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360D44">
      <w:pPr>
        <w:bidi w:val="0"/>
        <w:rPr>
          <w:rFonts w:hint="default" w:asciiTheme="majorAscii" w:hAnsiTheme="majorAscii"/>
          <w:b/>
          <w:bCs/>
          <w:sz w:val="28"/>
          <w:szCs w:val="28"/>
          <w:u w:val="single"/>
          <w:lang w:val="en-US" w:eastAsia="zh-CN"/>
        </w:rPr>
      </w:pPr>
      <w:bookmarkStart w:id="0" w:name="_GoBack"/>
      <w:r>
        <w:rPr>
          <w:rFonts w:hint="default" w:asciiTheme="majorAscii" w:hAnsiTheme="majorAscii"/>
          <w:b/>
          <w:bCs/>
          <w:sz w:val="28"/>
          <w:szCs w:val="28"/>
          <w:u w:val="single"/>
          <w:lang w:val="en-US" w:eastAsia="zh-CN"/>
        </w:rPr>
        <w:t>Credit Risk Evaluation</w:t>
      </w:r>
      <w:bookmarkEnd w:id="0"/>
      <w:r>
        <w:rPr>
          <w:rFonts w:hint="default" w:asciiTheme="majorAscii" w:hAnsiTheme="majorAscii"/>
          <w:b/>
          <w:bCs/>
          <w:sz w:val="28"/>
          <w:szCs w:val="28"/>
          <w:u w:val="single"/>
          <w:lang w:val="en-US" w:eastAsia="zh-CN"/>
        </w:rPr>
        <w:t xml:space="preserve"> using Scorecard Modeling for MSMEs</w:t>
      </w:r>
    </w:p>
    <w:p w14:paraId="4BAF0C84">
      <w:pPr>
        <w:keepNext w:val="0"/>
        <w:keepLines w:val="0"/>
        <w:widowControl/>
        <w:suppressLineNumbers w:val="0"/>
        <w:jc w:val="center"/>
        <w:rPr>
          <w:rStyle w:val="10"/>
          <w:rFonts w:hint="default" w:ascii="Times New Roman Regular" w:hAnsi="Times New Roman Regular" w:eastAsia="SimSun" w:cs="Times New Roman Regular"/>
          <w:b w:val="0"/>
          <w:kern w:val="0"/>
          <w:sz w:val="20"/>
          <w:szCs w:val="20"/>
          <w:lang w:val="en-US" w:eastAsia="zh-CN" w:bidi="ar"/>
        </w:rPr>
      </w:pPr>
    </w:p>
    <w:p w14:paraId="3183E633">
      <w:pPr>
        <w:keepNext w:val="0"/>
        <w:keepLines w:val="0"/>
        <w:widowControl/>
        <w:suppressLineNumbers w:val="0"/>
        <w:jc w:val="right"/>
        <w:rPr>
          <w:rFonts w:hint="default" w:ascii="Times New Roman Regular" w:hAnsi="Times New Roman Regular" w:cs="Times New Roman Regular"/>
          <w:b w:val="0"/>
          <w:sz w:val="20"/>
          <w:szCs w:val="20"/>
        </w:rPr>
      </w:pPr>
      <w:r>
        <w:rPr>
          <w:rStyle w:val="10"/>
          <w:rFonts w:hint="default" w:ascii="Times New Roman Regular" w:hAnsi="Times New Roman Regular" w:eastAsia="SimSun" w:cs="Times New Roman Regular"/>
          <w:b w:val="0"/>
          <w:kern w:val="0"/>
          <w:sz w:val="20"/>
          <w:szCs w:val="20"/>
          <w:lang w:val="en-US" w:eastAsia="zh-CN" w:bidi="ar"/>
        </w:rPr>
        <w:t>Prepared by:</w:t>
      </w:r>
      <w:r>
        <w:rPr>
          <w:rFonts w:hint="default" w:ascii="Times New Roman Regular" w:hAnsi="Times New Roman Regular" w:eastAsia="SimSun" w:cs="Times New Roman Regular"/>
          <w:b w:val="0"/>
          <w:kern w:val="0"/>
          <w:sz w:val="20"/>
          <w:szCs w:val="20"/>
          <w:lang w:val="en-US" w:eastAsia="zh-CN" w:bidi="ar"/>
        </w:rPr>
        <w:br w:type="textWrapping"/>
      </w:r>
      <w:r>
        <w:rPr>
          <w:rStyle w:val="10"/>
          <w:rFonts w:hint="default" w:ascii="Times New Roman Regular" w:hAnsi="Times New Roman Regular" w:eastAsia="SimSun" w:cs="Times New Roman Regular"/>
          <w:b w:val="0"/>
          <w:kern w:val="0"/>
          <w:sz w:val="20"/>
          <w:szCs w:val="20"/>
          <w:lang w:val="en-US" w:eastAsia="zh-CN" w:bidi="ar"/>
        </w:rPr>
        <w:t>Indranil Acharya</w:t>
      </w:r>
      <w:r>
        <w:rPr>
          <w:rFonts w:hint="default" w:ascii="Times New Roman Regular" w:hAnsi="Times New Roman Regular" w:eastAsia="SimSun" w:cs="Times New Roman Regular"/>
          <w:b w:val="0"/>
          <w:kern w:val="0"/>
          <w:sz w:val="20"/>
          <w:szCs w:val="20"/>
          <w:lang w:val="en-US" w:eastAsia="zh-CN" w:bidi="ar"/>
        </w:rPr>
        <w:br w:type="textWrapping"/>
      </w:r>
      <w:r>
        <w:rPr>
          <w:rStyle w:val="10"/>
          <w:rFonts w:hint="default" w:ascii="Times New Roman Regular" w:hAnsi="Times New Roman Regular" w:eastAsia="SimSun" w:cs="Times New Roman Regular"/>
          <w:b w:val="0"/>
          <w:kern w:val="0"/>
          <w:sz w:val="20"/>
          <w:szCs w:val="20"/>
          <w:lang w:val="en-US" w:eastAsia="zh-CN" w:bidi="ar"/>
        </w:rPr>
        <w:t>Date:</w:t>
      </w:r>
      <w:r>
        <w:rPr>
          <w:rFonts w:hint="default" w:ascii="Times New Roman Regular" w:hAnsi="Times New Roman Regular" w:eastAsia="SimSun" w:cs="Times New Roman Regular"/>
          <w:b w:val="0"/>
          <w:kern w:val="0"/>
          <w:sz w:val="20"/>
          <w:szCs w:val="20"/>
          <w:lang w:val="en-US" w:eastAsia="zh-CN" w:bidi="ar"/>
        </w:rPr>
        <w:t xml:space="preserve"> June 2025</w:t>
      </w:r>
    </w:p>
    <w:p w14:paraId="03E6877B">
      <w:pPr>
        <w:jc w:val="right"/>
        <w:rPr>
          <w:rFonts w:hint="default"/>
        </w:rPr>
      </w:pPr>
    </w:p>
    <w:p w14:paraId="22ACEAA3">
      <w:pPr>
        <w:pStyle w:val="5"/>
        <w:numPr>
          <w:ilvl w:val="0"/>
          <w:numId w:val="1"/>
        </w:numPr>
        <w:tabs>
          <w:tab w:val="clear" w:pos="420"/>
        </w:tabs>
        <w:bidi w:val="0"/>
        <w:ind w:left="420" w:leftChars="0" w:hanging="420" w:firstLineChars="0"/>
        <w:rPr>
          <w:rFonts w:hint="default"/>
        </w:rPr>
      </w:pPr>
      <w:r>
        <w:rPr>
          <w:rFonts w:hint="default"/>
        </w:rPr>
        <w:t>Executive Summary</w:t>
      </w:r>
    </w:p>
    <w:p w14:paraId="05E1FF70">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This project simulates a comprehensive credit risk evaluation framework tailored for MSMEs (Micro, Small &amp; Medium Enterprises) using dummy data. By applying a structured scorecard-based approach, each MSME is evaluated on financial and behavioral parameters. The goal is to generate an objective credit risk score and recommend funding eligibility — mimicking real-world credit assessment systems used by banks and NBFCs.</w:t>
      </w:r>
    </w:p>
    <w:p w14:paraId="49817E83">
      <w:pPr>
        <w:pStyle w:val="5"/>
        <w:numPr>
          <w:ilvl w:val="0"/>
          <w:numId w:val="2"/>
        </w:numPr>
        <w:bidi w:val="0"/>
        <w:ind w:left="420" w:leftChars="0" w:hanging="420" w:firstLineChars="0"/>
        <w:rPr>
          <w:rFonts w:hint="default" w:ascii="Times New Roman Regular" w:hAnsi="Times New Roman Regular" w:cs="Times New Roman Regular"/>
          <w:sz w:val="20"/>
          <w:szCs w:val="20"/>
        </w:rPr>
      </w:pPr>
      <w:r>
        <w:rPr>
          <w:rFonts w:hint="default"/>
          <w:b/>
          <w:bCs/>
          <w:lang w:val="en-US" w:eastAsia="zh-CN"/>
        </w:rPr>
        <w:t>Objective</w:t>
      </w:r>
    </w:p>
    <w:p w14:paraId="7EE3DC8B">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To design and implement a credit risk scorecard model that evaluates MSME borrowers using multi-dimensional criteria and outputs:</w:t>
      </w:r>
    </w:p>
    <w:p w14:paraId="7CF51BDC">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A risk score (0–100)</w:t>
      </w:r>
    </w:p>
    <w:p w14:paraId="3DA981C6">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Risk grade (e.g., A1, B2, C)</w:t>
      </w:r>
    </w:p>
    <w:p w14:paraId="312E05FD">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Credit decision (Eligible/Decline)</w:t>
      </w:r>
    </w:p>
    <w:p w14:paraId="24B68AEC">
      <w:pPr>
        <w:pStyle w:val="5"/>
        <w:numPr>
          <w:ilvl w:val="0"/>
          <w:numId w:val="2"/>
        </w:numPr>
        <w:bidi w:val="0"/>
        <w:ind w:left="420" w:leftChars="0" w:hanging="420" w:firstLineChars="0"/>
        <w:rPr>
          <w:rFonts w:hint="eastAsia" w:asciiTheme="majorEastAsia" w:hAnsiTheme="majorEastAsia" w:eastAsiaTheme="majorEastAsia" w:cstheme="majorEastAsia"/>
          <w:sz w:val="20"/>
          <w:szCs w:val="20"/>
          <w:lang w:val="en-US"/>
        </w:rPr>
      </w:pPr>
      <w:r>
        <w:rPr>
          <w:rFonts w:hint="eastAsia"/>
          <w:b/>
          <w:bCs/>
          <w:lang w:val="en-US" w:eastAsia="zh-CN"/>
        </w:rPr>
        <w:t>Research Methodology</w:t>
      </w:r>
    </w:p>
    <w:p w14:paraId="571C0102">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This project follows a structured methodology to simulate a real-world credit appraisal process for MSMEs using Excel.The methodology is divided into six key stages:</w:t>
      </w:r>
    </w:p>
    <w:p w14:paraId="1EAF0BFF">
      <w:pPr>
        <w:bidi w:val="0"/>
        <w:rPr>
          <w:rFonts w:hint="default" w:ascii="Times New Roman Regular" w:hAnsi="Times New Roman Regular" w:cs="Times New Roman Regular"/>
          <w:sz w:val="20"/>
          <w:szCs w:val="20"/>
          <w:lang w:val="en-US" w:eastAsia="zh-CN"/>
        </w:rPr>
      </w:pPr>
    </w:p>
    <w:p w14:paraId="0A561CE1">
      <w:pPr>
        <w:bidi w:val="0"/>
        <w:rPr>
          <w:rFonts w:hint="default" w:ascii="Times New Roman Regular" w:hAnsi="Times New Roman Regular" w:cs="Times New Roman Regular"/>
          <w:sz w:val="20"/>
          <w:szCs w:val="20"/>
          <w:lang w:val="en-US" w:eastAsia="zh-CN"/>
        </w:rPr>
      </w:pPr>
    </w:p>
    <w:p w14:paraId="06CABE93">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Stage 1:</w:t>
      </w:r>
      <w:r>
        <w:rPr>
          <w:rFonts w:hint="default" w:ascii="Times New Roman Regular" w:hAnsi="Times New Roman Regular" w:cs="Times New Roman Regular"/>
          <w:sz w:val="20"/>
          <w:szCs w:val="20"/>
          <w:lang w:val="en-US" w:eastAsia="zh-CN"/>
        </w:rPr>
        <w:t xml:space="preserve"> Selection of Credit Parameters</w:t>
      </w:r>
    </w:p>
    <w:p w14:paraId="71413FDE">
      <w:pPr>
        <w:bidi w:val="0"/>
        <w:rPr>
          <w:rFonts w:hint="default" w:ascii="Times New Roman Regular" w:hAnsi="Times New Roman Regular" w:cs="Times New Roman Regular"/>
          <w:sz w:val="20"/>
          <w:szCs w:val="20"/>
          <w:lang w:val="en-US" w:eastAsia="zh-CN"/>
        </w:rPr>
      </w:pPr>
    </w:p>
    <w:p w14:paraId="4000EC56">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13 key parameters were selected based on their relevance to MSME lending, grouped into five pillars:</w:t>
      </w:r>
    </w:p>
    <w:p w14:paraId="31E6EB7C">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Financial Strengths:</w:t>
      </w:r>
      <w:r>
        <w:rPr>
          <w:rFonts w:hint="default" w:ascii="Times New Roman Regular" w:hAnsi="Times New Roman Regular" w:cs="Times New Roman Regular"/>
          <w:sz w:val="20"/>
          <w:szCs w:val="20"/>
          <w:lang w:val="en-US" w:eastAsia="zh-CN"/>
        </w:rPr>
        <w:t xml:space="preserve"> Avg Monthly Bank Balance, Net Monthly Income, Existing Loan EMI</w:t>
      </w:r>
    </w:p>
    <w:p w14:paraId="0CCB45AB">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Operational Data:</w:t>
      </w:r>
      <w:r>
        <w:rPr>
          <w:rFonts w:hint="default" w:ascii="Times New Roman Regular" w:hAnsi="Times New Roman Regular" w:cs="Times New Roman Regular"/>
          <w:sz w:val="20"/>
          <w:szCs w:val="20"/>
          <w:lang w:val="en-US" w:eastAsia="zh-CN"/>
        </w:rPr>
        <w:t xml:space="preserve"> Years in Business, Inventory Turnover (per month), No of Employees</w:t>
      </w:r>
    </w:p>
    <w:p w14:paraId="07EFAFA9">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Tax Compliance:</w:t>
      </w:r>
      <w:r>
        <w:rPr>
          <w:rFonts w:hint="default" w:ascii="Times New Roman Regular" w:hAnsi="Times New Roman Regular" w:cs="Times New Roman Regular"/>
          <w:sz w:val="20"/>
          <w:szCs w:val="20"/>
          <w:lang w:val="en-US" w:eastAsia="zh-CN"/>
        </w:rPr>
        <w:t xml:space="preserve"> GST Filing Regularity, Latest ITR Filing, Udyam Registration</w:t>
      </w:r>
    </w:p>
    <w:p w14:paraId="419D75BD">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Digital Behavior:</w:t>
      </w:r>
      <w:r>
        <w:rPr>
          <w:rFonts w:hint="default" w:ascii="Times New Roman Regular" w:hAnsi="Times New Roman Regular" w:cs="Times New Roman Regular"/>
          <w:sz w:val="20"/>
          <w:szCs w:val="20"/>
          <w:lang w:val="en-US" w:eastAsia="zh-CN"/>
        </w:rPr>
        <w:t xml:space="preserve"> UPI Transactions, Mobile Recharge Consistency</w:t>
      </w:r>
    </w:p>
    <w:p w14:paraId="49CADA29">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Quantitative Factors:</w:t>
      </w:r>
      <w:r>
        <w:rPr>
          <w:rFonts w:hint="default" w:ascii="Times New Roman Regular" w:hAnsi="Times New Roman Regular" w:cs="Times New Roman Regular"/>
          <w:sz w:val="20"/>
          <w:szCs w:val="20"/>
          <w:lang w:val="en-US" w:eastAsia="zh-CN"/>
        </w:rPr>
        <w:t xml:space="preserve"> Experience of Promoter, Supplier Reputation</w:t>
      </w:r>
    </w:p>
    <w:p w14:paraId="19EEAD5E">
      <w:pPr>
        <w:bidi w:val="0"/>
        <w:rPr>
          <w:rFonts w:hint="default" w:ascii="Times New Roman Regular" w:hAnsi="Times New Roman Regular" w:cs="Times New Roman Regular"/>
          <w:sz w:val="20"/>
          <w:szCs w:val="20"/>
          <w:lang w:val="en-US" w:eastAsia="zh-CN"/>
        </w:rPr>
      </w:pPr>
    </w:p>
    <w:p w14:paraId="5FC478F9">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These parameters were chosen because they represent critical indicators of repayment capacity, business stability, and transparency — especially important for small borrowers who may lack formal financial statements. </w:t>
      </w:r>
      <w:r>
        <w:rPr>
          <w:rFonts w:hint="default" w:ascii="Times New Roman Regular" w:hAnsi="Times New Roman Regular" w:cs="Times New Roman Regular"/>
          <w:sz w:val="20"/>
          <w:szCs w:val="20"/>
          <w:lang w:val="en-US" w:eastAsia="zh-CN"/>
        </w:rPr>
        <w:t>The aim is to assess borrowers objectively across multiple dimensions and derive automated credit ratings and lending decisions.</w:t>
      </w:r>
    </w:p>
    <w:p w14:paraId="1B82CADD">
      <w:pPr>
        <w:bidi w:val="0"/>
        <w:rPr>
          <w:rFonts w:hint="default" w:ascii="Times New Roman Regular" w:hAnsi="Times New Roman Regular" w:cs="Times New Roman Regular"/>
          <w:sz w:val="20"/>
          <w:szCs w:val="20"/>
          <w:lang w:val="en-US" w:eastAsia="zh-CN"/>
        </w:rPr>
      </w:pPr>
    </w:p>
    <w:p w14:paraId="32B64EDA">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Stage 2:</w:t>
      </w:r>
      <w:r>
        <w:rPr>
          <w:rFonts w:hint="default" w:ascii="Times New Roman Regular" w:hAnsi="Times New Roman Regular" w:cs="Times New Roman Regular"/>
          <w:sz w:val="20"/>
          <w:szCs w:val="20"/>
          <w:lang w:val="en-US" w:eastAsia="zh-CN"/>
        </w:rPr>
        <w:t xml:space="preserve"> Parameter Scoring</w:t>
      </w:r>
    </w:p>
    <w:p w14:paraId="5FD5C0F7">
      <w:pPr>
        <w:bidi w:val="0"/>
        <w:rPr>
          <w:rFonts w:hint="default" w:ascii="Times New Roman Regular" w:hAnsi="Times New Roman Regular" w:cs="Times New Roman Regular"/>
          <w:sz w:val="20"/>
          <w:szCs w:val="20"/>
          <w:lang w:val="en-US" w:eastAsia="zh-CN"/>
        </w:rPr>
      </w:pPr>
    </w:p>
    <w:p w14:paraId="0CEB6487">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Each parameter was scored on a scale of 0 to 100 based on defined thresholds using Excel formulas.</w:t>
      </w:r>
    </w:p>
    <w:p w14:paraId="70309EF8">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Example:</w:t>
      </w:r>
    </w:p>
    <w:p w14:paraId="7A83849A">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A company with average bank balance &gt; ₹1,00,000 → Score = 100</w:t>
      </w:r>
    </w:p>
    <w:p w14:paraId="1F8F970D">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Company with poor GST filing regularity → Score = 40 or below</w:t>
      </w:r>
    </w:p>
    <w:p w14:paraId="525535C1">
      <w:pPr>
        <w:bidi w:val="0"/>
        <w:rPr>
          <w:rFonts w:hint="default" w:ascii="Times New Roman Regular" w:hAnsi="Times New Roman Regular" w:cs="Times New Roman Regular"/>
          <w:sz w:val="20"/>
          <w:szCs w:val="20"/>
          <w:lang w:val="en-US" w:eastAsia="zh-CN"/>
        </w:rPr>
      </w:pPr>
    </w:p>
    <w:p w14:paraId="4B7795A4">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This normalization allows parameters of different types to be compared on a common scale.</w:t>
      </w:r>
    </w:p>
    <w:p w14:paraId="4381C97F">
      <w:pPr>
        <w:bidi w:val="0"/>
        <w:rPr>
          <w:rFonts w:hint="default" w:ascii="Times New Roman Regular" w:hAnsi="Times New Roman Regular" w:cs="Times New Roman Regular"/>
          <w:sz w:val="20"/>
          <w:szCs w:val="20"/>
          <w:lang w:val="en-US" w:eastAsia="zh-CN"/>
        </w:rPr>
      </w:pPr>
    </w:p>
    <w:p w14:paraId="33BED365">
      <w:pPr>
        <w:bidi w:val="0"/>
        <w:rPr>
          <w:rFonts w:hint="default" w:ascii="Times New Roman Regular" w:hAnsi="Times New Roman Regular" w:cs="Times New Roman Regular"/>
          <w:sz w:val="20"/>
          <w:szCs w:val="20"/>
          <w:lang w:val="en-US" w:eastAsia="zh-CN"/>
        </w:rPr>
      </w:pPr>
    </w:p>
    <w:p w14:paraId="19432B3D">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Stage 3:</w:t>
      </w:r>
      <w:r>
        <w:rPr>
          <w:rFonts w:hint="default" w:ascii="Times New Roman Regular" w:hAnsi="Times New Roman Regular" w:cs="Times New Roman Regular"/>
          <w:sz w:val="20"/>
          <w:szCs w:val="20"/>
          <w:lang w:val="en-US" w:eastAsia="zh-CN"/>
        </w:rPr>
        <w:t xml:space="preserve"> Weight Assignment</w:t>
      </w:r>
    </w:p>
    <w:p w14:paraId="05EF1D42">
      <w:pPr>
        <w:bidi w:val="0"/>
        <w:rPr>
          <w:rFonts w:hint="default" w:ascii="Times New Roman Regular" w:hAnsi="Times New Roman Regular" w:cs="Times New Roman Regular"/>
          <w:sz w:val="20"/>
          <w:szCs w:val="20"/>
          <w:lang w:val="en-US" w:eastAsia="zh-CN"/>
        </w:rPr>
      </w:pPr>
    </w:p>
    <w:p w14:paraId="084D444E">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Each parameter was assigned a specific weight (in %) based on its importance in credit evaluation. For example:</w:t>
      </w:r>
    </w:p>
    <w:p w14:paraId="4D1641C1">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Avg Bank Balance: 10%</w:t>
      </w:r>
    </w:p>
    <w:p w14:paraId="36614C3F">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Promoter Experience: 10%</w:t>
      </w:r>
    </w:p>
    <w:p w14:paraId="1E612159">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GST Filing Regularity: 5%</w:t>
      </w:r>
    </w:p>
    <w:p w14:paraId="2A2A6A48">
      <w:pPr>
        <w:bidi w:val="0"/>
        <w:rPr>
          <w:rFonts w:hint="default" w:ascii="Times New Roman Regular" w:hAnsi="Times New Roman Regular" w:cs="Times New Roman Regular"/>
          <w:sz w:val="20"/>
          <w:szCs w:val="20"/>
          <w:lang w:val="en-US" w:eastAsia="zh-CN"/>
        </w:rPr>
      </w:pPr>
    </w:p>
    <w:p w14:paraId="5E63E0DB">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The total weight of all parameters = 100%.</w:t>
      </w:r>
    </w:p>
    <w:p w14:paraId="4B8D3859">
      <w:pPr>
        <w:bidi w:val="0"/>
        <w:rPr>
          <w:rFonts w:hint="default" w:ascii="Times New Roman Regular" w:hAnsi="Times New Roman Regular" w:cs="Times New Roman Regular"/>
          <w:sz w:val="20"/>
          <w:szCs w:val="20"/>
          <w:lang w:val="en-US" w:eastAsia="zh-CN"/>
        </w:rPr>
      </w:pPr>
    </w:p>
    <w:p w14:paraId="724AB988">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 </w:t>
      </w:r>
      <w:r>
        <w:rPr>
          <w:rFonts w:hint="default" w:ascii="Times New Roman Bold" w:hAnsi="Times New Roman Bold" w:cs="Times New Roman Bold"/>
          <w:b/>
          <w:bCs/>
          <w:sz w:val="20"/>
          <w:szCs w:val="20"/>
          <w:lang w:val="en-US" w:eastAsia="zh-CN"/>
        </w:rPr>
        <w:t>Stage 4:</w:t>
      </w:r>
      <w:r>
        <w:rPr>
          <w:rFonts w:hint="default" w:ascii="Times New Roman Regular" w:hAnsi="Times New Roman Regular" w:cs="Times New Roman Regular"/>
          <w:sz w:val="20"/>
          <w:szCs w:val="20"/>
          <w:lang w:val="en-US" w:eastAsia="zh-CN"/>
        </w:rPr>
        <w:t xml:space="preserve"> Weighted Score Calculation</w:t>
      </w:r>
    </w:p>
    <w:p w14:paraId="240AC04C">
      <w:pPr>
        <w:bidi w:val="0"/>
        <w:rPr>
          <w:rFonts w:hint="default" w:ascii="Times New Roman Regular" w:hAnsi="Times New Roman Regular" w:cs="Times New Roman Regular"/>
          <w:sz w:val="20"/>
          <w:szCs w:val="20"/>
          <w:lang w:val="en-US" w:eastAsia="zh-CN"/>
        </w:rPr>
      </w:pPr>
    </w:p>
    <w:p w14:paraId="1BF35BDE">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The Weighted Score for each parameter was calculated as:</w:t>
      </w:r>
    </w:p>
    <w:p w14:paraId="747BA4CD">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Weighted Score = (Raw Score ÷ 100) × Parameter Weight</w:t>
      </w:r>
    </w:p>
    <w:p w14:paraId="77BFC188">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Then, the Total Score is the sum of all weighted scores.</w:t>
      </w:r>
    </w:p>
    <w:p w14:paraId="30F19F56">
      <w:pPr>
        <w:bidi w:val="0"/>
        <w:rPr>
          <w:rFonts w:hint="default" w:ascii="Times New Roman Regular" w:hAnsi="Times New Roman Regular" w:cs="Times New Roman Regular"/>
          <w:sz w:val="20"/>
          <w:szCs w:val="20"/>
          <w:lang w:val="en-US" w:eastAsia="zh-CN"/>
        </w:rPr>
      </w:pPr>
    </w:p>
    <w:p w14:paraId="6CD18078">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This score represents a borrower’s overall credit strength on a 0–100 scale.</w:t>
      </w:r>
    </w:p>
    <w:p w14:paraId="6D83B4AB">
      <w:pPr>
        <w:bidi w:val="0"/>
        <w:rPr>
          <w:rFonts w:hint="default" w:ascii="Times New Roman Regular" w:hAnsi="Times New Roman Regular" w:cs="Times New Roman Regular"/>
          <w:sz w:val="20"/>
          <w:szCs w:val="20"/>
          <w:lang w:val="en-US" w:eastAsia="zh-CN"/>
        </w:rPr>
      </w:pPr>
    </w:p>
    <w:p w14:paraId="22CAFEFE">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Stage 5:</w:t>
      </w:r>
      <w:r>
        <w:rPr>
          <w:rFonts w:hint="default" w:ascii="Times New Roman Regular" w:hAnsi="Times New Roman Regular" w:cs="Times New Roman Regular"/>
          <w:sz w:val="20"/>
          <w:szCs w:val="20"/>
          <w:lang w:val="en-US" w:eastAsia="zh-CN"/>
        </w:rPr>
        <w:t xml:space="preserve"> Credit Rating Assignment</w:t>
      </w:r>
    </w:p>
    <w:p w14:paraId="20A1A14C">
      <w:pPr>
        <w:bidi w:val="0"/>
        <w:rPr>
          <w:rFonts w:hint="default" w:ascii="Times New Roman Regular" w:hAnsi="Times New Roman Regular" w:cs="Times New Roman Regular"/>
          <w:sz w:val="20"/>
          <w:szCs w:val="20"/>
          <w:lang w:val="en-US" w:eastAsia="zh-CN"/>
        </w:rPr>
      </w:pPr>
    </w:p>
    <w:p w14:paraId="424E433C">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Based on the total score, the borrower is classified into one of five ratings:</w:t>
      </w:r>
    </w:p>
    <w:p w14:paraId="56A8BC51">
      <w:pPr>
        <w:bidi w:val="0"/>
        <w:rPr>
          <w:rFonts w:hint="default" w:ascii="Times New Roman Regular" w:hAnsi="Times New Roman Regular" w:cs="Times New Roman Regular"/>
          <w:sz w:val="20"/>
          <w:szCs w:val="20"/>
          <w:lang w:val="en-US" w:eastAsia="zh-CN"/>
        </w:rPr>
      </w:pPr>
    </w:p>
    <w:p w14:paraId="72DAAF46">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A1 &gt; 85 </w:t>
      </w:r>
    </w:p>
    <w:p w14:paraId="1C09AB47">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 70 &gt; A2 &lt; 85</w:t>
      </w:r>
    </w:p>
    <w:p w14:paraId="437A0B45">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55 &gt; </w:t>
      </w:r>
      <w:r>
        <w:rPr>
          <w:rFonts w:hint="default" w:ascii="Times New Roman Regular" w:hAnsi="Times New Roman Regular" w:cs="Times New Roman Regular"/>
          <w:sz w:val="20"/>
          <w:szCs w:val="20"/>
          <w:lang w:val="en-US" w:eastAsia="zh-CN"/>
        </w:rPr>
        <w:t>B1</w:t>
      </w:r>
      <w:r>
        <w:rPr>
          <w:rFonts w:hint="default" w:ascii="Times New Roman Regular" w:hAnsi="Times New Roman Regular" w:cs="Times New Roman Regular"/>
          <w:sz w:val="20"/>
          <w:szCs w:val="20"/>
          <w:lang w:val="en-US" w:eastAsia="zh-CN"/>
        </w:rPr>
        <w:t xml:space="preserve"> &lt; 70)</w:t>
      </w:r>
    </w:p>
    <w:p w14:paraId="1F450340">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40 &gt; </w:t>
      </w:r>
      <w:r>
        <w:rPr>
          <w:rFonts w:hint="default" w:ascii="Times New Roman Regular" w:hAnsi="Times New Roman Regular" w:cs="Times New Roman Regular"/>
          <w:sz w:val="20"/>
          <w:szCs w:val="20"/>
          <w:lang w:val="en-US" w:eastAsia="zh-CN"/>
        </w:rPr>
        <w:t>B2</w:t>
      </w:r>
      <w:r>
        <w:rPr>
          <w:rFonts w:hint="default" w:ascii="Times New Roman Regular" w:hAnsi="Times New Roman Regular" w:cs="Times New Roman Regular"/>
          <w:sz w:val="20"/>
          <w:szCs w:val="20"/>
          <w:lang w:val="en-US" w:eastAsia="zh-CN"/>
        </w:rPr>
        <w:t xml:space="preserve"> &lt; 55) </w:t>
      </w:r>
    </w:p>
    <w:p w14:paraId="3072B33C">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C  &lt; 40</w:t>
      </w:r>
    </w:p>
    <w:p w14:paraId="325219BF">
      <w:pPr>
        <w:bidi w:val="0"/>
        <w:rPr>
          <w:rFonts w:hint="default" w:ascii="Times New Roman Regular" w:hAnsi="Times New Roman Regular" w:cs="Times New Roman Regular"/>
          <w:sz w:val="20"/>
          <w:szCs w:val="20"/>
          <w:lang w:val="en-US" w:eastAsia="zh-CN"/>
        </w:rPr>
      </w:pPr>
    </w:p>
    <w:p w14:paraId="4B29893A">
      <w:pPr>
        <w:bidi w:val="0"/>
        <w:rPr>
          <w:rFonts w:hint="default" w:ascii="Times New Roman Regular" w:hAnsi="Times New Roman Regular" w:cs="Times New Roman Regular"/>
          <w:sz w:val="20"/>
          <w:szCs w:val="20"/>
          <w:lang w:val="en-US" w:eastAsia="zh-CN"/>
        </w:rPr>
      </w:pPr>
      <w:r>
        <w:rPr>
          <w:rFonts w:hint="default" w:ascii="Times New Roman Bold" w:hAnsi="Times New Roman Bold" w:cs="Times New Roman Bold"/>
          <w:b/>
          <w:bCs/>
          <w:sz w:val="20"/>
          <w:szCs w:val="20"/>
          <w:lang w:val="en-US" w:eastAsia="zh-CN"/>
        </w:rPr>
        <w:t xml:space="preserve"> Stage 6:</w:t>
      </w:r>
      <w:r>
        <w:rPr>
          <w:rFonts w:hint="default" w:ascii="Times New Roman Regular" w:hAnsi="Times New Roman Regular" w:cs="Times New Roman Regular"/>
          <w:sz w:val="20"/>
          <w:szCs w:val="20"/>
          <w:lang w:val="en-US" w:eastAsia="zh-CN"/>
        </w:rPr>
        <w:t xml:space="preserve"> Lending Recommendation</w:t>
      </w:r>
    </w:p>
    <w:p w14:paraId="5D0FB4B6">
      <w:pPr>
        <w:bidi w:val="0"/>
        <w:rPr>
          <w:rFonts w:hint="default" w:ascii="Times New Roman Regular" w:hAnsi="Times New Roman Regular" w:cs="Times New Roman Regular"/>
          <w:sz w:val="20"/>
          <w:szCs w:val="20"/>
          <w:lang w:val="en-US" w:eastAsia="zh-CN"/>
        </w:rPr>
      </w:pPr>
    </w:p>
    <w:p w14:paraId="5425178F">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Finally, based on credit score and rating, a lending recommendation is given:</w:t>
      </w:r>
    </w:p>
    <w:p w14:paraId="18F4FD34">
      <w:pPr>
        <w:bidi w:val="0"/>
        <w:rPr>
          <w:rFonts w:hint="default" w:ascii="Times New Roman Regular" w:hAnsi="Times New Roman Regular" w:cs="Times New Roman Regular"/>
          <w:sz w:val="20"/>
          <w:szCs w:val="20"/>
          <w:lang w:val="en-US" w:eastAsia="zh-CN"/>
        </w:rPr>
      </w:pPr>
    </w:p>
    <w:p w14:paraId="462A8AB3">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A1 / A2 / &gt;70</w:t>
      </w:r>
      <w:r>
        <w:rPr>
          <w:rFonts w:hint="default" w:ascii="Times New Roman Regular" w:hAnsi="Times New Roman Regular" w:cs="Times New Roman Regular"/>
          <w:sz w:val="20"/>
          <w:szCs w:val="20"/>
          <w:lang w:val="en-US" w:eastAsia="zh-CN"/>
        </w:rPr>
        <w:tab/>
      </w:r>
      <w:r>
        <w:rPr>
          <w:rFonts w:hint="default" w:ascii="Times New Roman Regular" w:hAnsi="Times New Roman Regular" w:cs="Times New Roman Regular"/>
          <w:sz w:val="20"/>
          <w:szCs w:val="20"/>
          <w:lang w:val="en-US" w:eastAsia="zh-CN"/>
        </w:rPr>
        <w:t>Eligible</w:t>
      </w:r>
    </w:p>
    <w:p w14:paraId="7C8D009F">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B1 / 55–70</w:t>
      </w:r>
      <w:r>
        <w:rPr>
          <w:rFonts w:hint="default" w:ascii="Times New Roman Regular" w:hAnsi="Times New Roman Regular" w:cs="Times New Roman Regular"/>
          <w:sz w:val="20"/>
          <w:szCs w:val="20"/>
          <w:lang w:val="en-US" w:eastAsia="zh-CN"/>
        </w:rPr>
        <w:tab/>
      </w:r>
      <w:r>
        <w:rPr>
          <w:rFonts w:hint="default" w:ascii="Times New Roman Regular" w:hAnsi="Times New Roman Regular" w:cs="Times New Roman Regular"/>
          <w:sz w:val="20"/>
          <w:szCs w:val="20"/>
          <w:lang w:val="en-US" w:eastAsia="zh-CN"/>
        </w:rPr>
        <w:t>Conditionally Eligible</w:t>
      </w:r>
    </w:p>
    <w:p w14:paraId="701C836E">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B2, C / &lt;55</w:t>
      </w:r>
      <w:r>
        <w:rPr>
          <w:rFonts w:hint="default" w:ascii="Times New Roman Regular" w:hAnsi="Times New Roman Regular" w:cs="Times New Roman Regular"/>
          <w:sz w:val="20"/>
          <w:szCs w:val="20"/>
          <w:lang w:val="en-US" w:eastAsia="zh-CN"/>
        </w:rPr>
        <w:tab/>
      </w:r>
      <w:r>
        <w:rPr>
          <w:rFonts w:hint="default" w:ascii="Times New Roman Regular" w:hAnsi="Times New Roman Regular" w:cs="Times New Roman Regular"/>
          <w:sz w:val="20"/>
          <w:szCs w:val="20"/>
          <w:lang w:val="en-US" w:eastAsia="zh-CN"/>
        </w:rPr>
        <w:t>Decline</w:t>
      </w:r>
    </w:p>
    <w:p w14:paraId="1B019430">
      <w:pPr>
        <w:bidi w:val="0"/>
        <w:rPr>
          <w:rFonts w:hint="default" w:ascii="Times New Roman Regular" w:hAnsi="Times New Roman Regular" w:cs="Times New Roman Regular"/>
          <w:sz w:val="20"/>
          <w:szCs w:val="20"/>
          <w:lang w:val="en-US" w:eastAsia="zh-CN"/>
        </w:rPr>
      </w:pPr>
    </w:p>
    <w:p w14:paraId="45F838C4">
      <w:pPr>
        <w:bidi w:val="0"/>
        <w:rPr>
          <w:rFonts w:hint="default" w:ascii="Times New Roman Bold" w:hAnsi="Times New Roman Bold" w:cs="Times New Roman Bold"/>
          <w:b/>
          <w:bCs/>
          <w:sz w:val="20"/>
          <w:szCs w:val="20"/>
          <w:lang w:val="en-US" w:eastAsia="zh-CN"/>
        </w:rPr>
      </w:pPr>
      <w:r>
        <w:rPr>
          <w:rFonts w:hint="default" w:ascii="Times New Roman Bold" w:hAnsi="Times New Roman Bold" w:cs="Times New Roman Bold"/>
          <w:b/>
          <w:bCs/>
          <w:sz w:val="20"/>
          <w:szCs w:val="20"/>
          <w:lang w:val="en-US" w:eastAsia="zh-CN"/>
        </w:rPr>
        <w:t>Tools Used:</w:t>
      </w:r>
    </w:p>
    <w:p w14:paraId="491C4337">
      <w:pPr>
        <w:bidi w:val="0"/>
        <w:rPr>
          <w:rFonts w:hint="default" w:ascii="Times New Roman Regular" w:hAnsi="Times New Roman Regular" w:cs="Times New Roman Regular"/>
          <w:sz w:val="20"/>
          <w:szCs w:val="20"/>
          <w:lang w:val="en-US" w:eastAsia="zh-CN"/>
        </w:rPr>
      </w:pPr>
    </w:p>
    <w:p w14:paraId="7702C9B7">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Excel Formulas: IF, COUNTIFS, SUM, SUMIF, INDEX, MATCH, RANK, etc.</w:t>
      </w:r>
    </w:p>
    <w:p w14:paraId="1C6020AF">
      <w:pPr>
        <w:bidi w:val="0"/>
        <w:rPr>
          <w:rFonts w:hint="default" w:ascii="Times New Roman Regular" w:hAnsi="Times New Roman Regular" w:cs="Times New Roman Regular"/>
          <w:sz w:val="20"/>
          <w:szCs w:val="20"/>
          <w:lang w:val="en-US" w:eastAsia="zh-CN"/>
        </w:rPr>
      </w:pPr>
    </w:p>
    <w:p w14:paraId="36330A86">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Data Validation: for dropdown borrower selection</w:t>
      </w:r>
    </w:p>
    <w:p w14:paraId="56734FB0">
      <w:pPr>
        <w:bidi w:val="0"/>
        <w:rPr>
          <w:rFonts w:hint="default" w:ascii="Times New Roman Regular" w:hAnsi="Times New Roman Regular" w:cs="Times New Roman Regular"/>
          <w:sz w:val="20"/>
          <w:szCs w:val="20"/>
          <w:lang w:val="en-US" w:eastAsia="zh-CN"/>
        </w:rPr>
      </w:pPr>
    </w:p>
    <w:p w14:paraId="36B35802">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Conditional Formatting: for score colors, eligibility alerts</w:t>
      </w:r>
    </w:p>
    <w:p w14:paraId="36885B1B">
      <w:pPr>
        <w:bidi w:val="0"/>
        <w:rPr>
          <w:rFonts w:hint="default" w:ascii="Times New Roman Regular" w:hAnsi="Times New Roman Regular" w:cs="Times New Roman Regular"/>
          <w:sz w:val="20"/>
          <w:szCs w:val="20"/>
          <w:lang w:val="en-US" w:eastAsia="zh-CN"/>
        </w:rPr>
      </w:pPr>
    </w:p>
    <w:p w14:paraId="6FB1D5F6">
      <w:pPr>
        <w:bidi w:val="0"/>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Charts: Bar Chart, Pie Chart, Line Chart</w:t>
      </w:r>
    </w:p>
    <w:p w14:paraId="1588C51C">
      <w:pPr>
        <w:pStyle w:val="5"/>
        <w:numPr>
          <w:ilvl w:val="0"/>
          <w:numId w:val="2"/>
        </w:numPr>
        <w:bidi w:val="0"/>
        <w:ind w:left="420" w:leftChars="0" w:hanging="420" w:firstLineChars="0"/>
        <w:rPr>
          <w:rFonts w:hint="default" w:ascii="Times New Roman Regular" w:hAnsi="Times New Roman Regular" w:cs="Times New Roman Regular"/>
          <w:sz w:val="20"/>
          <w:szCs w:val="20"/>
        </w:rPr>
      </w:pPr>
      <w:r>
        <w:rPr>
          <w:rFonts w:hint="default"/>
          <w:b/>
          <w:bCs/>
          <w:lang w:val="en-US" w:eastAsia="zh-CN"/>
        </w:rPr>
        <w:t xml:space="preserve">Credit Evaluation Summary </w:t>
      </w:r>
    </w:p>
    <w:p w14:paraId="040E4525">
      <w:pPr>
        <w:bidi w:val="0"/>
        <w:rPr>
          <w:rFonts w:hint="default" w:ascii="Times New Roman Bold" w:hAnsi="Times New Roman Bold" w:cs="Times New Roman Bold"/>
          <w:b/>
          <w:bCs/>
          <w:color w:val="00B050"/>
          <w:sz w:val="20"/>
          <w:szCs w:val="20"/>
        </w:rPr>
      </w:pPr>
      <w:r>
        <w:rPr>
          <w:rFonts w:hint="default" w:ascii="Times New Roman Bold" w:hAnsi="Times New Roman Bold" w:cs="Times New Roman Bold"/>
          <w:b/>
          <w:bCs/>
          <w:color w:val="000000" w:themeColor="text1"/>
          <w:sz w:val="20"/>
          <w:szCs w:val="20"/>
          <w14:textFill>
            <w14:solidFill>
              <w14:schemeClr w14:val="tx1"/>
            </w14:solidFill>
          </w14:textFill>
        </w:rPr>
        <w:t>A1 (Score &gt; 85): 14 Companies (28%)</w:t>
      </w:r>
    </w:p>
    <w:p w14:paraId="65E6C379">
      <w:pPr>
        <w:bidi w:val="0"/>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A1 borrowers represent top-tier MSMEs with excellent financial health, stable incomes, and low EMI burdens. They regularly file GST and ITR, maintain strong banking behavior (steady balances and digital transactions), and show high promoter experience. These businesses are ideal for low-risk lending, and many can be auto-approved or pre-qualified for higher credit limits. Their high digital traceability reduces underwriting effort. This segment reflects strong credit discipline and business maturity. Lending institutions should prioritize A1 borrowers for tailored offers, cross-selling, and longer-term credit products. With a 28% share, they form a reliable foundation for any MSME portfolio.</w:t>
      </w:r>
    </w:p>
    <w:p w14:paraId="6032411F">
      <w:pPr>
        <w:bidi w:val="0"/>
        <w:rPr>
          <w:rFonts w:hint="default" w:ascii="Times New Roman Regular" w:hAnsi="Times New Roman Regular" w:cs="Times New Roman Regular"/>
          <w:sz w:val="20"/>
          <w:szCs w:val="20"/>
        </w:rPr>
      </w:pPr>
    </w:p>
    <w:p w14:paraId="1A7C911F">
      <w:pPr>
        <w:bidi w:val="0"/>
        <w:rPr>
          <w:rFonts w:hint="default" w:ascii="Times New Roman Bold" w:hAnsi="Times New Roman Bold" w:cs="Times New Roman Bold"/>
          <w:b/>
          <w:bCs/>
          <w:color w:val="000000" w:themeColor="text1"/>
          <w:sz w:val="20"/>
          <w:szCs w:val="20"/>
          <w14:textFill>
            <w14:solidFill>
              <w14:schemeClr w14:val="tx1"/>
            </w14:solidFill>
          </w14:textFill>
        </w:rPr>
      </w:pPr>
      <w:r>
        <w:rPr>
          <w:rFonts w:hint="default" w:ascii="Times New Roman Bold" w:hAnsi="Times New Roman Bold" w:cs="Times New Roman Bold"/>
          <w:b/>
          <w:bCs/>
          <w:color w:val="000000" w:themeColor="text1"/>
          <w:sz w:val="20"/>
          <w:szCs w:val="20"/>
          <w14:textFill>
            <w14:solidFill>
              <w14:schemeClr w14:val="tx1"/>
            </w14:solidFill>
          </w14:textFill>
        </w:rPr>
        <w:t>A2 (Score 70–85): 6 Companies (12%)</w:t>
      </w:r>
    </w:p>
    <w:p w14:paraId="50A0A771">
      <w:pPr>
        <w:bidi w:val="0"/>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A2 borrowers are financially stable with minor gaps — such as higher EMI ratios, limited digital documentation, or newer promoter experience. They exhibit good banking and income records but may lack full compliance (e.g., delayed ITRs or partial GST filing). Representing 12% of the </w:t>
      </w:r>
      <w:r>
        <w:rPr>
          <w:rFonts w:hint="default" w:ascii="Times New Roman Regular" w:hAnsi="Times New Roman Regular" w:cs="Times New Roman Regular"/>
          <w:sz w:val="20"/>
          <w:szCs w:val="20"/>
          <w:lang w:val="en-US"/>
        </w:rPr>
        <w:t>data-set</w:t>
      </w:r>
      <w:r>
        <w:rPr>
          <w:rFonts w:hint="default" w:ascii="Times New Roman Regular" w:hAnsi="Times New Roman Regular" w:cs="Times New Roman Regular"/>
          <w:sz w:val="20"/>
          <w:szCs w:val="20"/>
        </w:rPr>
        <w:t>, they are moderate-risk but reliable, and can be approved with minimal manual checks. These borrowers are well-suited for structured credit lines with slightly conservative terms. With the right engagement, they have the potential to upgrade to A1. Lenders can treat this segment as a growth opportunity, balancing credit access with manageable risk.</w:t>
      </w:r>
    </w:p>
    <w:p w14:paraId="25CDEA45">
      <w:pPr>
        <w:bidi w:val="0"/>
        <w:rPr>
          <w:rFonts w:hint="default" w:ascii="Times New Roman Regular" w:hAnsi="Times New Roman Regular" w:cs="Times New Roman Regular"/>
          <w:sz w:val="20"/>
          <w:szCs w:val="20"/>
        </w:rPr>
      </w:pPr>
    </w:p>
    <w:p w14:paraId="4BF2A700">
      <w:pPr>
        <w:bidi w:val="0"/>
        <w:rPr>
          <w:rFonts w:hint="default" w:ascii="Times New Roman Bold" w:hAnsi="Times New Roman Bold" w:cs="Times New Roman Bold"/>
          <w:b/>
          <w:bCs/>
          <w:color w:val="000000" w:themeColor="text1"/>
          <w:sz w:val="20"/>
          <w:szCs w:val="20"/>
          <w14:textFill>
            <w14:solidFill>
              <w14:schemeClr w14:val="tx1"/>
            </w14:solidFill>
          </w14:textFill>
        </w:rPr>
      </w:pPr>
      <w:r>
        <w:rPr>
          <w:rFonts w:hint="default" w:ascii="Times New Roman Bold" w:hAnsi="Times New Roman Bold" w:cs="Times New Roman Bold"/>
          <w:b/>
          <w:bCs/>
          <w:color w:val="000000" w:themeColor="text1"/>
          <w:sz w:val="20"/>
          <w:szCs w:val="20"/>
          <w14:textFill>
            <w14:solidFill>
              <w14:schemeClr w14:val="tx1"/>
            </w14:solidFill>
          </w14:textFill>
        </w:rPr>
        <w:t>B1 (Score 55–70): 16 Companies (32%)</w:t>
      </w:r>
    </w:p>
    <w:p w14:paraId="71E33002">
      <w:pPr>
        <w:bidi w:val="0"/>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The largest group (32%), B1 borrowers display average financial health with mixed indicators. Common issues include moderate income, higher EMI burden, irregular banking activity, or insufficient documentation. Promoter experience may be limited, and compliance is often partial. These MSMEs require manual underwriting, additional scrutiny, and shorter loan tenures. While not high risk, B1 borrowers represent a tipping point — with support, they may graduate to A2, but without guidance, they risk downgrading. Lenders should offer conditional approvals, credit education, or collateral-based options. This category highlights the need for risk-balanced expansion and targeted financial inclusion.</w:t>
      </w:r>
    </w:p>
    <w:p w14:paraId="6E27D899">
      <w:pPr>
        <w:bidi w:val="0"/>
        <w:rPr>
          <w:rFonts w:hint="default" w:ascii="Times New Roman Regular" w:hAnsi="Times New Roman Regular" w:cs="Times New Roman Regular"/>
          <w:sz w:val="20"/>
          <w:szCs w:val="20"/>
        </w:rPr>
      </w:pPr>
    </w:p>
    <w:p w14:paraId="415BEA63">
      <w:pPr>
        <w:bidi w:val="0"/>
        <w:rPr>
          <w:rFonts w:hint="default" w:ascii="Times New Roman Bold" w:hAnsi="Times New Roman Bold" w:cs="Times New Roman Bold"/>
          <w:b/>
          <w:bCs/>
          <w:color w:val="000000" w:themeColor="text1"/>
          <w:sz w:val="20"/>
          <w:szCs w:val="20"/>
          <w14:textFill>
            <w14:solidFill>
              <w14:schemeClr w14:val="tx1"/>
            </w14:solidFill>
          </w14:textFill>
        </w:rPr>
      </w:pPr>
      <w:r>
        <w:rPr>
          <w:rFonts w:hint="default" w:ascii="Times New Roman Bold" w:hAnsi="Times New Roman Bold" w:cs="Times New Roman Bold"/>
          <w:b/>
          <w:bCs/>
          <w:color w:val="000000" w:themeColor="text1"/>
          <w:sz w:val="20"/>
          <w:szCs w:val="20"/>
          <w14:textFill>
            <w14:solidFill>
              <w14:schemeClr w14:val="tx1"/>
            </w14:solidFill>
          </w14:textFill>
        </w:rPr>
        <w:t>B2 (Score 40–55): 2 Companies (4%)</w:t>
      </w:r>
    </w:p>
    <w:p w14:paraId="589B59BF">
      <w:pPr>
        <w:bidi w:val="0"/>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B2 borrowers are at moderate-to-high risk, often due to low income stability, thin banking activity, or weak credit behavior. They may lack digital footprints, file no GST/ITR, and have limited promoter history. While a small segment (4%), they pose challenges for credit assessment. Loans, if offered, should be secured, small-ticket, and short-term, ideally with additional documentation. These borrowers may benefit from credit-building tools and targeted financial education. Conservative exposure is key. B2 borrowers may be viable over time, but for now, lenders must tread carefully and treat this group as </w:t>
      </w:r>
      <w:r>
        <w:rPr>
          <w:rFonts w:hint="default" w:ascii="Times New Roman Regular" w:hAnsi="Times New Roman Regular" w:cs="Times New Roman Regular"/>
          <w:sz w:val="20"/>
          <w:szCs w:val="20"/>
          <w:lang w:val="en-US"/>
        </w:rPr>
        <w:t>watch list</w:t>
      </w:r>
      <w:r>
        <w:rPr>
          <w:rFonts w:hint="default" w:ascii="Times New Roman Regular" w:hAnsi="Times New Roman Regular" w:cs="Times New Roman Regular"/>
          <w:sz w:val="20"/>
          <w:szCs w:val="20"/>
        </w:rPr>
        <w:t xml:space="preserve"> accounts.</w:t>
      </w:r>
    </w:p>
    <w:p w14:paraId="25EC1BFB">
      <w:pPr>
        <w:bidi w:val="0"/>
        <w:rPr>
          <w:rFonts w:hint="default" w:ascii="Times New Roman Regular" w:hAnsi="Times New Roman Regular" w:cs="Times New Roman Regular"/>
          <w:sz w:val="20"/>
          <w:szCs w:val="20"/>
        </w:rPr>
      </w:pPr>
    </w:p>
    <w:p w14:paraId="3759DD4A">
      <w:pPr>
        <w:bidi w:val="0"/>
        <w:rPr>
          <w:rFonts w:hint="default" w:ascii="Times New Roman Bold" w:hAnsi="Times New Roman Bold" w:cs="Times New Roman Bold"/>
          <w:b/>
          <w:bCs/>
          <w:color w:val="000000" w:themeColor="text1"/>
          <w:sz w:val="20"/>
          <w:szCs w:val="20"/>
          <w14:textFill>
            <w14:solidFill>
              <w14:schemeClr w14:val="tx1"/>
            </w14:solidFill>
          </w14:textFill>
        </w:rPr>
      </w:pPr>
      <w:r>
        <w:rPr>
          <w:rFonts w:hint="default" w:ascii="Times New Roman Bold" w:hAnsi="Times New Roman Bold" w:cs="Times New Roman Bold"/>
          <w:b/>
          <w:bCs/>
          <w:color w:val="000000" w:themeColor="text1"/>
          <w:sz w:val="20"/>
          <w:szCs w:val="20"/>
          <w14:textFill>
            <w14:solidFill>
              <w14:schemeClr w14:val="tx1"/>
            </w14:solidFill>
          </w14:textFill>
        </w:rPr>
        <w:t>C (Score &lt; 40): 12 Companies (24%)</w:t>
      </w:r>
    </w:p>
    <w:p w14:paraId="3C835A53">
      <w:pPr>
        <w:bidi w:val="0"/>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grade MSMEs (24%) show poor creditworthiness — irregular income, high EMI ratios, and minimal formal compliance. These businesses often operate in informal sectors with no digital history, unverified income, and no ITR/GST filings. Promoters may lack experience or default history. Lending to this group carries very high risk, and most should be declined or routed to non-traditional financing models (e.g., microfinance or government schemes). This segment highlights the formalization gap among MSMEs. Without collateral or strong alternate data, their inclusion in commercial lending portfolios is discouraged.</w:t>
      </w:r>
    </w:p>
    <w:p w14:paraId="1E123859">
      <w:pPr>
        <w:pStyle w:val="5"/>
        <w:numPr>
          <w:ilvl w:val="0"/>
          <w:numId w:val="2"/>
        </w:numPr>
        <w:bidi w:val="0"/>
        <w:ind w:left="420" w:leftChars="0" w:hanging="420" w:firstLineChars="0"/>
        <w:rPr>
          <w:rFonts w:hint="default" w:ascii="Times New Roman Regular" w:hAnsi="Times New Roman Regular" w:cs="Times New Roman Regular"/>
          <w:sz w:val="20"/>
          <w:szCs w:val="20"/>
          <w:lang w:val="en-US"/>
        </w:rPr>
      </w:pPr>
      <w:r>
        <w:rPr>
          <w:rFonts w:hint="default"/>
          <w:b/>
          <w:bCs/>
          <w:lang w:val="en-US" w:eastAsia="zh-CN"/>
        </w:rPr>
        <w:t>Strategic Recommendation</w:t>
      </w:r>
    </w:p>
    <w:p w14:paraId="72D60DE4">
      <w:pPr>
        <w:bidi w:val="0"/>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lang w:val="en-US" w:eastAsia="zh-CN"/>
        </w:rPr>
        <w:t>Out of 50 MSMEs, 40% (A1 &amp; A2) are prime candidates for immediate credit deployment, showcasing strong financial health and digital compliance. The 32% in B1 and B2 indicate untapped potential but require tighter risk controls, such as reduced loan tenures, collateral backing, or income validation. Meanwhile, 28% in the C category present high default risk and should be excluded from standard lending, unless supported by guarantees or formalization programs. Strategically, the portfolio should focus on scaling lending to A-grade borrowers while nurturing B-grade borrowers through financial literacy, credit-building products, and digital on-boarding to improve their future credit eligibility.</w:t>
      </w:r>
    </w:p>
    <w:p w14:paraId="078A2D5E">
      <w:pPr>
        <w:pStyle w:val="5"/>
        <w:numPr>
          <w:ilvl w:val="0"/>
          <w:numId w:val="2"/>
        </w:numPr>
        <w:bidi w:val="0"/>
        <w:ind w:left="420" w:leftChars="0" w:hanging="420" w:firstLineChars="0"/>
        <w:rPr>
          <w:rFonts w:hint="default" w:asciiTheme="minorHAnsi" w:hAnsiTheme="minorHAnsi" w:eastAsiaTheme="minorEastAsia" w:cstheme="minorBidi"/>
          <w:b/>
          <w:bCs/>
          <w:sz w:val="28"/>
          <w:szCs w:val="28"/>
          <w:lang w:val="en-US" w:eastAsia="zh-CN" w:bidi="ar-SA"/>
        </w:rPr>
      </w:pPr>
      <w:r>
        <w:rPr>
          <w:rFonts w:hint="default"/>
          <w:b/>
          <w:bCs/>
          <w:lang w:val="en-US" w:eastAsia="zh-CN"/>
        </w:rPr>
        <w:t>Conclusion</w:t>
      </w:r>
    </w:p>
    <w:p w14:paraId="1DCB69C9">
      <w:pPr>
        <w:bidi w:val="0"/>
        <w:rPr>
          <w:rFonts w:hint="default" w:ascii="Times New Roman" w:hAnsi="Times New Roman" w:cs="Times New Roman"/>
          <w:b w:val="0"/>
          <w:bCs/>
        </w:rPr>
      </w:pPr>
      <w:r>
        <w:rPr>
          <w:rFonts w:hint="default" w:ascii="Times New Roman" w:hAnsi="Times New Roman" w:cs="Times New Roman"/>
          <w:b w:val="0"/>
          <w:bCs/>
          <w:lang w:val="en-US" w:eastAsia="zh-CN"/>
        </w:rPr>
        <w:t>This project showcases how data-driven scorecards can bridge the gap between financial access and credit risk, especially for MSMEs. By simulating real-world borrower behavior, it demonstrates a scalable approach to responsible lending. The insights pave the way for smarter, inclusive credit ecosystems powered by analytics.</w:t>
      </w:r>
    </w:p>
    <w:p w14:paraId="535BD988">
      <w:pPr>
        <w:bidi w:val="0"/>
        <w:rPr>
          <w:rFonts w:hint="default" w:ascii="Times New Roman Regular" w:hAnsi="Times New Roman Regular" w:cs="Times New Roman Regular"/>
          <w:sz w:val="20"/>
          <w:szCs w:val="20"/>
          <w:lang w:val="en-US"/>
        </w:rPr>
      </w:pPr>
    </w:p>
    <w:p w14:paraId="65893812">
      <w:pPr>
        <w:pStyle w:val="5"/>
        <w:numPr>
          <w:ilvl w:val="0"/>
          <w:numId w:val="2"/>
        </w:numPr>
        <w:bidi w:val="0"/>
        <w:ind w:left="420" w:leftChars="0" w:hanging="420" w:firstLineChars="0"/>
        <w:rPr>
          <w:rFonts w:hint="default" w:ascii="Times New Roman Regular" w:hAnsi="Times New Roman Regular" w:cs="Times New Roman Regular"/>
          <w:sz w:val="20"/>
          <w:szCs w:val="20"/>
        </w:rPr>
      </w:pPr>
      <w:r>
        <w:rPr>
          <w:rFonts w:hint="default"/>
          <w:b/>
          <w:bCs/>
          <w:lang w:val="en-US" w:eastAsia="zh-CN"/>
        </w:rPr>
        <w:t>Appendix</w:t>
      </w:r>
      <w:r>
        <w:rPr>
          <w:rFonts w:hint="default" w:ascii="Times New Roman Regular" w:hAnsi="Times New Roman Regular" w:eastAsia="SimSun" w:cs="Times New Roman Regular"/>
          <w:kern w:val="0"/>
          <w:sz w:val="20"/>
          <w:szCs w:val="20"/>
          <w:lang w:val="en-US" w:eastAsia="zh-CN" w:bidi="ar"/>
        </w:rPr>
        <w:t xml:space="preserve">: </w:t>
      </w:r>
    </w:p>
    <w:p w14:paraId="4DC1EC06">
      <w:pPr>
        <w:bidi w:val="0"/>
        <w:rPr>
          <w:rFonts w:hint="default" w:ascii="Times New Roman Regular" w:hAnsi="Times New Roman Regular" w:cs="Times New Roman Regular"/>
          <w:sz w:val="20"/>
          <w:szCs w:val="20"/>
          <w:lang w:val="en-US"/>
        </w:rPr>
      </w:pPr>
    </w:p>
    <w:p w14:paraId="60A2C591">
      <w:pPr>
        <w:bidi w:val="0"/>
        <w:ind w:right="6944" w:rightChars="3472"/>
        <w:rPr>
          <w:rFonts w:hint="default" w:ascii="Times New Roman Regular" w:hAnsi="Times New Roman Regular" w:cs="Times New Roman Regular"/>
          <w:sz w:val="20"/>
          <w:szCs w:val="20"/>
          <w:lang w:val="en-US"/>
        </w:rPr>
      </w:pPr>
      <w:r>
        <w:rPr>
          <w:rFonts w:hint="default" w:ascii="Times New Roman Regular" w:hAnsi="Times New Roman Regular" w:cs="Times New Roman Regular"/>
          <w:sz w:val="20"/>
          <w:szCs w:val="20"/>
          <w:lang w:val="en-US"/>
        </w:rPr>
        <w:object>
          <v:shape id="_x0000_i1032" o:spt="75" alt="oleimage" type="#_x0000_t75" style="height:60pt;width:60pt;" o:ole="t" filled="f" o:preferrelative="t" stroked="f" coordsize="21600,21600">
            <v:path/>
            <v:fill on="f" focussize="0,0"/>
            <v:stroke on="f"/>
            <v:imagedata r:id="rId5" o:title="oleimage"/>
            <o:lock v:ext="edit" aspectratio="t"/>
            <w10:wrap type="none"/>
            <w10:anchorlock/>
          </v:shape>
          <o:OLEObject Type="Embed" ProgID="Excel.Sheet.12" ShapeID="_x0000_i1032" DrawAspect="Icon" ObjectID="_1468075725" r:id="rId4">
            <o:LockedField>false</o:LockedField>
          </o:OLEObject>
        </w:object>
      </w:r>
    </w:p>
    <w:p w14:paraId="75A33530">
      <w:pPr>
        <w:pStyle w:val="5"/>
        <w:numPr>
          <w:numId w:val="0"/>
        </w:numPr>
        <w:bidi w:val="0"/>
        <w:ind w:leftChars="0"/>
        <w:rPr>
          <w:rFonts w:hint="default" w:ascii="Times New Roman Regular" w:hAnsi="Times New Roman Regular" w:cs="Times New Roman Regular"/>
          <w:sz w:val="20"/>
          <w:szCs w:val="20"/>
        </w:rPr>
      </w:pPr>
      <w:r>
        <w:rPr>
          <w:rFonts w:hint="default" w:ascii="Times New Roman Regular" w:hAnsi="Times New Roman Regular" w:eastAsia="SimSun" w:cs="Times New Roman Regular"/>
          <w:kern w:val="0"/>
          <w:sz w:val="20"/>
          <w:szCs w:val="20"/>
          <w:lang w:val="en-US" w:eastAsia="zh-CN" w:bidi="ar"/>
        </w:rPr>
        <w:t>Embedded Excel Dataset and Scorecard</w:t>
      </w:r>
    </w:p>
    <w:p w14:paraId="61C2B331">
      <w:pPr>
        <w:bidi w:val="0"/>
        <w:rPr>
          <w:rFonts w:hint="default" w:ascii="Times New Roman Regular" w:hAnsi="Times New Roman Regular" w:cs="Times New Roman Regular"/>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EEBCDE"/>
    <w:multiLevelType w:val="singleLevel"/>
    <w:tmpl w:val="ECEEBCD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767EF82A"/>
    <w:multiLevelType w:val="singleLevel"/>
    <w:tmpl w:val="767EF82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74D55"/>
    <w:rsid w:val="6FB74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1159</Words>
  <Characters>6744</Characters>
  <Lines>0</Lines>
  <Paragraphs>0</Paragraphs>
  <TotalTime>40</TotalTime>
  <ScaleCrop>false</ScaleCrop>
  <LinksUpToDate>false</LinksUpToDate>
  <CharactersWithSpaces>8036</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2025-07-03T22:30:00Z</dcterms:created>
  <dc:creator>Indranil Acharya</dc:creator>
  <cp:lastModifiedBy>Indranil Acharya</cp:lastModifiedBy>
  <dcterms:modified xsi:type="dcterms:W3CDTF">2025-07-04T00:03:43Z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58397FEA0217D35D1AB76668482D2BA9_41</vt:lpwstr>
  </property>
</Properties>
</file>