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4E79"/>
          <w:sz w:val="56"/>
          <w:szCs w:val="56"/>
        </w:rPr>
        <w:t xml:space="preserve">Plan de Gestión de Incidentes</w:t>
      </w:r>
    </w:p>
    <w:p>
      <w:pPr>
        <w:spacing w:after="600" w:before="120"/>
        <w:jc w:val="center"/>
      </w:pPr>
      <w:r>
        <w:rPr>
          <w:color w:val="404040"/>
          <w:sz w:val="28"/>
          <w:szCs w:val="28"/>
        </w:rPr>
        <w:t xml:space="preserve">Plataforma de Gestión de Seguridad Industrial — SafeIndustrial</w:t>
      </w:r>
    </w:p>
    <w:p>
      <w:pPr>
        <w:spacing w:after="60"/>
        <w:jc w:val="center"/>
      </w:pPr>
      <w:r>
        <w:rPr>
          <w:sz w:val="22"/>
          <w:szCs w:val="22"/>
        </w:rPr>
        <w:t xml:space="preserve">Marco: ITIL 4 — Incident Management + ISO/IEC 20000</w:t>
      </w:r>
    </w:p>
    <w:p>
      <w:pPr>
        <w:spacing w:after="60"/>
        <w:jc w:val="center"/>
      </w:pPr>
      <w:r>
        <w:rPr>
          <w:sz w:val="22"/>
          <w:szCs w:val="22"/>
        </w:rPr>
        <w:t xml:space="preserve">Curso Integrador II — Universidad Tecnológica del Perú</w:t>
      </w:r>
    </w:p>
    <w:p>
      <w:pPr>
        <w:spacing w:after="600"/>
        <w:jc w:val="center"/>
      </w:pPr>
      <w:r>
        <w:rPr>
          <w:sz w:val="22"/>
          <w:szCs w:val="22"/>
        </w:rPr>
        <w:t xml:space="preserve">Semana 14 — Sesión 27</w:t>
      </w:r>
    </w:p>
    <w:p>
      <w:pPr>
        <w:spacing w:after="30"/>
        <w:jc w:val="center"/>
      </w:pPr>
      <w:r>
        <w:rPr>
          <w:color w:val="606060"/>
          <w:sz w:val="20"/>
          <w:szCs w:val="20"/>
        </w:rPr>
        <w:t xml:space="preserve">Product Owner: Mg. Ing. Rene Alonso Nieto Valencia</w:t>
      </w:r>
    </w:p>
    <w:p>
      <w:pPr>
        <w:spacing w:after="30"/>
        <w:jc w:val="center"/>
      </w:pPr>
      <w:r>
        <w:rPr>
          <w:color w:val="606060"/>
          <w:sz w:val="20"/>
          <w:szCs w:val="20"/>
        </w:rPr>
        <w:t xml:space="preserve">Líder técnico: Ricardo Ismael — Backend: Imanol, Jeferson</w:t>
      </w:r>
    </w:p>
    <w:p>
      <w:r>
        <w:br w:type="page"/>
      </w:r>
    </w:p>
    <w:p>
      <w:pPr>
        <w:spacing w:after="160"/>
      </w:pPr>
      <w:r>
        <w:rPr>
          <w:b/>
          <w:bCs/>
          <w:color w:val="1F4E79"/>
          <w:sz w:val="32"/>
          <w:szCs w:val="32"/>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Aclaración de alcance — dos sentidos de “incidente”</w:t>
      </w:r>
    </w:p>
    <w:p>
      <w:pPr>
        <w:spacing w:after="120"/>
      </w:pPr>
      <w:r>
        <w:t xml:space="preserve">SafeIndustrial maneja la palabra “incidente” en dos planos. Es importante no confundirlos: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rPr>
          <w:tblHeader/>
        </w:trPr>
        <w:tc>
          <w:tcPr>
            <w:tcW w:type="dxa" w:w="2808"/>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Tipo</w:t>
            </w:r>
          </w:p>
        </w:tc>
        <w:tc>
          <w:tcPr>
            <w:tcW w:type="dxa" w:w="468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Qué es</w:t>
            </w:r>
          </w:p>
        </w:tc>
        <w:tc>
          <w:tcPr>
            <w:tcW w:type="dxa" w:w="1872"/>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¿Foco de este plan?</w:t>
            </w:r>
          </w:p>
        </w:tc>
      </w:tr>
      <w:tr>
        <w:tc>
          <w:tcPr>
            <w:tcW w:type="dxa" w:w="280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Incidente de seguridad industrial (negocio)</w:t>
            </w:r>
          </w:p>
        </w:tc>
        <w:tc>
          <w:tcPr>
            <w:tcW w:type="dxa" w:w="46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Evento de riesgo de un trabajador/planta que gestiona safety-service</w:t>
            </w:r>
          </w:p>
        </w:tc>
        <w:tc>
          <w:tcPr>
            <w:tcW w:type="dxa" w:w="187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No</w:t>
            </w:r>
          </w:p>
        </w:tc>
      </w:tr>
      <w:tr>
        <w:tc>
          <w:tcPr>
            <w:tcW w:type="dxa" w:w="280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Incidente de TI / operación (plataforma)</w:t>
            </w:r>
          </w:p>
        </w:tc>
        <w:tc>
          <w:tcPr>
            <w:tcW w:type="dxa" w:w="468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Interrupción no planificada del servicio TI: portal caído, login fallando, BD saturada</w:t>
            </w:r>
          </w:p>
        </w:tc>
        <w:tc>
          <w:tcPr>
            <w:tcW w:type="dxa" w:w="187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Sí</w:t>
            </w:r>
          </w:p>
        </w:tc>
      </w:tr>
    </w:tbl>
    <w:p>
      <w:pPr>
        <w:spacing w:after="80"/>
      </w:pPr>
    </w:p>
    <w:p>
      <w:pPr>
        <w:pBdr>
          <w:left w:val="single" w:color="1F4E79" w:sz="18" w:space="12"/>
        </w:pBdr>
        <w:spacing w:after="120" w:before="120"/>
        <w:ind w:left="240"/>
      </w:pPr>
      <w:r>
        <w:rPr>
          <w:i/>
          <w:iCs/>
        </w:rPr>
        <w:t xml:space="preserve">Argumento rector: una plataforma cuyo propósito es gestionar la seguridad debe ser ella misma operativamente confiable. Si SafeIndustrial se cae, la empresa cliente se queda sin gestión de seguridad. Por eso la gestión de incidentes de TI es crítica para el negocio.</w:t>
      </w:r>
    </w:p>
    <w:p>
      <w:pPr>
        <w:pStyle w:val="Heading1"/>
      </w:pPr>
      <w:r>
        <w:t xml:space="preserve">1. Introducción y contexto (Caso de estudio)</w:t>
      </w:r>
    </w:p>
    <w:p>
      <w:pPr>
        <w:spacing w:after="120"/>
      </w:pPr>
      <w:r>
        <w:t xml:space="preserve">SafeIndustrial es un backend de microservicios Spring Boot (Java 25) desplegado en AWS ECS Fargate, con base de datos RDS PostgreSQL, bus de eventos Amazon MQ (RabbitMQ), autenticación Keycloak y descubrimiento de servicios por Cloud Map. Esta arquitectura distribuida tiene múltiples puntos de falla, y </w:t>
      </w:r>
      <w:r>
        <w:rPr>
          <w:b/>
          <w:bCs/>
        </w:rPr>
        <w:t xml:space="preserve">ya implementa</w:t>
      </w:r>
      <w:r>
        <w:t xml:space="preserve"> mecanismos reales de detección y respuesta a incidentes. Este plan los documenta bajo ITIL e identifica las mejoras pendientes.</w:t>
      </w:r>
    </w:p>
    <w:p>
      <w:pPr>
        <w:pStyle w:val="Heading2"/>
      </w:pPr>
      <w:r>
        <w:t xml:space="preserve">1.1 Componentes reales que intervienen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4255"/>
        <w:gridCol w:w="2552"/>
      </w:tblGrid>
      <w:tr>
        <w:trPr>
          <w:tblHeader/>
        </w:trPr>
        <w:tc>
          <w:tcPr>
            <w:tcW w:type="dxa" w:w="255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Componente</w:t>
            </w:r>
          </w:p>
        </w:tc>
        <w:tc>
          <w:tcPr>
            <w:tcW w:type="dxa" w:w="4255"/>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Rol en la gestión de incidentes</w:t>
            </w:r>
          </w:p>
        </w:tc>
        <w:tc>
          <w:tcPr>
            <w:tcW w:type="dxa" w:w="2552"/>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Evidencia</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Amazon CloudWatch (Alarmas)</w:t>
            </w:r>
          </w:p>
        </w:tc>
        <w:tc>
          <w:tcPr>
            <w:tcW w:type="dxa" w:w="425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Detección 24/7 externa: vigila CPU, RAM, estado de la BD y backlog de colas. Dispara el incidente automáticamente</w:t>
            </w:r>
          </w:p>
        </w:tc>
        <w:tc>
          <w:tcPr>
            <w:tcW w:type="dxa" w:w="2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17 alarmas activas (ECS CPU&gt;70%, RAM&gt;75%; RDS CPU/disco/memoria)</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Amazon SNS</w:t>
            </w:r>
          </w:p>
        </w:tc>
        <w:tc>
          <w:tcPr>
            <w:tcW w:type="dxa" w:w="425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Notificación / escalamiento: avisa al equipo por correo cuando una alarma entra en ALARM</w:t>
            </w:r>
          </w:p>
        </w:tc>
        <w:tc>
          <w:tcPr>
            <w:tcW w:type="dxa" w:w="2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Topic safeindustrial-alarmas → email del líder</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Container Insights (ECS)</w:t>
            </w:r>
          </w:p>
        </w:tc>
        <w:tc>
          <w:tcPr>
            <w:tcW w:type="dxa" w:w="425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Publica las métricas de CPU/RAM que CloudWatch evalúa</w:t>
            </w:r>
          </w:p>
        </w:tc>
        <w:tc>
          <w:tcPr>
            <w:tcW w:type="dxa" w:w="2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Habilitado en industrial-safety-cluster</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RabbitMQ + DLQ</w:t>
            </w:r>
          </w:p>
        </w:tc>
        <w:tc>
          <w:tcPr>
            <w:tcW w:type="dxa" w:w="425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Resiliencia: un mensaje que falla cae a Dead Letter Queue (incidente de integración, no se pierde)</w:t>
            </w:r>
          </w:p>
        </w:tc>
        <w:tc>
          <w:tcPr>
            <w:tcW w:type="dxa" w:w="2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RabbitMQConfig; colas *.dlq</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Deployment Circuit Breaker (ECS)</w:t>
            </w:r>
          </w:p>
        </w:tc>
        <w:tc>
          <w:tcPr>
            <w:tcW w:type="dxa" w:w="425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Resolución automática: si un despliegue falla el health check, ECS hace rollback solo</w:t>
            </w:r>
          </w:p>
        </w:tc>
        <w:tc>
          <w:tcPr>
            <w:tcW w:type="dxa" w:w="2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apply-capacity-plan.ps1 -CircuitBreaker</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api-gateway + health checks</w:t>
            </w:r>
          </w:p>
        </w:tc>
        <w:tc>
          <w:tcPr>
            <w:tcW w:type="dxa" w:w="425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Punto único de entrada; los health checks detectan servicios no disponibles</w:t>
            </w:r>
          </w:p>
        </w:tc>
        <w:tc>
          <w:tcPr>
            <w:tcW w:type="dxa" w:w="2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api-gateway, rutas RBAC</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notification-service</w:t>
            </w:r>
          </w:p>
        </w:tc>
        <w:tc>
          <w:tcPr>
            <w:tcW w:type="dxa" w:w="425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Comunicación a usuarios/afectados (email, alerta WebSocket) durante un incidente</w:t>
            </w:r>
          </w:p>
        </w:tc>
        <w:tc>
          <w:tcPr>
            <w:tcW w:type="dxa" w:w="2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colas notification.email, notification.ws.alert</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GitHub Actions (CI/CD)</w:t>
            </w:r>
          </w:p>
        </w:tc>
        <w:tc>
          <w:tcPr>
            <w:tcW w:type="dxa" w:w="425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Trazabilidad de cambios; imagen versionada por :sha (saber qué cambio causó el incidente)</w:t>
            </w:r>
          </w:p>
        </w:tc>
        <w:tc>
          <w:tcPr>
            <w:tcW w:type="dxa" w:w="2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.github/workflows/deploy.yml</w:t>
            </w:r>
          </w:p>
        </w:tc>
      </w:tr>
    </w:tbl>
    <w:p>
      <w:pPr>
        <w:spacing w:after="80"/>
      </w:pPr>
    </w:p>
    <w:p>
      <w:pPr>
        <w:pStyle w:val="Heading2"/>
      </w:pPr>
      <w:r>
        <w:t xml:space="preserve">1.2 Arquitectura del flujo de gestión de incidentes (vista lógica)</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SISTEMA OBSERVADO (interno)                   │  ← solo EMITE métricas</w:t>
      </w:r>
    </w:p>
    <w:p>
      <w:pPr>
        <w:shd w:fill="F2F2F2" w:val="clear"/>
        <w:spacing w:after="0"/>
      </w:pPr>
      <w:r>
        <w:rPr>
          <w:rFonts w:ascii="Consolas" w:cs="Consolas" w:eastAsia="Consolas" w:hAnsi="Consolas"/>
          <w:sz w:val="17"/>
          <w:szCs w:val="17"/>
        </w:rPr>
        <w:t xml:space="preserve">│  ECS Fargate: api-gateway, user, safety,       │</w:t>
      </w:r>
    </w:p>
    <w:p>
      <w:pPr>
        <w:shd w:fill="F2F2F2" w:val="clear"/>
        <w:spacing w:after="0"/>
      </w:pPr>
      <w:r>
        <w:rPr>
          <w:rFonts w:ascii="Consolas" w:cs="Consolas" w:eastAsia="Consolas" w:hAnsi="Consolas"/>
          <w:sz w:val="17"/>
          <w:szCs w:val="17"/>
        </w:rPr>
        <w:t xml:space="preserve">│  order, payment, purchase, solicitudes,        │</w:t>
      </w:r>
    </w:p>
    <w:p>
      <w:pPr>
        <w:shd w:fill="F2F2F2" w:val="clear"/>
        <w:spacing w:after="0"/>
      </w:pPr>
      <w:r>
        <w:rPr>
          <w:rFonts w:ascii="Consolas" w:cs="Consolas" w:eastAsia="Consolas" w:hAnsi="Consolas"/>
          <w:sz w:val="17"/>
          <w:szCs w:val="17"/>
        </w:rPr>
        <w:t xml:space="preserve">│  course, exam, chat, notification, Keycloak    │</w:t>
      </w:r>
    </w:p>
    <w:p>
      <w:pPr>
        <w:shd w:fill="F2F2F2" w:val="clear"/>
        <w:spacing w:after="0"/>
      </w:pPr>
      <w:r>
        <w:rPr>
          <w:rFonts w:ascii="Consolas" w:cs="Consolas" w:eastAsia="Consolas" w:hAnsi="Consolas"/>
          <w:sz w:val="17"/>
          <w:szCs w:val="17"/>
        </w:rPr>
        <w:t xml:space="preserve">│  RDS PostgreSQL · Amazon MQ (RabbitMQ)         │</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  métricas (push automático)</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CAPA DE GESTIÓN (externa, AWS-managed)        │  ← sigue viva aunque</w:t>
      </w:r>
    </w:p>
    <w:p>
      <w:pPr>
        <w:shd w:fill="F2F2F2" w:val="clear"/>
        <w:spacing w:after="0"/>
      </w:pPr>
      <w:r>
        <w:rPr>
          <w:rFonts w:ascii="Consolas" w:cs="Consolas" w:eastAsia="Consolas" w:hAnsi="Consolas"/>
          <w:sz w:val="17"/>
          <w:szCs w:val="17"/>
        </w:rPr>
        <w:t xml:space="preserve">│  CloudWatch (DETECTA) → Alarma (CLASIFICA)     │    el cluster caiga</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SNS topic safeindustrial-alarmas (NOTIFICA)   │</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 correo al equipo → REGISTRO / ticket      │</w:t>
      </w:r>
    </w:p>
    <w:p>
      <w:pPr>
        <w:shd w:fill="F2F2F2" w:val="clear"/>
        <w:spacing w:after="120"/>
      </w:pPr>
      <w:r>
        <w:rPr>
          <w:rFonts w:ascii="Consolas" w:cs="Consolas" w:eastAsia="Consolas" w:hAnsi="Consolas"/>
          <w:sz w:val="17"/>
          <w:szCs w:val="17"/>
        </w:rPr>
        <w:t xml:space="preserve">└──────────────────────────────────────────────┘</w:t>
      </w:r>
    </w:p>
    <w:p>
      <w:pPr>
        <w:pBdr>
          <w:left w:val="single" w:color="1F4E79" w:sz="18" w:space="12"/>
        </w:pBdr>
        <w:spacing w:after="120" w:before="120"/>
        <w:ind w:left="240"/>
      </w:pPr>
      <w:r>
        <w:rPr>
          <w:i/>
          <w:iCs/>
        </w:rPr>
        <w:t xml:space="preserve">Principio de independencia: la capa de detección (CloudWatch + SNS) es administrada por AWS y externa al cluster. Si todo el backend se cae, CloudWatch lo sigue viendo desde afuera y SNS sigue avisando. No se le puede pedir al sistema caído que avise de su propia caída.</w:t>
      </w:r>
    </w:p>
    <w:p>
      <w:pPr>
        <w:pStyle w:val="Heading1"/>
      </w:pPr>
      <w:r>
        <w:t xml:space="preserve">2. Identificación y Clasificación de Incidentes</w:t>
      </w:r>
    </w:p>
    <w:p>
      <w:pPr>
        <w:pStyle w:val="Heading2"/>
      </w:pPr>
      <w:r>
        <w:t xml:space="preserve">2.1 Identificación (¿cómo se detecta?)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tblHeader/>
        </w:trPr>
        <w:tc>
          <w:tcPr>
            <w:tcW w:type="dxa" w:w="255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Mecanismo</w:t>
            </w:r>
          </w:p>
        </w:tc>
        <w:tc>
          <w:tcPr>
            <w:tcW w:type="dxa" w:w="3404"/>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Qué detecta</w:t>
            </w:r>
          </w:p>
        </w:tc>
        <w:tc>
          <w:tcPr>
            <w:tcW w:type="dxa" w:w="340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En SafeIndustrial</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Monitoreo (automático)</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CPU/RAM altas, BD saturada, disco lleno</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Alarmas CloudWatch (las 17 activas)</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Mensajería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Mensajes que fallan y caen a DLQ</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Colas *.dlq de RabbitMQ</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Health checks</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Servicio no responde / no disponible</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api-gateway + ECS health checks</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Usuario / Mesa de ayuda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Reporte manual (no puedo entrar, va lento)</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Canal de soporte → ticket</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Despliegue fallido</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Una versión nueva rompe el servicio</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Circuit breaker ECS (auto-rollback)</w:t>
            </w:r>
          </w:p>
        </w:tc>
      </w:tr>
    </w:tbl>
    <w:p>
      <w:pPr>
        <w:spacing w:after="80"/>
      </w:pPr>
    </w:p>
    <w:p>
      <w:pPr>
        <w:pStyle w:val="Heading2"/>
      </w:pPr>
      <w:r>
        <w:t xml:space="preserve">2.2 Clasificación (categorías -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Categoría</w:t>
            </w:r>
          </w:p>
        </w:tc>
        <w:tc>
          <w:tcPr>
            <w:tcW w:type="dxa" w:w="624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Componente de SafeIndustrial</w:t>
            </w:r>
          </w:p>
        </w:tc>
      </w:tr>
      <w:tr>
        <w:tc>
          <w:tcPr>
            <w:tcW w:type="dxa" w:w="312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Infraestructura</w:t>
            </w:r>
          </w:p>
        </w:tc>
        <w:tc>
          <w:tcPr>
            <w:tcW w:type="dxa" w:w="624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ECS Fargate (cluster, tareas), red, gateway</w:t>
            </w:r>
          </w:p>
        </w:tc>
      </w:tr>
      <w:tr>
        <w:tc>
          <w:tcPr>
            <w:tcW w:type="dxa" w:w="312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Aplicaciones</w:t>
            </w:r>
          </w:p>
        </w:tc>
        <w:tc>
          <w:tcPr>
            <w:tcW w:type="dxa" w:w="624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Microservicios Spring Boot, Keycloak (login)</w:t>
            </w:r>
          </w:p>
        </w:tc>
      </w:tr>
      <w:tr>
        <w:tc>
          <w:tcPr>
            <w:tcW w:type="dxa" w:w="312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Base de Datos</w:t>
            </w:r>
          </w:p>
        </w:tc>
        <w:tc>
          <w:tcPr>
            <w:tcW w:type="dxa" w:w="624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RDS PostgreSQL db-industrial-safety</w:t>
            </w:r>
          </w:p>
        </w:tc>
      </w:tr>
      <w:tr>
        <w:tc>
          <w:tcPr>
            <w:tcW w:type="dxa" w:w="312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Redes y Mensajería</w:t>
            </w:r>
          </w:p>
        </w:tc>
        <w:tc>
          <w:tcPr>
            <w:tcW w:type="dxa" w:w="624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Cloud Map (DNS interno), Amazon MQ (RabbitMQ)</w:t>
            </w:r>
          </w:p>
        </w:tc>
      </w:tr>
      <w:tr>
        <w:tc>
          <w:tcPr>
            <w:tcW w:type="dxa" w:w="312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Seguridad</w:t>
            </w:r>
          </w:p>
        </w:tc>
        <w:tc>
          <w:tcPr>
            <w:tcW w:type="dxa" w:w="624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Keycloak / autenticación / RBAC del gateway</w:t>
            </w:r>
          </w:p>
        </w:tc>
      </w:tr>
    </w:tbl>
    <w:p>
      <w:pPr>
        <w:spacing w:after="80"/>
      </w:pPr>
    </w:p>
    <w:p>
      <w:pPr>
        <w:pStyle w:val="Heading2"/>
      </w:pPr>
      <w:r>
        <w:t xml:space="preserve">2.3 Matriz de priorización (Impacto × Urgencia → Prioridad)</w:t>
      </w:r>
    </w:p>
    <w:p>
      <w:pPr>
        <w:pStyle w:val="ListParagraph"/>
        <w:numPr>
          <w:ilvl w:val="0"/>
          <w:numId w:val="2"/>
        </w:numPr>
        <w:spacing w:after="40"/>
      </w:pPr>
      <w:r>
        <w:t xml:space="preserve">Impacto: ¿cuántos usuarios/servicios afecta?</w:t>
      </w:r>
    </w:p>
    <w:p>
      <w:pPr>
        <w:pStyle w:val="ListParagraph"/>
        <w:numPr>
          <w:ilvl w:val="0"/>
          <w:numId w:val="2"/>
        </w:numPr>
        <w:spacing w:after="40"/>
      </w:pPr>
      <w:r>
        <w:t xml:space="preserve">Urgencia: ¿qué tan rápido debe resolverse?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Impacto \ Urgencia</w:t>
            </w:r>
          </w:p>
        </w:tc>
        <w:tc>
          <w:tcPr>
            <w:tcW w:type="dxa" w:w="208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Alta</w:t>
            </w:r>
          </w:p>
        </w:tc>
        <w:tc>
          <w:tcPr>
            <w:tcW w:type="dxa" w:w="208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Media</w:t>
            </w:r>
          </w:p>
        </w:tc>
        <w:tc>
          <w:tcPr>
            <w:tcW w:type="dxa" w:w="2080"/>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Baja</w:t>
            </w:r>
          </w:p>
        </w:tc>
      </w:tr>
      <w:tr>
        <w:tc>
          <w:tcPr>
            <w:tcW w:type="dxa" w:w="312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Alto</w:t>
            </w:r>
          </w:p>
        </w:tc>
        <w:tc>
          <w:tcPr>
            <w:tcW w:type="dxa" w:w="20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Crítica</w:t>
            </w:r>
          </w:p>
        </w:tc>
        <w:tc>
          <w:tcPr>
            <w:tcW w:type="dxa" w:w="20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Alta</w:t>
            </w:r>
          </w:p>
        </w:tc>
        <w:tc>
          <w:tcPr>
            <w:tcW w:type="dxa" w:w="20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Media</w:t>
            </w:r>
          </w:p>
        </w:tc>
      </w:tr>
      <w:tr>
        <w:tc>
          <w:tcPr>
            <w:tcW w:type="dxa" w:w="312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Medio</w:t>
            </w:r>
          </w:p>
        </w:tc>
        <w:tc>
          <w:tcPr>
            <w:tcW w:type="dxa" w:w="208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Alta</w:t>
            </w:r>
          </w:p>
        </w:tc>
        <w:tc>
          <w:tcPr>
            <w:tcW w:type="dxa" w:w="208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Media</w:t>
            </w:r>
          </w:p>
        </w:tc>
        <w:tc>
          <w:tcPr>
            <w:tcW w:type="dxa" w:w="2080"/>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Baja</w:t>
            </w:r>
          </w:p>
        </w:tc>
      </w:tr>
      <w:tr>
        <w:tc>
          <w:tcPr>
            <w:tcW w:type="dxa" w:w="312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Bajo</w:t>
            </w:r>
          </w:p>
        </w:tc>
        <w:tc>
          <w:tcPr>
            <w:tcW w:type="dxa" w:w="20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Media</w:t>
            </w:r>
          </w:p>
        </w:tc>
        <w:tc>
          <w:tcPr>
            <w:tcW w:type="dxa" w:w="20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Baja</w:t>
            </w:r>
          </w:p>
        </w:tc>
        <w:tc>
          <w:tcPr>
            <w:tcW w:type="dxa" w:w="2080"/>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Baja</w:t>
            </w:r>
          </w:p>
        </w:tc>
      </w:tr>
    </w:tbl>
    <w:p>
      <w:pPr>
        <w:spacing w:after="80"/>
      </w:pPr>
    </w:p>
    <w:p>
      <w:pPr>
        <w:pStyle w:val="Heading2"/>
      </w:pPr>
      <w:r>
        <w:t xml:space="preserve">2.4 Identificación y clasificación de los incidentes del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7"/>
        <w:gridCol w:w="2713"/>
        <w:gridCol w:w="1763"/>
        <w:gridCol w:w="2035"/>
        <w:gridCol w:w="678"/>
        <w:gridCol w:w="678"/>
        <w:gridCol w:w="1086"/>
      </w:tblGrid>
      <w:tr>
        <w:trPr>
          <w:tblHeader/>
        </w:trPr>
        <w:tc>
          <w:tcPr>
            <w:tcW w:type="dxa" w:w="407"/>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w:t>
            </w:r>
          </w:p>
        </w:tc>
        <w:tc>
          <w:tcPr>
            <w:tcW w:type="dxa" w:w="271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Incidente real</w:t>
            </w:r>
          </w:p>
        </w:tc>
        <w:tc>
          <w:tcPr>
            <w:tcW w:type="dxa" w:w="176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Categoría - Tipo</w:t>
            </w:r>
          </w:p>
        </w:tc>
        <w:tc>
          <w:tcPr>
            <w:tcW w:type="dxa" w:w="2035"/>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Detección</w:t>
            </w:r>
          </w:p>
        </w:tc>
        <w:tc>
          <w:tcPr>
            <w:tcW w:type="dxa" w:w="678"/>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Imp.</w:t>
            </w:r>
          </w:p>
        </w:tc>
        <w:tc>
          <w:tcPr>
            <w:tcW w:type="dxa" w:w="678"/>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Urg.</w:t>
            </w:r>
          </w:p>
        </w:tc>
        <w:tc>
          <w:tcPr>
            <w:tcW w:type="dxa" w:w="1086"/>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Prioridad</w:t>
            </w:r>
          </w:p>
        </w:tc>
      </w:tr>
      <w:tr>
        <w:tc>
          <w:tcPr>
            <w:tcW w:type="dxa" w:w="40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1</w:t>
            </w:r>
          </w:p>
        </w:tc>
        <w:tc>
          <w:tcPr>
            <w:tcW w:type="dxa" w:w="271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api-gateway no responde (portal caído)</w:t>
            </w:r>
          </w:p>
        </w:tc>
        <w:tc>
          <w:tcPr>
            <w:tcW w:type="dxa" w:w="176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Infraestructura</w:t>
            </w:r>
          </w:p>
        </w:tc>
        <w:tc>
          <w:tcPr>
            <w:tcW w:type="dxa" w:w="203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Alarma CPU/RAM + health check</w:t>
            </w:r>
          </w:p>
        </w:tc>
        <w:tc>
          <w:tcPr>
            <w:tcW w:type="dxa" w:w="67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Alto</w:t>
            </w:r>
          </w:p>
        </w:tc>
        <w:tc>
          <w:tcPr>
            <w:tcW w:type="dxa" w:w="67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Alta</w:t>
            </w:r>
          </w:p>
        </w:tc>
        <w:tc>
          <w:tcPr>
            <w:tcW w:type="dxa" w:w="108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Crítica</w:t>
            </w:r>
          </w:p>
        </w:tc>
      </w:tr>
      <w:tr>
        <w:tc>
          <w:tcPr>
            <w:tcW w:type="dxa" w:w="40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2</w:t>
            </w:r>
          </w:p>
        </w:tc>
        <w:tc>
          <w:tcPr>
            <w:tcW w:type="dxa" w:w="271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Usuarios no pueden iniciar sesión</w:t>
            </w:r>
          </w:p>
        </w:tc>
        <w:tc>
          <w:tcPr>
            <w:tcW w:type="dxa" w:w="176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Seguridad / Apps</w:t>
            </w:r>
          </w:p>
        </w:tc>
        <w:tc>
          <w:tcPr>
            <w:tcW w:type="dxa" w:w="203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Health check + reporte</w:t>
            </w:r>
          </w:p>
        </w:tc>
        <w:tc>
          <w:tcPr>
            <w:tcW w:type="dxa" w:w="67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Alto</w:t>
            </w:r>
          </w:p>
        </w:tc>
        <w:tc>
          <w:tcPr>
            <w:tcW w:type="dxa" w:w="67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Media</w:t>
            </w:r>
          </w:p>
        </w:tc>
        <w:tc>
          <w:tcPr>
            <w:tcW w:type="dxa" w:w="108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Alta</w:t>
            </w:r>
          </w:p>
        </w:tc>
      </w:tr>
      <w:tr>
        <w:tc>
          <w:tcPr>
            <w:tcW w:type="dxa" w:w="40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3</w:t>
            </w:r>
          </w:p>
        </w:tc>
        <w:tc>
          <w:tcPr>
            <w:tcW w:type="dxa" w:w="271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Reportes con información incorrecta</w:t>
            </w:r>
          </w:p>
        </w:tc>
        <w:tc>
          <w:tcPr>
            <w:tcW w:type="dxa" w:w="176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BD / Aplicaciones</w:t>
            </w:r>
          </w:p>
        </w:tc>
        <w:tc>
          <w:tcPr>
            <w:tcW w:type="dxa" w:w="203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Reporte + revisión datos</w:t>
            </w:r>
          </w:p>
        </w:tc>
        <w:tc>
          <w:tcPr>
            <w:tcW w:type="dxa" w:w="67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Medio</w:t>
            </w:r>
          </w:p>
        </w:tc>
        <w:tc>
          <w:tcPr>
            <w:tcW w:type="dxa" w:w="67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Media</w:t>
            </w:r>
          </w:p>
        </w:tc>
        <w:tc>
          <w:tcPr>
            <w:tcW w:type="dxa" w:w="108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Media</w:t>
            </w:r>
          </w:p>
        </w:tc>
      </w:tr>
      <w:tr>
        <w:tc>
          <w:tcPr>
            <w:tcW w:type="dxa" w:w="40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4</w:t>
            </w:r>
          </w:p>
        </w:tc>
        <w:tc>
          <w:tcPr>
            <w:tcW w:type="dxa" w:w="271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Lentitud general (CPU/RAM, backlog)</w:t>
            </w:r>
          </w:p>
        </w:tc>
        <w:tc>
          <w:tcPr>
            <w:tcW w:type="dxa" w:w="176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Redes/Mensajería</w:t>
            </w:r>
          </w:p>
        </w:tc>
        <w:tc>
          <w:tcPr>
            <w:tcW w:type="dxa" w:w="203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Alarma RAM&gt;75% + backlog MQ</w:t>
            </w:r>
          </w:p>
        </w:tc>
        <w:tc>
          <w:tcPr>
            <w:tcW w:type="dxa" w:w="67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Bajo</w:t>
            </w:r>
          </w:p>
        </w:tc>
        <w:tc>
          <w:tcPr>
            <w:tcW w:type="dxa" w:w="67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Baja</w:t>
            </w:r>
          </w:p>
        </w:tc>
        <w:tc>
          <w:tcPr>
            <w:tcW w:type="dxa" w:w="108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Baja</w:t>
            </w:r>
          </w:p>
        </w:tc>
      </w:tr>
      <w:tr>
        <w:tc>
          <w:tcPr>
            <w:tcW w:type="dxa" w:w="40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5</w:t>
            </w:r>
          </w:p>
        </w:tc>
        <w:tc>
          <w:tcPr>
            <w:tcW w:type="dxa" w:w="271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RDS con CPU al 98% (BD saturada)</w:t>
            </w:r>
          </w:p>
        </w:tc>
        <w:tc>
          <w:tcPr>
            <w:tcW w:type="dxa" w:w="176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Base de Datos</w:t>
            </w:r>
          </w:p>
        </w:tc>
        <w:tc>
          <w:tcPr>
            <w:tcW w:type="dxa" w:w="203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Alarma rds-cpu-db-industrial-safety</w:t>
            </w:r>
          </w:p>
        </w:tc>
        <w:tc>
          <w:tcPr>
            <w:tcW w:type="dxa" w:w="67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Alto</w:t>
            </w:r>
          </w:p>
        </w:tc>
        <w:tc>
          <w:tcPr>
            <w:tcW w:type="dxa" w:w="67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Alta</w:t>
            </w:r>
          </w:p>
        </w:tc>
        <w:tc>
          <w:tcPr>
            <w:tcW w:type="dxa" w:w="108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Crítica</w:t>
            </w:r>
          </w:p>
        </w:tc>
      </w:tr>
      <w:tr>
        <w:tc>
          <w:tcPr>
            <w:tcW w:type="dxa" w:w="40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6</w:t>
            </w:r>
          </w:p>
        </w:tc>
        <w:tc>
          <w:tcPr>
            <w:tcW w:type="dxa" w:w="271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Mensajes en DLQ (eventos que fallan)</w:t>
            </w:r>
          </w:p>
        </w:tc>
        <w:tc>
          <w:tcPr>
            <w:tcW w:type="dxa" w:w="176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Redes/Mensajería</w:t>
            </w:r>
          </w:p>
        </w:tc>
        <w:tc>
          <w:tcPr>
            <w:tcW w:type="dxa" w:w="203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Alarma backlog *.dlq</w:t>
            </w:r>
          </w:p>
        </w:tc>
        <w:tc>
          <w:tcPr>
            <w:tcW w:type="dxa" w:w="67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Medio</w:t>
            </w:r>
          </w:p>
        </w:tc>
        <w:tc>
          <w:tcPr>
            <w:tcW w:type="dxa" w:w="67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Media</w:t>
            </w:r>
          </w:p>
        </w:tc>
        <w:tc>
          <w:tcPr>
            <w:tcW w:type="dxa" w:w="108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Media</w:t>
            </w:r>
          </w:p>
        </w:tc>
      </w:tr>
    </w:tbl>
    <w:p>
      <w:pPr>
        <w:pStyle w:val="Heading1"/>
      </w:pPr>
      <w:r>
        <w:t xml:space="preserve">3. Diseño del proceso y flujo de atención — BPMN</w:t>
      </w:r>
    </w:p>
    <w:p>
      <w:pPr>
        <w:pStyle w:val="Heading2"/>
      </w:pPr>
      <w:r>
        <w:t xml:space="preserve">3.1 Flujo general (notación BPMN — vista de texto)</w:t>
      </w:r>
    </w:p>
    <w:p>
      <w:pPr>
        <w:shd w:fill="F2F2F2" w:val="clear"/>
        <w:spacing w:after="0"/>
      </w:pPr>
      <w:r>
        <w:rPr>
          <w:rFonts w:ascii="Consolas" w:cs="Consolas" w:eastAsia="Consolas" w:hAnsi="Consolas"/>
          <w:sz w:val="17"/>
          <w:szCs w:val="17"/>
        </w:rPr>
        <w:t xml:space="preserve"> (Inicio)</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Reporte de incidente   ◄── usuario, monitoreo, DLQ, health check</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Identificación         CloudWatch / health check / DLQ confirman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Registro               ticket: fecha/hora, servicio, métrica, evidencia</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Clasificación          categoría (Infra/App/BD/Red/Seguridad)</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Priorización           matriz Impacto×Urgencia → prioridad</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 ¿Crítica/Alta? ◇──Sí──► Escalamiento (líder + SNS)</w:t>
      </w:r>
    </w:p>
    <w:p>
      <w:pPr>
        <w:shd w:fill="F2F2F2" w:val="clear"/>
        <w:spacing w:after="0"/>
      </w:pPr>
      <w:r>
        <w:rPr>
          <w:rFonts w:ascii="Consolas" w:cs="Consolas" w:eastAsia="Consolas" w:hAnsi="Consolas"/>
          <w:sz w:val="17"/>
          <w:szCs w:val="17"/>
        </w:rPr>
        <w:t xml:space="preserve">    │ No</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Diagnóstico            análisis de causa raíz (logs, métricas, deploy)</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Resolución             rollback / reinicio / escalar tarea / fix BD</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Validación             ¿alarma volvió a OK? ¿servicio estable?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Cierre                 documentar causa/solución → base de conocimiento</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120"/>
      </w:pPr>
      <w:r>
        <w:rPr>
          <w:rFonts w:ascii="Consolas" w:cs="Consolas" w:eastAsia="Consolas" w:hAnsi="Consolas"/>
          <w:sz w:val="17"/>
          <w:szCs w:val="17"/>
        </w:rPr>
        <w:t xml:space="preserve"> (Fin)</w:t>
      </w:r>
    </w:p>
    <w:p>
      <w:pPr>
        <w:pStyle w:val="Heading2"/>
      </w:pPr>
      <w:r>
        <w:t xml:space="preserve">3.2 Cada etapa BPMN → mecanismo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Etapa BPMN</w:t>
            </w:r>
          </w:p>
        </w:tc>
        <w:tc>
          <w:tcPr>
            <w:tcW w:type="dxa" w:w="6552"/>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En SafeIndustrial (real)</w:t>
            </w:r>
          </w:p>
        </w:tc>
      </w:tr>
      <w:tr>
        <w:tc>
          <w:tcPr>
            <w:tcW w:type="dxa" w:w="280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Reporte / Identificación</w:t>
            </w:r>
          </w:p>
        </w:tc>
        <w:tc>
          <w:tcPr>
            <w:tcW w:type="dxa" w:w="6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Alarma CloudWatch en ALARM (o DLQ con mensajes, o reporte de usuario)</w:t>
            </w:r>
          </w:p>
        </w:tc>
      </w:tr>
      <w:tr>
        <w:tc>
          <w:tcPr>
            <w:tcW w:type="dxa" w:w="280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Registro</w:t>
            </w:r>
          </w:p>
        </w:tc>
        <w:tc>
          <w:tcPr>
            <w:tcW w:type="dxa" w:w="6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El correo SNS es el registro primario; se abre ticket con servicio, métrica, hora</w:t>
            </w:r>
          </w:p>
        </w:tc>
      </w:tr>
      <w:tr>
        <w:tc>
          <w:tcPr>
            <w:tcW w:type="dxa" w:w="280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Clasificación</w:t>
            </w:r>
          </w:p>
        </w:tc>
        <w:tc>
          <w:tcPr>
            <w:tcW w:type="dxa" w:w="6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Por el namespace de la alarma (AWS/ECS, AWS/RDS, AWS/AmazonMQ) y el servicio</w:t>
            </w:r>
          </w:p>
        </w:tc>
      </w:tr>
      <w:tr>
        <w:tc>
          <w:tcPr>
            <w:tcW w:type="dxa" w:w="280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Priorización</w:t>
            </w:r>
          </w:p>
        </w:tc>
        <w:tc>
          <w:tcPr>
            <w:tcW w:type="dxa" w:w="6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Umbral + servicio: gateway/RDS = Crítica; backlog = Media; etc.</w:t>
            </w:r>
          </w:p>
        </w:tc>
      </w:tr>
      <w:tr>
        <w:tc>
          <w:tcPr>
            <w:tcW w:type="dxa" w:w="280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Escalamiento</w:t>
            </w:r>
          </w:p>
        </w:tc>
        <w:tc>
          <w:tcPr>
            <w:tcW w:type="dxa" w:w="6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SNS notifica al líder técnico; los críticos se escalan al PO</w:t>
            </w:r>
          </w:p>
        </w:tc>
      </w:tr>
      <w:tr>
        <w:tc>
          <w:tcPr>
            <w:tcW w:type="dxa" w:w="280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Diagnóstico</w:t>
            </w:r>
          </w:p>
        </w:tc>
        <w:tc>
          <w:tcPr>
            <w:tcW w:type="dxa" w:w="6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Logs en CloudWatch Logs (/ecs/&lt;servicio&gt;), métricas, último despliegue (:sha)</w:t>
            </w:r>
          </w:p>
        </w:tc>
      </w:tr>
      <w:tr>
        <w:tc>
          <w:tcPr>
            <w:tcW w:type="dxa" w:w="280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Resolución</w:t>
            </w:r>
          </w:p>
        </w:tc>
        <w:tc>
          <w:tcPr>
            <w:tcW w:type="dxa" w:w="6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Rollback (circuit breaker), reinicio de tarea, escalar tareas, optimizar query, reprocesar DLQ</w:t>
            </w:r>
          </w:p>
        </w:tc>
      </w:tr>
      <w:tr>
        <w:tc>
          <w:tcPr>
            <w:tcW w:type="dxa" w:w="2808"/>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Validación</w:t>
            </w:r>
          </w:p>
        </w:tc>
        <w:tc>
          <w:tcPr>
            <w:tcW w:type="dxa" w:w="6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La alarma vuelve a estado OK; el servicio queda estable</w:t>
            </w:r>
          </w:p>
        </w:tc>
      </w:tr>
      <w:tr>
        <w:tc>
          <w:tcPr>
            <w:tcW w:type="dxa" w:w="2808"/>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Cierre</w:t>
            </w:r>
          </w:p>
        </w:tc>
        <w:tc>
          <w:tcPr>
            <w:tcW w:type="dxa" w:w="6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Análisis post-incidente documentado (causa raíz + solución)</w:t>
            </w:r>
          </w:p>
        </w:tc>
      </w:tr>
    </w:tbl>
    <w:p>
      <w:pPr>
        <w:pStyle w:val="Heading1"/>
      </w:pPr>
      <w:r>
        <w:t xml:space="preserve">4. Definición de Roles</w:t>
      </w:r>
    </w:p>
    <w:p>
      <w:pPr>
        <w:pStyle w:val="Heading2"/>
      </w:pPr>
      <w:r>
        <w:t xml:space="preserve">4.1 Roles ITIL → equipo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tblHeader/>
        </w:trPr>
        <w:tc>
          <w:tcPr>
            <w:tcW w:type="dxa" w:w="255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Rol ITIL</w:t>
            </w:r>
          </w:p>
        </w:tc>
        <w:tc>
          <w:tcPr>
            <w:tcW w:type="dxa" w:w="3404"/>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Responsabilidad</w:t>
            </w:r>
          </w:p>
        </w:tc>
        <w:tc>
          <w:tcPr>
            <w:tcW w:type="dxa" w:w="340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Quién (SafeIndustrial)</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Usuario / Reporta</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Detecta y reporta el incidente</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CloudWatch (automático), TRABAJADOR, cualquier usuario</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Mesa de ayuda / Registra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Registra el ticket, primera línea</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SNS + notification-service (automático)</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Soporte TI / Resuelve</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Diagnostica y aplica la solución</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Equipo backend: Imanol, Jeferson</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Supervisor / Escala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Decide escalamiento, coordina críticos</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Líder técnico: Ricardo Ismael</w:t>
            </w:r>
          </w:p>
        </w:tc>
      </w:tr>
      <w:tr>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Gestor / Dueño del servicio</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Decisiones de negocio e impacto</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Product Owner: Rene Alonso Nieto Valencia</w:t>
            </w:r>
          </w:p>
        </w:tc>
      </w:tr>
      <w:tr>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Administrador de plataforma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Acceso AWS, infra, BD</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Rol ADMINISTRADOR (Keycloak)</w:t>
            </w:r>
          </w:p>
        </w:tc>
      </w:tr>
    </w:tbl>
    <w:p>
      <w:pPr>
        <w:spacing w:after="80"/>
      </w:pPr>
    </w:p>
    <w:p>
      <w:pPr>
        <w:pStyle w:val="Heading2"/>
      </w:pPr>
      <w:r>
        <w:t xml:space="preserve">4.2 Roles RBAC reales del realm</w:t>
      </w:r>
    </w:p>
    <w:p>
      <w:pPr>
        <w:spacing w:after="120"/>
      </w:pPr>
      <w:r>
        <w:t xml:space="preserve">ADMINISTRADOR, GERENCIA_GENERAL, JEFE_SEGURIDAD, LOGISTICA_ALMACEN, TRABAJADOR, MARKETING, INSTRUCTOR, ALUMNO — el api-gateway aplica el mínimo privilegio por ruta/método (SecurityConfig).</w:t>
      </w:r>
    </w:p>
    <w:p>
      <w:pPr>
        <w:pStyle w:val="Heading1"/>
      </w:pPr>
      <w:r>
        <w:t xml:space="preserve">5. Definición de SLA</w:t>
      </w:r>
    </w:p>
    <w:p>
      <w:pPr>
        <w:spacing w:after="120"/>
      </w:pPr>
      <w:r>
        <w:t xml:space="preserve">SLA = acuerdo de tiempo de </w:t>
      </w:r>
      <w:r>
        <w:rPr>
          <w:b/>
          <w:bCs/>
        </w:rPr>
        <w:t xml:space="preserve">respuesta</w:t>
      </w:r>
      <w:r>
        <w:t xml:space="preserve"> (alguien toma el caso) y de </w:t>
      </w:r>
      <w:r>
        <w:rPr>
          <w:b/>
          <w:bCs/>
        </w:rPr>
        <w:t xml:space="preserve">resolución</w:t>
      </w:r>
      <w:r>
        <w:t xml:space="preserve"> (se restaura el servicio), por prioridad. Atados a los umbrales reales de las alarmas: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3404"/>
        <w:gridCol w:w="1702"/>
        <w:gridCol w:w="2552"/>
      </w:tblGrid>
      <w:tr>
        <w:trPr>
          <w:tblHeader/>
        </w:trPr>
        <w:tc>
          <w:tcPr>
            <w:tcW w:type="dxa" w:w="1702"/>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Prioridad</w:t>
            </w:r>
          </w:p>
        </w:tc>
        <w:tc>
          <w:tcPr>
            <w:tcW w:type="dxa" w:w="3404"/>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Ejemplo</w:t>
            </w:r>
          </w:p>
        </w:tc>
        <w:tc>
          <w:tcPr>
            <w:tcW w:type="dxa" w:w="1702"/>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Respuesta</w:t>
            </w:r>
          </w:p>
        </w:tc>
        <w:tc>
          <w:tcPr>
            <w:tcW w:type="dxa" w:w="2552"/>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Resolución objetivo</w:t>
            </w:r>
          </w:p>
        </w:tc>
      </w:tr>
      <w:tr>
        <w:tc>
          <w:tcPr>
            <w:tcW w:type="dxa" w:w="170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Crítica</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gateway caído, RDS 98% CPU</w:t>
            </w:r>
          </w:p>
        </w:tc>
        <w:tc>
          <w:tcPr>
            <w:tcW w:type="dxa" w:w="170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15 min</w:t>
            </w:r>
          </w:p>
        </w:tc>
        <w:tc>
          <w:tcPr>
            <w:tcW w:type="dxa" w:w="2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1 hora</w:t>
            </w:r>
          </w:p>
        </w:tc>
      </w:tr>
      <w:tr>
        <w:tc>
          <w:tcPr>
            <w:tcW w:type="dxa" w:w="170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Alta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login no funciona</w:t>
            </w:r>
          </w:p>
        </w:tc>
        <w:tc>
          <w:tcPr>
            <w:tcW w:type="dxa" w:w="170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30 min</w:t>
            </w:r>
          </w:p>
        </w:tc>
        <w:tc>
          <w:tcPr>
            <w:tcW w:type="dxa" w:w="2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4 horas</w:t>
            </w:r>
          </w:p>
        </w:tc>
      </w:tr>
      <w:tr>
        <w:tc>
          <w:tcPr>
            <w:tcW w:type="dxa" w:w="170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Media</w:t>
            </w:r>
          </w:p>
        </w:tc>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reportes erróneos, DLQ con mensajes</w:t>
            </w:r>
          </w:p>
        </w:tc>
        <w:tc>
          <w:tcPr>
            <w:tcW w:type="dxa" w:w="170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4 horas</w:t>
            </w:r>
          </w:p>
        </w:tc>
        <w:tc>
          <w:tcPr>
            <w:tcW w:type="dxa" w:w="2552"/>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1 día hábil</w:t>
            </w:r>
          </w:p>
        </w:tc>
      </w:tr>
      <w:tr>
        <w:tc>
          <w:tcPr>
            <w:tcW w:type="dxa" w:w="170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Baja</w:t>
            </w:r>
          </w:p>
        </w:tc>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lentitud puntual</w:t>
            </w:r>
          </w:p>
        </w:tc>
        <w:tc>
          <w:tcPr>
            <w:tcW w:type="dxa" w:w="170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1 día hábil</w:t>
            </w:r>
          </w:p>
        </w:tc>
        <w:tc>
          <w:tcPr>
            <w:tcW w:type="dxa" w:w="2552"/>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3 días hábiles</w:t>
            </w:r>
          </w:p>
        </w:tc>
      </w:tr>
    </w:tbl>
    <w:p>
      <w:pPr>
        <w:spacing w:after="80"/>
      </w:pPr>
    </w:p>
    <w:p>
      <w:pPr>
        <w:pBdr>
          <w:left w:val="single" w:color="1F4E79" w:sz="18" w:space="12"/>
        </w:pBdr>
        <w:spacing w:after="120" w:before="120"/>
        <w:ind w:left="240"/>
      </w:pPr>
      <w:r>
        <w:rPr>
          <w:i/>
          <w:iCs/>
        </w:rPr>
        <w:t xml:space="preserve">Nota de diseño: se corrige la tabla del PDF (que ponía tiempos menores a menor prioridad). Lo correcto es: a mayor prioridad, menor tiempo permitido.</w:t>
      </w:r>
    </w:p>
    <w:p>
      <w:pPr>
        <w:spacing w:after="120"/>
      </w:pPr>
      <w:r>
        <w:t xml:space="preserve">Disparador de SLA real: el period y evaluation-periods de cada alarma definen qué tan rápido se nota el incidente. Las alarmas de CPU usan period=300s, evaluationPeriods=1 → se detecta en ≤ 5 min, dentro del SLA de respuesta de un crítico.</w:t>
      </w:r>
    </w:p>
    <w:p>
      <w:pPr>
        <w:pStyle w:val="Heading1"/>
      </w:pPr>
      <w:r>
        <w:t xml:space="preserve">6. Herramientas y Mejores Prácticas</w:t>
      </w:r>
    </w:p>
    <w:p>
      <w:pPr>
        <w:pStyle w:val="Heading2"/>
      </w:pPr>
      <w:r>
        <w:t xml:space="preserve">6.1 Herramientas del PDF → stack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4"/>
        <w:gridCol w:w="2553"/>
        <w:gridCol w:w="3403"/>
      </w:tblGrid>
      <w:tr>
        <w:trPr>
          <w:tblHeader/>
        </w:trPr>
        <w:tc>
          <w:tcPr>
            <w:tcW w:type="dxa" w:w="3404"/>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Herramienta del PDF</w:t>
            </w:r>
          </w:p>
        </w:tc>
        <w:tc>
          <w:tcPr>
            <w:tcW w:type="dxa" w:w="255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Función</w:t>
            </w:r>
          </w:p>
        </w:tc>
        <w:tc>
          <w:tcPr>
            <w:tcW w:type="dxa" w:w="340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Uso en SafeIndustrial</w:t>
            </w:r>
          </w:p>
        </w:tc>
      </w:tr>
      <w:tr>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Zabbix / Grafana</w:t>
            </w:r>
          </w:p>
        </w:tc>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Monitoreo / visualización</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Amazon CloudWatch + Container Insights</w:t>
            </w:r>
          </w:p>
        </w:tc>
      </w:tr>
      <w:tr>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(Alertas automáticas)</w:t>
            </w:r>
          </w:p>
        </w:tc>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Notificación</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Amazon SNS → email</w:t>
            </w:r>
          </w:p>
        </w:tc>
      </w:tr>
      <w:tr>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Jira Service Management</w:t>
            </w:r>
          </w:p>
        </w:tc>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Gestión de tickets</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Jira (proyecto SI); extensible a incidentes</w:t>
            </w:r>
          </w:p>
        </w:tc>
      </w:tr>
      <w:tr>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ServiceNow / Freshservice / Zendesk / GLPI</w:t>
            </w:r>
          </w:p>
        </w:tc>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ITSM / mesa de ayuda</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No usados; CloudWatch+SNS+Jira cubren el rol</w:t>
            </w:r>
          </w:p>
        </w:tc>
      </w:tr>
      <w:tr>
        <w:tc>
          <w:tcPr>
            <w:tcW w:type="dxa" w:w="340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(Resiliencia)</w:t>
            </w:r>
          </w:p>
        </w:tc>
        <w:tc>
          <w:tcPr>
            <w:tcW w:type="dxa" w:w="255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No perder eventos</w:t>
            </w:r>
          </w:p>
        </w:tc>
        <w:tc>
          <w:tcPr>
            <w:tcW w:type="dxa" w:w="340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RabbitMQ durable + DLQ</w:t>
            </w:r>
          </w:p>
        </w:tc>
      </w:tr>
      <w:tr>
        <w:tc>
          <w:tcPr>
            <w:tcW w:type="dxa" w:w="340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(Rollback)</w:t>
            </w:r>
          </w:p>
        </w:tc>
        <w:tc>
          <w:tcPr>
            <w:tcW w:type="dxa" w:w="255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Resolución automática</w:t>
            </w:r>
          </w:p>
        </w:tc>
        <w:tc>
          <w:tcPr>
            <w:tcW w:type="dxa" w:w="340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Deployment Circuit Breaker de ECS</w:t>
            </w:r>
          </w:p>
        </w:tc>
      </w:tr>
    </w:tbl>
    <w:p>
      <w:pPr>
        <w:spacing w:after="80"/>
      </w:pPr>
    </w:p>
    <w:p>
      <w:pPr>
        <w:pStyle w:val="Heading2"/>
      </w:pPr>
      <w:r>
        <w:t xml:space="preserve">6.2 Alarmas reales configuradas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6"/>
        <w:gridCol w:w="2674"/>
        <w:gridCol w:w="1783"/>
        <w:gridCol w:w="1337"/>
      </w:tblGrid>
      <w:tr>
        <w:trPr>
          <w:tblHeader/>
        </w:trPr>
        <w:tc>
          <w:tcPr>
            <w:tcW w:type="dxa" w:w="3566"/>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Alarma</w:t>
            </w:r>
          </w:p>
        </w:tc>
        <w:tc>
          <w:tcPr>
            <w:tcW w:type="dxa" w:w="2674"/>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Métrica</w:t>
            </w:r>
          </w:p>
        </w:tc>
        <w:tc>
          <w:tcPr>
            <w:tcW w:type="dxa" w:w="1783"/>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Umbral</w:t>
            </w:r>
          </w:p>
        </w:tc>
        <w:tc>
          <w:tcPr>
            <w:tcW w:type="dxa" w:w="1337"/>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Acción</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ecs-cpu-&lt;servicio&gt; (×7)</w:t>
            </w:r>
          </w:p>
        </w:tc>
        <w:tc>
          <w:tcPr>
            <w:tcW w:type="dxa" w:w="267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CPUUtilization</w:t>
            </w:r>
          </w:p>
        </w:tc>
        <w:tc>
          <w:tcPr>
            <w:tcW w:type="dxa" w:w="178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&gt; 70%</w:t>
            </w:r>
          </w:p>
        </w:tc>
        <w:tc>
          <w:tcPr>
            <w:tcW w:type="dxa" w:w="133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ecs-ram-&lt;servicio&gt; (×7)</w:t>
            </w:r>
          </w:p>
        </w:tc>
        <w:tc>
          <w:tcPr>
            <w:tcW w:type="dxa" w:w="267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MemoryUtilization</w:t>
            </w:r>
          </w:p>
        </w:tc>
        <w:tc>
          <w:tcPr>
            <w:tcW w:type="dxa" w:w="178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&gt; 75%</w:t>
            </w:r>
          </w:p>
        </w:tc>
        <w:tc>
          <w:tcPr>
            <w:tcW w:type="dxa" w:w="133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rds-cpu-db-industrial-safety</w:t>
            </w:r>
          </w:p>
        </w:tc>
        <w:tc>
          <w:tcPr>
            <w:tcW w:type="dxa" w:w="267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CPUUtilization</w:t>
            </w:r>
          </w:p>
        </w:tc>
        <w:tc>
          <w:tcPr>
            <w:tcW w:type="dxa" w:w="178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&gt; 70%</w:t>
            </w:r>
          </w:p>
        </w:tc>
        <w:tc>
          <w:tcPr>
            <w:tcW w:type="dxa" w:w="133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rds-disco-db-industrial-safety</w:t>
            </w:r>
          </w:p>
        </w:tc>
        <w:tc>
          <w:tcPr>
            <w:tcW w:type="dxa" w:w="267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FreeStorageSpace</w:t>
            </w:r>
          </w:p>
        </w:tc>
        <w:tc>
          <w:tcPr>
            <w:tcW w:type="dxa" w:w="178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&lt; 2 GB</w:t>
            </w:r>
          </w:p>
        </w:tc>
        <w:tc>
          <w:tcPr>
            <w:tcW w:type="dxa" w:w="133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rds-ram-db-industrial-safety</w:t>
            </w:r>
          </w:p>
        </w:tc>
        <w:tc>
          <w:tcPr>
            <w:tcW w:type="dxa" w:w="267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FreeableMemory</w:t>
            </w:r>
          </w:p>
        </w:tc>
        <w:tc>
          <w:tcPr>
            <w:tcW w:type="dxa" w:w="178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&lt; 150 MB</w:t>
            </w:r>
          </w:p>
        </w:tc>
        <w:tc>
          <w:tcPr>
            <w:tcW w:type="dxa" w:w="133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rds-connections-high (en script)</w:t>
            </w:r>
          </w:p>
        </w:tc>
        <w:tc>
          <w:tcPr>
            <w:tcW w:type="dxa" w:w="267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DatabaseConnections</w:t>
            </w:r>
          </w:p>
        </w:tc>
        <w:tc>
          <w:tcPr>
            <w:tcW w:type="dxa" w:w="178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&gt; 315</w:t>
            </w:r>
          </w:p>
        </w:tc>
        <w:tc>
          <w:tcPr>
            <w:tcW w:type="dxa" w:w="133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mq-backlog-&lt;cola&gt; (en script)</w:t>
            </w:r>
          </w:p>
        </w:tc>
        <w:tc>
          <w:tcPr>
            <w:tcW w:type="dxa" w:w="2674"/>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MessageReadyCount</w:t>
            </w:r>
          </w:p>
        </w:tc>
        <w:tc>
          <w:tcPr>
            <w:tcW w:type="dxa" w:w="1783"/>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&gt; 1000</w:t>
            </w:r>
          </w:p>
        </w:tc>
        <w:tc>
          <w:tcPr>
            <w:tcW w:type="dxa" w:w="1337"/>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SNS</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mq-dlq-&lt;cola&gt; (en script)</w:t>
            </w:r>
          </w:p>
        </w:tc>
        <w:tc>
          <w:tcPr>
            <w:tcW w:type="dxa" w:w="2674"/>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MessageCount</w:t>
            </w:r>
          </w:p>
        </w:tc>
        <w:tc>
          <w:tcPr>
            <w:tcW w:type="dxa" w:w="1783"/>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&gt; 0</w:t>
            </w:r>
          </w:p>
        </w:tc>
        <w:tc>
          <w:tcPr>
            <w:tcW w:type="dxa" w:w="1337"/>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SNS</w:t>
            </w:r>
          </w:p>
        </w:tc>
      </w:tr>
    </w:tbl>
    <w:p>
      <w:pPr>
        <w:spacing w:after="80"/>
      </w:pPr>
    </w:p>
    <w:p>
      <w:pPr>
        <w:pStyle w:val="Heading2"/>
      </w:pPr>
      <w:r>
        <w:t xml:space="preserve">6.3 Mejores prácticas aplicadas</w:t>
      </w:r>
    </w:p>
    <w:p>
      <w:pPr>
        <w:pStyle w:val="ListParagraph"/>
        <w:numPr>
          <w:ilvl w:val="0"/>
          <w:numId w:val="2"/>
        </w:numPr>
        <w:spacing w:after="40"/>
      </w:pPr>
      <w:r>
        <w:t xml:space="preserve">Detección 24/7 externa (CloudWatch + SNS, independientes del cluster).</w:t>
      </w:r>
    </w:p>
    <w:p>
      <w:pPr>
        <w:pStyle w:val="ListParagraph"/>
        <w:numPr>
          <w:ilvl w:val="0"/>
          <w:numId w:val="2"/>
        </w:numPr>
        <w:spacing w:after="40"/>
      </w:pPr>
      <w:r>
        <w:t xml:space="preserve">Registrar todo incidente (correo SNS + posible ticket Jira).</w:t>
      </w:r>
    </w:p>
    <w:p>
      <w:pPr>
        <w:pStyle w:val="ListParagraph"/>
        <w:numPr>
          <w:ilvl w:val="0"/>
          <w:numId w:val="2"/>
        </w:numPr>
        <w:spacing w:after="40"/>
      </w:pPr>
      <w:r>
        <w:t xml:space="preserve">Categorización por namespace y servicio.</w:t>
      </w:r>
    </w:p>
    <w:p>
      <w:pPr>
        <w:pStyle w:val="ListParagraph"/>
        <w:numPr>
          <w:ilvl w:val="0"/>
          <w:numId w:val="2"/>
        </w:numPr>
        <w:spacing w:after="40"/>
      </w:pPr>
      <w:r>
        <w:t xml:space="preserve">Automatizar alertas (umbrales por servicio).</w:t>
      </w:r>
    </w:p>
    <w:p>
      <w:pPr>
        <w:pStyle w:val="ListParagraph"/>
        <w:numPr>
          <w:ilvl w:val="0"/>
          <w:numId w:val="2"/>
        </w:numPr>
        <w:spacing w:after="40"/>
      </w:pPr>
      <w:r>
        <w:t xml:space="preserve">Resiliencia: colas durables + DLQ (ningún evento se pierde).</w:t>
      </w:r>
    </w:p>
    <w:p>
      <w:pPr>
        <w:pStyle w:val="ListParagraph"/>
        <w:numPr>
          <w:ilvl w:val="0"/>
          <w:numId w:val="2"/>
        </w:numPr>
        <w:spacing w:after="40"/>
      </w:pPr>
      <w:r>
        <w:t xml:space="preserve">Rollback automático ante despliegues fallidos (circuit breaker).</w:t>
      </w:r>
    </w:p>
    <w:p>
      <w:pPr>
        <w:pStyle w:val="ListParagraph"/>
        <w:numPr>
          <w:ilvl w:val="0"/>
          <w:numId w:val="2"/>
        </w:numPr>
        <w:spacing w:after="40"/>
      </w:pPr>
      <w:r>
        <w:t xml:space="preserve">Trazabilidad de cambios (imagen por :sha).</w:t>
      </w:r>
    </w:p>
    <w:p>
      <w:pPr>
        <w:pStyle w:val="ListParagraph"/>
        <w:numPr>
          <w:ilvl w:val="0"/>
          <w:numId w:val="2"/>
        </w:numPr>
        <w:spacing w:after="40"/>
      </w:pPr>
      <w:r>
        <w:t xml:space="preserve">Pendiente: base de conocimiento formal y análisis post-incidente sistemático.</w:t>
      </w:r>
    </w:p>
    <w:p>
      <w:pPr>
        <w:pStyle w:val="Heading1"/>
      </w:pPr>
      <w:r>
        <w:t xml:space="preserve">7. Diagnóstico: implementado vs.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6"/>
        <w:gridCol w:w="2229"/>
        <w:gridCol w:w="3565"/>
      </w:tblGrid>
      <w:tr>
        <w:trPr>
          <w:tblHeader/>
        </w:trPr>
        <w:tc>
          <w:tcPr>
            <w:tcW w:type="dxa" w:w="3566"/>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Requisito del PDF</w:t>
            </w:r>
          </w:p>
        </w:tc>
        <w:tc>
          <w:tcPr>
            <w:tcW w:type="dxa" w:w="2229"/>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Estado</w:t>
            </w:r>
          </w:p>
        </w:tc>
        <w:tc>
          <w:tcPr>
            <w:tcW w:type="dxa" w:w="3565"/>
            <w:tcBorders>
              <w:top w:val="single" w:color="B8C4D0" w:sz="4"/>
              <w:left w:val="single" w:color="B8C4D0" w:sz="4"/>
              <w:bottom w:val="single" w:color="B8C4D0" w:sz="4"/>
              <w:right w:val="single" w:color="B8C4D0" w:sz="4"/>
            </w:tcBorders>
            <w:shd w:fill="1F4E79" w:val="clear"/>
            <w:tcMar>
              <w:top w:type="dxa" w:w="60"/>
              <w:left w:type="dxa" w:w="110"/>
              <w:bottom w:type="dxa" w:w="60"/>
              <w:right w:type="dxa" w:w="110"/>
            </w:tcMar>
            <w:vAlign w:val="center"/>
          </w:tcPr>
          <w:p>
            <w:pPr>
              <w:jc w:val="center"/>
            </w:pPr>
            <w:r>
              <w:rPr>
                <w:b/>
                <w:bCs/>
                <w:color w:val="FFFFFF"/>
                <w:sz w:val="19"/>
                <w:szCs w:val="19"/>
              </w:rPr>
              <w:t xml:space="preserve">Nota</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Identificación (monitoreo)</w:t>
            </w:r>
          </w:p>
        </w:tc>
        <w:tc>
          <w:tcPr>
            <w:tcW w:type="dxa" w:w="2229"/>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Implementado</w:t>
            </w:r>
          </w:p>
        </w:tc>
        <w:tc>
          <w:tcPr>
            <w:tcW w:type="dxa" w:w="356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17 alarmas CloudWatch activas</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Notificación / escalamiento</w:t>
            </w:r>
          </w:p>
        </w:tc>
        <w:tc>
          <w:tcPr>
            <w:tcW w:type="dxa" w:w="2229"/>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Implementado</w:t>
            </w:r>
          </w:p>
        </w:tc>
        <w:tc>
          <w:tcPr>
            <w:tcW w:type="dxa" w:w="356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SNS → email del líder</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Clasificación por tipo</w:t>
            </w:r>
          </w:p>
        </w:tc>
        <w:tc>
          <w:tcPr>
            <w:tcW w:type="dxa" w:w="2229"/>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Modelado</w:t>
            </w:r>
          </w:p>
        </w:tc>
        <w:tc>
          <w:tcPr>
            <w:tcW w:type="dxa" w:w="356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namespace + servicio</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Matriz de priorización</w:t>
            </w:r>
          </w:p>
        </w:tc>
        <w:tc>
          <w:tcPr>
            <w:tcW w:type="dxa" w:w="2229"/>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Definida</w:t>
            </w:r>
          </w:p>
        </w:tc>
        <w:tc>
          <w:tcPr>
            <w:tcW w:type="dxa" w:w="356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§2.3</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Resiliencia (no perder eventos)</w:t>
            </w:r>
          </w:p>
        </w:tc>
        <w:tc>
          <w:tcPr>
            <w:tcW w:type="dxa" w:w="2229"/>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Implementado</w:t>
            </w:r>
          </w:p>
        </w:tc>
        <w:tc>
          <w:tcPr>
            <w:tcW w:type="dxa" w:w="356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RabbitMQ durable + DLQ</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Resolución automática (rollback)</w:t>
            </w:r>
          </w:p>
        </w:tc>
        <w:tc>
          <w:tcPr>
            <w:tcW w:type="dxa" w:w="2229"/>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Implementado</w:t>
            </w:r>
          </w:p>
        </w:tc>
        <w:tc>
          <w:tcPr>
            <w:tcW w:type="dxa" w:w="356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circuit breaker ECS</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Registro formal de tickets</w:t>
            </w:r>
          </w:p>
        </w:tc>
        <w:tc>
          <w:tcPr>
            <w:tcW w:type="dxa" w:w="2229"/>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Parcial</w:t>
            </w:r>
          </w:p>
        </w:tc>
        <w:tc>
          <w:tcPr>
            <w:tcW w:type="dxa" w:w="356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hoy el correo SNS; falta ticket Jira automático</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SLA con seguimiento</w:t>
            </w:r>
          </w:p>
        </w:tc>
        <w:tc>
          <w:tcPr>
            <w:tcW w:type="dxa" w:w="2229"/>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Parcial</w:t>
            </w:r>
          </w:p>
        </w:tc>
        <w:tc>
          <w:tcPr>
            <w:tcW w:type="dxa" w:w="356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umbrales definidos; falta medir tiempo real</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Base de conocimiento</w:t>
            </w:r>
          </w:p>
        </w:tc>
        <w:tc>
          <w:tcPr>
            <w:tcW w:type="dxa" w:w="2229"/>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Pendiente</w:t>
            </w:r>
          </w:p>
        </w:tc>
        <w:tc>
          <w:tcPr>
            <w:tcW w:type="dxa" w:w="356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repositorio de incidentes + soluciones</w:t>
            </w:r>
          </w:p>
        </w:tc>
      </w:tr>
      <w:tr>
        <w:tc>
          <w:tcPr>
            <w:tcW w:type="dxa" w:w="3566"/>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Análisis post-incidente</w:t>
            </w:r>
          </w:p>
        </w:tc>
        <w:tc>
          <w:tcPr>
            <w:tcW w:type="dxa" w:w="2229"/>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 Pendiente</w:t>
            </w:r>
          </w:p>
        </w:tc>
        <w:tc>
          <w:tcPr>
            <w:tcW w:type="dxa" w:w="3565"/>
            <w:tcBorders>
              <w:top w:val="single" w:color="B8C4D0" w:sz="4"/>
              <w:left w:val="single" w:color="B8C4D0" w:sz="4"/>
              <w:bottom w:val="single" w:color="B8C4D0" w:sz="4"/>
              <w:right w:val="single" w:color="B8C4D0" w:sz="4"/>
            </w:tcBorders>
            <w:shd w:fill="EAF1F8" w:val="clear"/>
            <w:tcMar>
              <w:top w:type="dxa" w:w="60"/>
              <w:left w:type="dxa" w:w="110"/>
              <w:bottom w:type="dxa" w:w="60"/>
              <w:right w:type="dxa" w:w="110"/>
            </w:tcMar>
            <w:vAlign w:val="center"/>
          </w:tcPr>
          <w:p>
            <w:pPr>
              <w:jc w:val="left"/>
            </w:pPr>
            <w:r>
              <w:rPr>
                <w:sz w:val="19"/>
                <w:szCs w:val="19"/>
              </w:rPr>
              <w:t xml:space="preserve">post-mortem estructurado</w:t>
            </w:r>
          </w:p>
        </w:tc>
      </w:tr>
      <w:tr>
        <w:tc>
          <w:tcPr>
            <w:tcW w:type="dxa" w:w="3566"/>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Registro 24/7 independiente</w:t>
            </w:r>
          </w:p>
        </w:tc>
        <w:tc>
          <w:tcPr>
            <w:tcW w:type="dxa" w:w="2229"/>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 Pendiente</w:t>
            </w:r>
          </w:p>
        </w:tc>
        <w:tc>
          <w:tcPr>
            <w:tcW w:type="dxa" w:w="3565"/>
            <w:tcBorders>
              <w:top w:val="single" w:color="B8C4D0" w:sz="4"/>
              <w:left w:val="single" w:color="B8C4D0" w:sz="4"/>
              <w:bottom w:val="single" w:color="B8C4D0" w:sz="4"/>
              <w:right w:val="single" w:color="B8C4D0" w:sz="4"/>
            </w:tcBorders>
            <w:shd w:fill="FFFFFF" w:val="clear"/>
            <w:tcMar>
              <w:top w:type="dxa" w:w="60"/>
              <w:left w:type="dxa" w:w="110"/>
              <w:bottom w:type="dxa" w:w="60"/>
              <w:right w:type="dxa" w:w="110"/>
            </w:tcMar>
            <w:vAlign w:val="center"/>
          </w:tcPr>
          <w:p>
            <w:pPr>
              <w:jc w:val="left"/>
            </w:pPr>
            <w:r>
              <w:rPr>
                <w:sz w:val="19"/>
                <w:szCs w:val="19"/>
              </w:rPr>
              <w:t xml:space="preserve">propuesta: SNS → Lambda → DynamoDB (§8)</w:t>
            </w:r>
          </w:p>
        </w:tc>
      </w:tr>
    </w:tbl>
    <w:p>
      <w:pPr>
        <w:pStyle w:val="Heading1"/>
      </w:pPr>
      <w:r>
        <w:t xml:space="preserve">8. Plan de mejora</w:t>
      </w:r>
    </w:p>
    <w:p>
      <w:pPr>
        <w:pStyle w:val="ListParagraph"/>
        <w:numPr>
          <w:ilvl w:val="0"/>
          <w:numId w:val="3"/>
        </w:numPr>
        <w:spacing w:after="40"/>
      </w:pPr>
      <w:r>
        <w:t xml:space="preserve">Registro 24/7 independiente: SNS → Lambda → DynamoDB para guardar cada incidente como ticket fuera del cluster (sobrevive a una caída total). Serverless, costo casi nulo.</w:t>
      </w:r>
    </w:p>
    <w:p>
      <w:pPr>
        <w:pStyle w:val="ListParagraph"/>
        <w:numPr>
          <w:ilvl w:val="0"/>
          <w:numId w:val="3"/>
        </w:numPr>
        <w:spacing w:after="40"/>
      </w:pPr>
      <w:r>
        <w:t xml:space="preserve">Ticket de incidente en Jira: que la Lambda (o un webhook) abra automáticamente un ticket con servicio, métrica y severidad, reutilizando el JiraClient ya existente.</w:t>
      </w:r>
    </w:p>
    <w:p>
      <w:pPr>
        <w:pStyle w:val="ListParagraph"/>
        <w:numPr>
          <w:ilvl w:val="0"/>
          <w:numId w:val="3"/>
        </w:numPr>
        <w:spacing w:after="40"/>
      </w:pPr>
      <w:r>
        <w:t xml:space="preserve">SLA medible: registrar fechaDeteccion y fechaResolucion; reporte de incidentes que incumplieron SLA.</w:t>
      </w:r>
    </w:p>
    <w:p>
      <w:pPr>
        <w:pStyle w:val="ListParagraph"/>
        <w:numPr>
          <w:ilvl w:val="0"/>
          <w:numId w:val="3"/>
        </w:numPr>
        <w:spacing w:after="40"/>
      </w:pPr>
      <w:r>
        <w:t xml:space="preserve">Base de conocimiento: repositorio (wiki/Confluence/Markdown) con causa raíz + solución de cada incidente cerrado.</w:t>
      </w:r>
    </w:p>
    <w:p>
      <w:pPr>
        <w:pStyle w:val="ListParagraph"/>
        <w:numPr>
          <w:ilvl w:val="0"/>
          <w:numId w:val="3"/>
        </w:numPr>
        <w:spacing w:after="40"/>
      </w:pPr>
      <w:r>
        <w:t xml:space="preserve">Post-mortem estructurado: plantilla obligatoria para incidentes Críticos.</w:t>
      </w:r>
    </w:p>
    <w:p>
      <w:pPr>
        <w:pStyle w:val="ListParagraph"/>
        <w:numPr>
          <w:ilvl w:val="0"/>
          <w:numId w:val="3"/>
        </w:numPr>
        <w:spacing w:after="40"/>
      </w:pPr>
      <w:r>
        <w:t xml:space="preserve">Evitar la repetición: autoscaling (CPU target) para incidentes de carga; read-replica RDS para saturación de BD; healthchecks afinados.</w:t>
      </w:r>
    </w:p>
    <w:p>
      <w:pPr>
        <w:pStyle w:val="Heading1"/>
      </w:pPr>
      <w:r>
        <w:t xml:space="preserve">9. Anexo — Evidencia y demo reproducible</w:t>
      </w:r>
    </w:p>
    <w:p>
      <w:pPr>
        <w:pStyle w:val="Heading2"/>
      </w:pPr>
      <w:r>
        <w:t xml:space="preserve">9.1 Comandos de evidencia (solo lectura)</w:t>
      </w:r>
    </w:p>
    <w:p>
      <w:pPr>
        <w:shd w:fill="F2F2F2" w:val="clear"/>
        <w:spacing w:after="0"/>
      </w:pPr>
      <w:r>
        <w:rPr>
          <w:rFonts w:ascii="Consolas" w:cs="Consolas" w:eastAsia="Consolas" w:hAnsi="Consolas"/>
          <w:sz w:val="17"/>
          <w:szCs w:val="17"/>
        </w:rPr>
        <w:t xml:space="preserve"># Alarmas activas y su estado</w:t>
      </w:r>
    </w:p>
    <w:p>
      <w:pPr>
        <w:shd w:fill="F2F2F2" w:val="clear"/>
        <w:spacing w:after="0"/>
      </w:pPr>
      <w:r>
        <w:rPr>
          <w:rFonts w:ascii="Consolas" w:cs="Consolas" w:eastAsia="Consolas" w:hAnsi="Consolas"/>
          <w:sz w:val="17"/>
          <w:szCs w:val="17"/>
        </w:rPr>
        <w:t xml:space="preserve">aws cloudwatch describe-alarms --region us-east-1 \</w:t>
      </w:r>
    </w:p>
    <w:p>
      <w:pPr>
        <w:shd w:fill="F2F2F2" w:val="clear"/>
        <w:spacing w:after="0"/>
      </w:pPr>
      <w:r>
        <w:rPr>
          <w:rFonts w:ascii="Consolas" w:cs="Consolas" w:eastAsia="Consolas" w:hAnsi="Consolas"/>
          <w:sz w:val="17"/>
          <w:szCs w:val="17"/>
        </w:rPr>
        <w:t xml:space="preserve">  --query 'MetricAlarms[].{Name:AlarmName,Metric:MetricName,</w:t>
      </w:r>
    </w:p>
    <w:p>
      <w:pPr>
        <w:shd w:fill="F2F2F2" w:val="clear"/>
        <w:spacing w:after="0"/>
      </w:pPr>
      <w:r>
        <w:rPr>
          <w:rFonts w:ascii="Consolas" w:cs="Consolas" w:eastAsia="Consolas" w:hAnsi="Consolas"/>
          <w:sz w:val="17"/>
          <w:szCs w:val="17"/>
        </w:rPr>
        <w:t xml:space="preserve">           Threshold:Threshold,State:StateValue}' --output table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Suscripción de notificación</w:t>
      </w:r>
    </w:p>
    <w:p>
      <w:pPr>
        <w:shd w:fill="F2F2F2" w:val="clear"/>
        <w:spacing w:after="0"/>
      </w:pPr>
      <w:r>
        <w:rPr>
          <w:rFonts w:ascii="Consolas" w:cs="Consolas" w:eastAsia="Consolas" w:hAnsi="Consolas"/>
          <w:sz w:val="17"/>
          <w:szCs w:val="17"/>
        </w:rPr>
        <w:t xml:space="preserve">aws sns list-subscriptions --region us-east-1 \</w:t>
      </w:r>
    </w:p>
    <w:p>
      <w:pPr>
        <w:shd w:fill="F2F2F2" w:val="clear"/>
        <w:spacing w:after="0"/>
      </w:pPr>
      <w:r>
        <w:rPr>
          <w:rFonts w:ascii="Consolas" w:cs="Consolas" w:eastAsia="Consolas" w:hAnsi="Consolas"/>
          <w:sz w:val="17"/>
          <w:szCs w:val="17"/>
        </w:rPr>
        <w:t xml:space="preserve">  --query 'Subscriptions[].{Topic:TopicArn,Protocol:Protocol,</w:t>
      </w:r>
    </w:p>
    <w:p>
      <w:pPr>
        <w:shd w:fill="F2F2F2" w:val="clear"/>
        <w:spacing w:after="120"/>
      </w:pPr>
      <w:r>
        <w:rPr>
          <w:rFonts w:ascii="Consolas" w:cs="Consolas" w:eastAsia="Consolas" w:hAnsi="Consolas"/>
          <w:sz w:val="17"/>
          <w:szCs w:val="17"/>
        </w:rPr>
        <w:t xml:space="preserve">           Endpoint:Endpoint}' --output table</w:t>
      </w:r>
    </w:p>
    <w:p>
      <w:pPr>
        <w:pStyle w:val="Heading2"/>
      </w:pPr>
      <w:r>
        <w:t xml:space="preserve">9.2 Demo en vivo del flujo (sin carga real)</w:t>
      </w:r>
    </w:p>
    <w:p>
      <w:pPr>
        <w:spacing w:after="120"/>
      </w:pPr>
      <w:r>
        <w:t xml:space="preserve">Para demostrar el flujo completo de notificación, se puede forzar una alarma a estado ALARM y verificar que llega el correo (incidente → notificación):</w:t>
      </w:r>
    </w:p>
    <w:p>
      <w:pPr>
        <w:shd w:fill="F2F2F2" w:val="clear"/>
        <w:spacing w:after="0"/>
      </w:pPr>
      <w:r>
        <w:rPr>
          <w:rFonts w:ascii="Consolas" w:cs="Consolas" w:eastAsia="Consolas" w:hAnsi="Consolas"/>
          <w:sz w:val="17"/>
          <w:szCs w:val="17"/>
        </w:rPr>
        <w:t xml:space="preserve"># Forzar la alarma del gateway a ALARM (dispara el correo SNS)</w:t>
      </w:r>
    </w:p>
    <w:p>
      <w:pPr>
        <w:shd w:fill="F2F2F2" w:val="clear"/>
        <w:spacing w:after="0"/>
      </w:pPr>
      <w:r>
        <w:rPr>
          <w:rFonts w:ascii="Consolas" w:cs="Consolas" w:eastAsia="Consolas" w:hAnsi="Consolas"/>
          <w:sz w:val="17"/>
          <w:szCs w:val="17"/>
        </w:rPr>
        <w:t xml:space="preserve">aws cloudwatch set-alarm-state \</w:t>
      </w:r>
    </w:p>
    <w:p>
      <w:pPr>
        <w:shd w:fill="F2F2F2" w:val="clear"/>
        <w:spacing w:after="0"/>
      </w:pPr>
      <w:r>
        <w:rPr>
          <w:rFonts w:ascii="Consolas" w:cs="Consolas" w:eastAsia="Consolas" w:hAnsi="Consolas"/>
          <w:sz w:val="17"/>
          <w:szCs w:val="17"/>
        </w:rPr>
        <w:t xml:space="preserve">  --alarm-name ecs-cpu-api-gateway-service-41zhurrw \</w:t>
      </w:r>
    </w:p>
    <w:p>
      <w:pPr>
        <w:shd w:fill="F2F2F2" w:val="clear"/>
        <w:spacing w:after="0"/>
      </w:pPr>
      <w:r>
        <w:rPr>
          <w:rFonts w:ascii="Consolas" w:cs="Consolas" w:eastAsia="Consolas" w:hAnsi="Consolas"/>
          <w:sz w:val="17"/>
          <w:szCs w:val="17"/>
        </w:rPr>
        <w:t xml:space="preserve">  --state-value ALARM \</w:t>
      </w:r>
    </w:p>
    <w:p>
      <w:pPr>
        <w:shd w:fill="F2F2F2" w:val="clear"/>
        <w:spacing w:after="0"/>
      </w:pPr>
      <w:r>
        <w:rPr>
          <w:rFonts w:ascii="Consolas" w:cs="Consolas" w:eastAsia="Consolas" w:hAnsi="Consolas"/>
          <w:sz w:val="17"/>
          <w:szCs w:val="17"/>
        </w:rPr>
        <w:t xml:space="preserve">  --state-reason "Demo gestión de incidentes" \</w:t>
      </w:r>
    </w:p>
    <w:p>
      <w:pPr>
        <w:shd w:fill="F2F2F2" w:val="clear"/>
        <w:spacing w:after="0"/>
      </w:pPr>
      <w:r>
        <w:rPr>
          <w:rFonts w:ascii="Consolas" w:cs="Consolas" w:eastAsia="Consolas" w:hAnsi="Consolas"/>
          <w:sz w:val="17"/>
          <w:szCs w:val="17"/>
        </w:rPr>
        <w:t xml:space="preserve">  --region us-east-1</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Devolverla a OK (cierre del incidente)</w:t>
      </w:r>
    </w:p>
    <w:p>
      <w:pPr>
        <w:shd w:fill="F2F2F2" w:val="clear"/>
        <w:spacing w:after="0"/>
      </w:pPr>
      <w:r>
        <w:rPr>
          <w:rFonts w:ascii="Consolas" w:cs="Consolas" w:eastAsia="Consolas" w:hAnsi="Consolas"/>
          <w:sz w:val="17"/>
          <w:szCs w:val="17"/>
        </w:rPr>
        <w:t xml:space="preserve">aws cloudwatch set-alarm-state \</w:t>
      </w:r>
    </w:p>
    <w:p>
      <w:pPr>
        <w:shd w:fill="F2F2F2" w:val="clear"/>
        <w:spacing w:after="0"/>
      </w:pPr>
      <w:r>
        <w:rPr>
          <w:rFonts w:ascii="Consolas" w:cs="Consolas" w:eastAsia="Consolas" w:hAnsi="Consolas"/>
          <w:sz w:val="17"/>
          <w:szCs w:val="17"/>
        </w:rPr>
        <w:t xml:space="preserve">  --alarm-name ecs-cpu-api-gateway-service-41zhurrw \</w:t>
      </w:r>
    </w:p>
    <w:p>
      <w:pPr>
        <w:shd w:fill="F2F2F2" w:val="clear"/>
        <w:spacing w:after="0"/>
      </w:pPr>
      <w:r>
        <w:rPr>
          <w:rFonts w:ascii="Consolas" w:cs="Consolas" w:eastAsia="Consolas" w:hAnsi="Consolas"/>
          <w:sz w:val="17"/>
          <w:szCs w:val="17"/>
        </w:rPr>
        <w:t xml:space="preserve">  --state-value OK --state-reason "Demo — resuelto" \</w:t>
      </w:r>
    </w:p>
    <w:p>
      <w:pPr>
        <w:shd w:fill="F2F2F2" w:val="clear"/>
        <w:spacing w:after="120"/>
      </w:pPr>
      <w:r>
        <w:rPr>
          <w:rFonts w:ascii="Consolas" w:cs="Consolas" w:eastAsia="Consolas" w:hAnsi="Consolas"/>
          <w:sz w:val="17"/>
          <w:szCs w:val="17"/>
        </w:rPr>
        <w:t xml:space="preserve">  --region us-east-1</w:t>
      </w:r>
    </w:p>
    <w:p>
      <w:pPr>
        <w:pBdr>
          <w:left w:val="single" w:color="1F4E79" w:sz="18" w:space="12"/>
        </w:pBdr>
        <w:spacing w:after="120" w:before="120"/>
        <w:ind w:left="240"/>
      </w:pPr>
      <w:r>
        <w:rPr>
          <w:i/>
          <w:iCs/>
        </w:rPr>
        <w:t xml:space="preserve">Esto demuestra Identificación → Notificación → Cierre con la herramienta real, sin gastar recursos ni levantar el entorno.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SafeIndustrial — Plan de Gestión de Incidentes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Incidentes — SafeIndustrial</dc:title>
  <dc:creator>SafeIndustrial</dc:creator>
  <cp:lastModifiedBy>Un-named</cp:lastModifiedBy>
  <cp:revision>1</cp:revision>
  <dcterms:created xsi:type="dcterms:W3CDTF">2026-06-26T21:14:54.066Z</dcterms:created>
  <dcterms:modified xsi:type="dcterms:W3CDTF">2026-06-26T21:14:54.067Z</dcterms:modified>
</cp:coreProperties>
</file>

<file path=docProps/custom.xml><?xml version="1.0" encoding="utf-8"?>
<Properties xmlns="http://schemas.openxmlformats.org/officeDocument/2006/custom-properties" xmlns:vt="http://schemas.openxmlformats.org/officeDocument/2006/docPropsVTypes"/>
</file>