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Группа банка «Ак Барс»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Инвести-     Лизинговая   Страховые    Негосударственный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ционные      компания     компании     пенсионный фонд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(головной)    компании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операций группы по пяти направлениям — розничные, корпоративные, инвестиционные и казначейские банковские операции, а также прочие операции — концентрирует основной финансовый результат в корпоративном и инвестиционном сегментах [25, с. 66, 68]. Это важно для продвижения Face2: основной коммерческий потенциал биометрии сосредоточен в B2B-сценариях для корпоративных и инвестиционных клиентов,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 Сеть из 166 дополнительных офисов в Татарстане и других регионах России [26, с. 7]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2.1.2.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 Нормативные особенности обращения с биометрическими персональными данными — состав 572-ФЗ, ужесточение ответственности по 420-ФЗ и 421-ФЗ от 30.11.2024, штрафы и уголовная ответственность — детально разобраны в подразделе 2.2 «Регуляторный и инфраструктурный контур рынка» и здесь не повторяются.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Сопоставление с QR-эквайрингом за тот же период (около 990 млн операций на сумму более 1,3 трлн рублей при темпах +25% по числу и +16% по сумме [43]) даёт ключевой вывод: биоэквайринг растёт по темпам быстрее (+50% против +25%), но в 16 раз отстаёт по абсолютному масштабу количества операций — оба канала встраиваются в общий тренд бесконтактной розницы и делят между собой нишу «оплата без карты», не вытесняя друг друга. Сводные показатели динамики российского рынка биометрических платежей собраны в таблице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[34; 38].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три устойчивых наблюдения.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и социальный факторы (E, S) двойственны: динамика рынка положительна, но ценовое преимущество биоэквайринга играет вторичную роль в целевом для Face2 сегменте B2B/B2G, а массовая привычка к оплате лицом сосуществует с устойчивым психологическим барьером недоверия, требующим переноса акцента в коммуникации с информирования на демонстрацию мер защиты данных. Третье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 экологический фактор (E) самостоятельного маркетингового плеча не даёт и работает фоном через ESG-статус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Сводная оценка с детализацией факторов и влияния на Face2 приведена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Регуляторно-инфраструктурные факторы (КФУ 1 и 6) определяют сам факт допуска игрока к рынку биометрии физических лиц через ЕБС и работают барьером входа. Продуктово-технологические факторы (КФУ 2, 3, 4 и 8) формируют функциональное ядро решения и определяют содержательную конкуренцию внутри допущенных игроков. Ресурсно-операционные факторы (КФУ 5 и 7) определяют способность масштабировать решение и удерживать издержки. Распределение Face2 по этим факторам: сильные позиции — КФУ 1 и 6 (полный регуляторный пул и банковская экосистема — клиентская база, СБП, Карта жителя РТ, партнёрства с Минцифры/Минтрансом/НСПК); средние — КФУ 2 и 4 (заявленные 99,5% точности и около 2 секунд сканирования; четыре сценария Face2Pay/Pass/Check-in/КБС); слабые — КФУ 3, 5, 7 и 8 (нет независимой международной верификации точности, ядро коммерческой базы — Татарстан, нет собственного производства терминалов, нет отдельного решения по детекции дипфейков) [27; 28, с. 17, 30–31, 33; 32; 37; 39]. Это распределение служит фактической базой для балльной экспертной оценки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соответственно),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При универсальных весах (равных или близких к равным) суммарное лидерство получает VisionLabs за счёт независимой верификации в международных рейтингах [37], однако такая конфигурация не отражает реальные приоритеты целевого заказчика Face2. Сегментный расчёт собран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по правилам КБС, и до банков, имеющих право регистрации векторов в ЕБС [33; 27; 36]; именно внутри этого ограниченного поля и формируется собственный конкурентный сегмент Face2 — B2B и B2G-заказчики со сценариями, в которых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на массовом B2C-биоэквайринге, с VisionLabs — по верификации алгоритмов через NIST FRTE и международному охвату, с OVISION — по аппаратному стеку, но в собственном сегменте получает преимущества, которых нет ни у одного из конкурентов одновременно: статус банка-оператора по № 115-ФЗ под № 101 в перечне Банка России, аккредитация КБС № 4-А от 15.11.2023, шестилетний стаж работы с ЕБС, банковская экосистема (934 тыс. розничных клиентов, 930 тыс. в АБО, 450 тыс. Карт жителя РТ), рейтинги «A» и ESG-A, а также первая референтная база федерального уровня в виде проектов с Минцифры, Минтрансом, ЦБТ и НСПК [27; 28, с. 4, 17, 30–31, 33; 36; 37; 39]. Эта позиция содержит и ограничения: локальный географический охват по сравнению со Сбером и VisionLabs, отсутствие публичной независимой верификации точности и собственного решения по детекции дипфейков. Драйверы спроса работают в пользу Face2 одновременно по нескольким направлениям — ужесточение ответственности по 420-ФЗ и 421-ФЗ вытесняет неаккредитованные локальные решения, девятикратный годовой рост числа биометрических платежей и 10+ млн зарегистрированных в ЕБС создают эффект повседневности и снимают часть барьера доверия [27; 38]; барьеры спроса (психологический, организационный, регуляторно-репутационный) подробно разобраны в параграфе 1.3 и здесь не повторяются. Управленческое следствие для главы 3: дальнейший анализ должен сосредоточиться не на технологических доработках, а на маркетинговых инструментах — на том,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017"/>
        <w:gridCol w:w="3362"/>
        <w:gridCol w:w="1793"/>
      </w:tblGrid>
      <w:tr>
        <w:trPr>
          <w:tblHeader/>
          <w:cantSplit/>
        </w:trPr>
        <w:tc>
          <w:tcPr>
            <w:tcW w:w="24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20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3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17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409"/>
        <w:gridCol w:w="2409"/>
        <w:gridCol w:w="2409"/>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6"/>
        <w:gridCol w:w="2920"/>
        <w:gridCol w:w="2920"/>
        <w:gridCol w:w="2920"/>
      </w:tblGrid>
      <w:tr>
        <w:trPr>
          <w:tblHeader/>
          <w:cantSplit/>
        </w:trPr>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3706"/>
        <w:gridCol w:w="3706"/>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7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37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