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wpc="http://schemas.microsoft.com/office/word/2010/wordprocessingCanvas" xmlns:wpg="http://schemas.microsoft.com/office/word/2010/wordprocessingGroup" xmlns:mc="http://schemas.openxmlformats.org/markup-compatibility/2006">
  <w:body>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ВКР ГОТОВОЕ</w:t>
      </w:r>
    </w:p>
    <w:p>
      <w:pPr>
        <w:spacing w:before="60" w:after="60" w:line="360" w:lineRule="auto"/>
        <w:ind w:left="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Тема: «Разработка стратегии продвижения инновационного продукта Face2 Ак Барс Банка»</w:t>
      </w:r>
    </w:p>
    <w:p>
      <w:pPr>
        <w:spacing w:before="60" w:after="60" w:line="360" w:lineRule="auto"/>
        <w:ind w:left="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r>
    </w:p>
    <w:p>
      <w:pPr>
        <w:spacing w:before="60" w:after="60" w:line="360" w:lineRule="auto"/>
        <w:ind w:left="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Документ собирает готовые фрагменты ВКР по мере их написания. Источники — по списку </w:t>
      </w:r>
      <w:r>
        <w:rPr>
          <w:rFonts w:ascii="Courier New" w:hAnsi="Courier New" w:cs="Courier New" w:eastAsia="Courier New"/>
          <w:color w:val="000000"/>
          <w:sz w:val="28"/>
          <w:szCs w:val="28"/>
          <w:lang w:val="ru-RU"/>
        </w:rPr>
        <w:t xml:space="preserve">источники/sources_VKR.md</w:t>
      </w:r>
      <w:r>
        <w:rPr>
          <w:rFonts w:ascii="Times New Roman" w:hAnsi="Times New Roman" w:cs="Times New Roman" w:eastAsia="Times New Roman"/>
          <w:color w:val="000000"/>
          <w:sz w:val="28"/>
          <w:szCs w:val="28"/>
          <w:lang w:val="ru-RU"/>
        </w:rPr>
        <w:t xml:space="preserve">.</w:t>
      </w:r>
    </w:p>
    <w:p>
      <w:pPr>
        <w:spacing w:before="0" w:after="0" w:line="240" w:lineRule="auto"/>
        <w:jc w:val="both"/>
        <w:rPr>
          <w:rFonts w:ascii="Times New Roman" w:hAnsi="Times New Roman" w:cs="Times New Roman" w:eastAsia="Times New Roman"/>
          <w:sz w:val="28"/>
          <w:szCs w:val="28"/>
          <w:lang w:val="ru-RU"/>
        </w:rPr>
      </w:pP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Структура работы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Введение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Глава 1. Теоретические основы стратегического продвижения инновационных продуктов</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1.1. Сущность и особенности инновационных продуктов</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1.2. Маркетинговые стратегии продвижения</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1.3. Особенности продвижения биометрических технологий</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Вывод по главе 1</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Глава 2. Анализ деятельности Ак Барс Банка в контексте разработки стратегии продвижения инновационного продукта</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2.1. Характеристика Ак Барс Банка и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2.2. Анализ рынка биометрии и конкурентной среды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2.3. Анализ текущего продвижения продукта и его позиции на рынке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Вывод по главе 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Глава 3. Разработка стратегии продвижения нового продукта Ак Барс Банка</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3.1. Формирование целей и направлений продвижения</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3.2. Разработка стратегии и комплекса мероприятий по продвижению</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3.3. Оценка эффективности и рисков реализации стратегии</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Вывод по главе 3</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Заключение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Список использованных источников</w:t>
      </w:r>
    </w:p>
    <w:p>
      <w:pPr>
        <w:spacing w:before="0" w:after="0" w:line="240" w:lineRule="auto"/>
        <w:jc w:val="both"/>
        <w:rPr>
          <w:rFonts w:ascii="Times New Roman" w:hAnsi="Times New Roman" w:cs="Times New Roman" w:eastAsia="Times New Roman"/>
          <w:sz w:val="28"/>
          <w:szCs w:val="28"/>
          <w:lang w:val="ru-RU"/>
        </w:rPr>
      </w:pPr>
    </w:p>
    <w:p>
      <w:pPr>
        <w:spacing w:before="60" w:after="60" w:line="360" w:lineRule="auto"/>
        <w:ind w:left="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Рабочее замечание по оформлению (для последующей вёрстки в Word).</w:t>
      </w:r>
    </w:p>
    <w:p>
      <w:pPr>
        <w:spacing w:before="60" w:after="60" w:line="360" w:lineRule="auto"/>
        <w:ind w:left="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Шапки таблиц записаны в две строки: первая — «Таблица N.N.N» (в Word выравнивается по правому краю), вторая — название таблицы (центрируется). Подписи рисунков — «Рис. N.N.N. Название» (точка после номера, без точки в конце), строка «Источник:» — над подписью. Шрифт основного текста — Times New Roman 14 пт, междустрочный интервал 1,5; в таблицах допустимо TNR 12 пт с одинарным интервалом. ASCII-схемы заменяются на векторную графику, гистограмма — на диаграмму в Excel.</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 ТЕОРЕТИЧЕСКИЕ ОСНОВЫ СТРАТЕГИЧЕСКОГО ПРОДВИЖЕНИЯ ИННОВАЦИОННЫХ ПРОДУКТОВ</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1.1. СУЩНОСТЬ И ОСОБЕННОСТИ ИННОВАЦИОННЫХ ПРОДУКТОВ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 это результат научно-технической и интеллектуальной деятельности, обладающий качественно новыми характеристиками и предназначенный для удовлетворения существующих или формирования новых потребностей рынка. Основоположник теории инноваций Й. Шумпетер определял инновацию как коммерциализацию новых комбинаций производственных факторов [15, с. 33]. В маркетинговой трактовке Ф. Котлера к инновационным относятся товары и услуги с новыми или существенно улучшенными характеристиками, обеспечивающими дополнительную ценность для потребителя [17, с. 48]. Российская школа продолжает эту линию, увязывая инновационную активность с конкурентоспособностью предприятия и национальной экономики [22, с. 14; 24,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набором взаимосвязанных признаков: новизной, технологичностью, способностью создавать ценность для потребителя, конкурентоспособностью и повышенным уровнем риска [15, с. 132; 20, с. 5]. Чем выше степень новизны и технологической сложности, тем большее значение приобретают разъяснение преимуществ, снижение неопределённости и формирование доверия [6, с. 51; 20, с. 9]. Эти признаки обобщены на рисунке 1.1.1.</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Признаки инновационного продукта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Новизна  Технологич-   Ценность для   Конкуренто-     Повышенный</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ность         потребителя    способность     уровень риска</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[15, с. 132; 17, с. 48; 20,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1.1.1. Основные характеристики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Совокупность этих пяти признаков задаёт границу между инновационным и традиционным продуктом и одновременно определяет управленческую сложность его вывода на рынок: чем сильнее выражен каждый из признаков, тем больше ресурсов требуется на продвижение и тем выше цена ошибки маркетинговых решений.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систематизации инновационных продуктов используется ряд классификационных признаков. По объекту изменений различают продуктовые, процессные, маркетинговые и организационные инновации; по степени новизны — радикальные и инкрементальные [15, с. 165–169; 24, с. 41]. Сводная классификация дана в таблице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Классификация инновационных продуктов</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60"/>
        <w:gridCol w:w="2492"/>
        <w:gridCol w:w="4985"/>
      </w:tblGrid>
      <w:tr>
        <w:trPr>
          <w:tblHeader/>
          <w:cantSplit/>
        </w:trPr>
        <w:tc>
          <w:tcPr>
            <w:tcW w:w="216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Критерий классификации</w:t>
            </w:r>
          </w:p>
        </w:tc>
        <w:tc>
          <w:tcPr>
            <w:tcW w:w="249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Вид инновации</w:t>
            </w:r>
          </w:p>
        </w:tc>
        <w:tc>
          <w:tcPr>
            <w:tcW w:w="498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нового или существенно улучшенного товара или услуги</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Процессные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способов производства, обслуживания или взаимодействия с потребителем</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Использование новых методов продвижения, позиционирования или взаимодействия с рынком</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управленческих и организационных процессов</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Радикальные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Формирование принципиально нового продукта или способа потребления</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Инкрементальные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Улучшение существующих продуктов, технологий или процессов</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[15, с. 165–169; 24, с.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решения по этой классификации одновременно являются продуктовой инновацией (новый цифровой сервис для пользователя) и процессной (изменение способа идентификации и обслуживания), поэтому требуют двухуровневой коммуникации — и с конечным пользователем, и с организацией-заказчиком [3, с. 29; 8,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Особенностью инновационного продукта является высокий уровень неопределённости рыночного успеха [15, с. 178; 23, с. 4]. Реакция потребителя плохо прогнозируется, а сам продукт часто требует изменения поведенческих паттернов: новых навыков использования или отказа от привычных способов удовлетворения потребности. Поэтому в продвижение встраиваются образовательные программы, демонстрационные мероприятия и пробные версии — то, что снижает воспринимаемый риск покупки [6, с. 51; 20, с. 9]. Группы рисков, с которыми сталкивается организация при выводе инновационного продукта на рынок, систематизированы в таблице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риски, связанные с внедрением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6"/>
        <w:gridCol w:w="3960"/>
        <w:gridCol w:w="3960"/>
      </w:tblGrid>
      <w:tr>
        <w:trPr>
          <w:tblHeader/>
          <w:cantSplit/>
        </w:trPr>
        <w:tc>
          <w:tcPr>
            <w:tcW w:w="171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Группа рисков</w:t>
            </w:r>
          </w:p>
        </w:tc>
        <w:tc>
          <w:tcPr>
            <w:tcW w:w="396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w:t>
            </w:r>
          </w:p>
        </w:tc>
        <w:tc>
          <w:tcPr>
            <w:tcW w:w="396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Управленческий ответ</w:t>
            </w:r>
          </w:p>
        </w:tc>
      </w:tr>
      <w:tr>
        <w:trPr>
          <w:cantSplit/>
        </w:trPr>
        <w:tc>
          <w:tcPr>
            <w:tcW w:w="17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разработки, недостаточная зрелость технологии, проблемы интеграции с существующей инфраструктурой</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Пилотные проекты, тестирование, поэтапное масштабирование</w:t>
            </w:r>
          </w:p>
        </w:tc>
      </w:tr>
      <w:tr>
        <w:trPr>
          <w:cantSplit/>
        </w:trPr>
        <w:tc>
          <w:tcPr>
            <w:tcW w:w="17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осведомлённость аудитории, недоверие к новой технологии, отсутствие сформированного спроса</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Образовательная коммуникация, демонстрации, работа с ранними последователями</w:t>
            </w:r>
          </w:p>
        </w:tc>
      </w:tr>
      <w:tr>
        <w:trPr>
          <w:cantSplit/>
        </w:trPr>
        <w:tc>
          <w:tcPr>
            <w:tcW w:w="17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стоимость разработки, длительный срок окупаемости, сложность прогнозирования возврата инвестиций</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KPI-контроль, гибкая ценовая стратегия</w:t>
            </w:r>
          </w:p>
        </w:tc>
      </w:tr>
      <w:tr>
        <w:trPr>
          <w:cantSplit/>
        </w:trPr>
        <w:tc>
          <w:tcPr>
            <w:tcW w:w="17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Негативный опыт первых пользователей, формирование устойчивых предубеждений к продукту</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Управление качеством, мониторинг отзывов, оперативное реагирование на инциденты</w:t>
            </w:r>
          </w:p>
        </w:tc>
      </w:tr>
      <w:tr>
        <w:trPr>
          <w:cantSplit/>
        </w:trPr>
        <w:tc>
          <w:tcPr>
            <w:tcW w:w="17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нормативно-правовой базы, требования регуляторов к работе с данными, лицензирование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Юридическое сопровождение, аудит соответствия, соблюдение требований регулятора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[15, с. 178; 22, с. 78; 23, с.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Технические риски разработки, рыночные риски, связанные с поведением спроса, репутационные риски от негативного опыта первых пользователей и регуляторные риски от меняющегося правового контура образуют единый контур, которым организация управляет на всех этапах вывода продукта на рынок [22, с. 78]. Для биометрических продуктов этот набор рисков особенно значим — регуляторная и репутационная составляющие здесь имеют тот же вес, что и технические.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Восприятие инновации потребителями неоднородно. Согласно теории диффузии инноваций Э. Роджерса, аудитория делится на пять групп — новаторов, ранних последователей, раннее большинство, позднее большинство и консерваторов [24, с. 156]. Каждая группа отличается скоростью принятия и требует своего акцента: для новаторов — технологическое превосходство, для раннего большинства — надёжность и доказательная база, для консерваторов — привычные сценарии использования. Распределение показано на рисунке 1.1.2.</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доля</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аудитории</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время</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Новаторы Ранние   Раннее   Позднее  Консерваторы</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2,5%     последо- большин- большин- 16%</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ватели   ство     ство</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13,5%    34%      34%</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[24,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1.1.2. Модель диффузии инноваций Э. Роджерса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технологических продуктов это означает, что в фазе вывода целесообразно ориентироваться на новаторов и ранних последователей и через них собирать первичные доказательства надёжности для более консервативных сегментов [10, с. 6; 23,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Жизненный цикл инновационного продукта включает разработку, внедрение, рост, зрелость и спад. От традиционной модели его отличают короткая стадия зрелости и высокая динамика смены технологических поколений, что требует постоянных инвестиций в исследования и разработки [15, с. 201; 24, с. 178]. На этапе внедрения главная нагрузка ложится на информационные и образовательные коммуникации — без них даже технологически состоятельный продукт не доходит до массовой аудитории [20, с. 11]. Графическое представление этапов жизненного цикла инновационного продукта дано на рисунке 1.1.3.</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Объём</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продаж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┌────┤Зрелость├────┐</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Рост                   │ Спад</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Внедрение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Время</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Разработка</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[15, с. 201; 24, с. 178]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1.1.3. Жизненный цикл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этапе внедрения особое значение приобретают информационные и образовательные коммуникации, демонстрация преимуществ продукта, работа с возражениями и стимулирование пробного использования. Продвижение инновационного продукта должно начинаться ещё до его массового распространения и сопровождать все этапы жизненного цикла [15, с. 204;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инновационные продукты выделяются в особую категорию: они виртуальны по своей природе, распространяются через цифровые каналы, зависят от технологической инфраструктуры и быстро устаревают [12, с. 14]. Внутри этой категории отдельным подклассом стоят банковские цифровые инновации — мобильный банкинг, бесконтактные платежи, удалённое открытие счёта, биометрическая идентификация. Все они работают с чувствительными персональными и финансовыми данными, поэтому к ним предъявляются повышенные требования к защите информации, нормативно-правовому соответствию и доверию пользователей [4, с. 38; 7, с. 91; 8, с. 105].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системы — крайний случай в этом подклассе. Они обладают сразу четырьмя признаками, выводящими их в категорию высокотехнологичных инновационных продуктов повышенного риска: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высокая технологическая сложность — компьютерное зрение, искусственный интеллект, криптографическая защита биометрических векторов [3, с. 30];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работа с особо чувствительными персональными данными — биометрическими векторами лица или голоса, отнесёнными законодательством к специальной категории [7, с. 92];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жёсткий нормативно-правовой контур — Федеральный закон от 29.12.2022 № 572-ФЗ, обязательная аккредитация Минцифры России, сертификация ФСБ и ФСТЭК, ответственность за неправомерное обращение с биометрическими данными вплоть до уголовной [7, с. 93–95];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значительная доля психологических барьеров в восприятии — прежде всего страх утечки данных, несанкционированного использования биометрии и невозможности отозвать сданный биометрический образец [4, с. 41; 9, с.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Сочетание этих факторов делает невозможным продвижение биометрического продукта стандартными для банковской рекламы инструментами: одного информирования и стимулирования спроса недостаточно. Требуется особая стратегия продвижения, в которой обычные функции маркетинга — рассказать, привлечь, продать — дополняются образовательной составляющей, систематической работой с возражениями, демонстрацией мер защиты данных и подтверждением правовой корректности технологии [4, с. 47; 8, с. 108; 9, с. 119]. Именно это и составляет предмет дальнейшего изложения: в параграфе 1.2 рассматриваются базовые маркетинговые стратегии продвижения инновационных продуктов и определяется, какие из них применимы к высокотехнологичным цифровым решениям, а в параграфе 1.3 эти стратегии адаптируются к специфике биометрических технологий в банковском секторе с учётом нормативной среды, психологических барьеров и архитектуры пользовательского доверия.</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1.2. МАРКЕТИНГОВЫЕ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инновационного продукта представляет собой комплексный план маркетинговых коммуникаций, направленный на информирование целевой аудитории о новом продукте, формирование потребительского интереса, стимулирование пробных покупок и обеспечение долгосрочной лояльности клиентов [10, с. 4; 23, с. 3]. В отличие от традиционных товаров, продвижение инноваций требует преодоления психологических барьеров потребителей, связанных с недостаточной осведомлённостью о новых технологиях, опасениями относительно надёжности инновационных решений и инерцией потребительского поведения [6, с. 49; 20,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Теория диффузии инноваций Э. Роджерса позволяет учитывать различия в готовности потребителей к принятию новых продуктов [24, с. 156]. В рамках стратегии продвижения это означает необходимость адаптации маркетинговых сообщений и каналов коммуникации под разные группы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 продвижения инновационных продуктов заключается в том, что компания сталкивается не только с задачей информирования потребителей, но и с необходимостью преодоления неопределённости, низкой осведомлённости рынка и недоверия к новому решению [20, с. 8; 23, с. 5]. В учебных материалах по экономике инноваций отмечается, что при продвижении инноваций компании могут сталкиваться с рядом проблем [15, с. 178–181]: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отсутствие сформированного рынка сбыта;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низкая осведомлённость покупателей;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ограниченное количество первых потребителей;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необходимость использования образовательных форм коммуникации, включая демонстрации продукта и разъяснение его преимуществ.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Это особенно важно для технологических продуктов, ценность которых не всегда очевидна потребителю на этапе первого знакомства [20,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должна начинаться с анализа рынка и конкурентной среды [11, с. 67; 19, с. 142]. Такой анализ позволяет определить ёмкость рынка, тенденции его развития, целевые сегменты, потребительские предпочтения, сильные и слабые стороны конкурентов, а также уникальное ценностное предложение продукта. Без предварительного анализа целевой аудитории и конкурентного окружения продвижение инновационного продукта может оказаться неэффективным, поскольку маркетинговые сообщения не будут соответствовать реальным ожиданиям потребителей [11, с. 71].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осуществляется поэтапно. Этапный подход позволяет снизить риски вывода продукта на рынок, учитывать особенности восприятия инновации потребителями и своевременно корректировать маркетинговые мероприятия [10, с. 5; 19, с. 156]. Основные этапы представлены в таблице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Этапы разработки стратегии продвижения нового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614"/>
        <w:gridCol w:w="6023"/>
      </w:tblGrid>
      <w:tr>
        <w:trPr>
          <w:tblHeader/>
          <w:cantSplit/>
        </w:trPr>
        <w:tc>
          <w:tcPr>
            <w:tcW w:w="36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Этап разработки стратегии</w:t>
            </w:r>
          </w:p>
        </w:tc>
        <w:tc>
          <w:tcPr>
            <w:tcW w:w="602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рынка и конкурентов</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Изучение ёмкости рынка, тенденций, конкурентов и потребностей клиентов</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Определение целевой аудитории</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Выбор сегментов, для которых продукт представляет наибольшую ценность</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Формирование ценностного предложения</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Объяснение, какую проблему решает продукт и чем он отличается от альтернатив</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Выбор каналов продвижения</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Определение наиболее эффективных коммуникационных каналов</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Тестирование коммуникаций</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рекламных сообщений и креативов на целевой аудитории</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результатов</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эффективности продвижения и корректировка стратегии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[10, с. 5; 17, с. 412; 19,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нового продукта рассматривается как последовательный управленческий процесс, который включает анализ, планирование, реализацию, оценку и корректировку маркетинговых действий [17, с. 412].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подходы к продвижению инновационных товаров и услуг включают стратегию проталкивания, ориентированную на работу с посредниками и партнёрами для обеспечения широкой доступности продукта в каналах распределения, и стратегию вытягивания, направленную на прямое воздействие на конечных потребителей с целью формирования спроса и создания рыночного давления на посредников [17, с. 567; 19, с. 198]. В контексте инновационных продуктов наиболее эффективной является интегрированная стратегия, сочетающая элементы обоих подходов и обеспечивающая синергетический эффект от одновременного воздействия на различные уровни распределительной цепи [10, с. 7; 23, с. 7]. Такие решения могут продвигаться одновременно для разных групп потребителей: внутренних пользователей организации, корпоративных клиентов, партнёрских компаний и конечных пользователей цифровых сервисов. Основные стратегии продвижения инновационного продукта представлены в таблице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стратегии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3855"/>
        <w:gridCol w:w="3855"/>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Стратегия</w:t>
            </w:r>
          </w:p>
        </w:tc>
        <w:tc>
          <w:tcPr>
            <w:tcW w:w="38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w:t>
            </w:r>
          </w:p>
        </w:tc>
        <w:tc>
          <w:tcPr>
            <w:tcW w:w="38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Значение для инновационного продукта</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Стратегия проталкивания</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Продвижение через партнёров</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Позволяет внедрять продукт через существующие каналы взаимодействия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Стратегия вытягивания</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Формирование спроса у конечных потребителей</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Повышает осведомлённость и интерес к продукту</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Интегрированная стратегия</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Сочетание push- и pull-подходов</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Подходит для сложных инновационных продуктов</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 стратегия</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Продвижение через совместные проекты с другими организациями</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Расширяет охват и повышает доверие к продукту</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[10, с. 7; 17, с. 567; 19, с. 198; 23,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биометрических новых продуктов наиболее подходит интегрированная стратегия, потому что требуется работа как с организациями-заказчиками, так и с конечными пользователями [4, с. 48; 8, с. 106]. На примере Face2 это проявляется в том, что продуктовая линейка включает решения для контроля доступа, учёта рабочего времени, оплаты по лицу, подтверждения возраста, регистрации в гостинице, а также внедрения коммерческой биометрической системы для сторонних организаций [27]. Следовательно, продвижение такого продукта должно сочетать B2C, B2B и внутренние корпоративные коммуникации.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цифровых инновационных продуктов, включая биометрические системы банков, особую актуальность приобретает стратегия прямого маркетинга, позволяющая установить непосредственную коммуникацию с потенциальными пользователями, собрать детальную обратную связь и персонализировать маркетинговые сообщения в соответствии с индивидуальными потребностями и предпочтениями целевых сегментов [12, с. 87; 17, с. 612].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Одним из базовых инструментов разработки стратегии продвижения инновационного продукта является модель STP, которая включает сегментацию рынка, выбор целевых сегментов и позиционирование продукта [17, с. 314; 19, с. 175]. Данная модель позволяет определить, для каких групп потребителей продукт представляет наибольшую ценность, и сформировать для них соответствующее ценностное предложение. Структура модели STP показана на рисунке 1.2.1.</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Segmentation   │ ──▶│    Targeting    │ ──▶│  Positioning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Сегментация    │    │  Выбор целевых  │    │ Позиционирование│</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рынка по       │    │  сегментов по   │    │ продукта в созна-│</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потребностям   │    │  привлекатель-  │    │ нии целевой ауди-│</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и поведению    │    │  ности и доступ-│    │ тории относитель-│</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ности          │    │ но конкурентов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[17, с. 314; 19, с. 175]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1.2.1. Модель STP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Логика STP делает продвижение инновационного продукта управляемым процессом: вместо обращения к рынку «в целом» компания работает только с теми сегментами, для которых ценностное предложение реально значимо, и формирует под каждый сегмент собственное позиционирование. Для биометрических банковских продуктов это особенно важно, поскольку аудитории и сценарии использования принципиально разные.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позволяет разделить потенциальных потребителей на группы в зависимости от их потребностей, поведения, уровня цифровой грамотности и готовности к использованию инновационных решений [11, с. 124]. Таргетинг предполагает выбор тех сегментов, для которых продукт представляет наибольшую ценность. Позиционирование, в свою очередь, определяет, какое место продукт должен занять в сознании целевой аудитории по сравнению с альтернативными решениями [17, с. 318].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случае биометрического продукта Face2 целевые аудитории различаются по характеру использования технологии. К ним относятся сотрудники банка, корпоративные клиенты, партнёрские организации, а также конечные пользователи цифровых сервисов [27]. Для каждой группы требуется разный акцент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для сотрудников важны удобство и скорость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для корпоративных клиентов — безопасность и эффективность бизнес-процессов;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для конечных пользователей — простота, надёжность и защита персональных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инновационного продукта определяет его восприятие целевой аудиторией относительно конкурирующих альтернатив и формирует основу коммуникационной стратегии [19, с. 188]. Эффективное позиционирование требует выявления уникальных конкурентных преимуществ, значимых для целевых потребителей, и формулирования чёткого ценностного предложения, отражающего функциональные и эмоциональные выгоды использования продукта [17, с. 327].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Стратегии позиционирования продуктов нового поколения могут базироваться на технологическом превосходстве, которое подчёркивает передовой характер используемых решений, на функциональных преимуществах, демонстрирующих способность продукта лучше удовлетворять потребности пользователей, или на эмоциональной привлекательности, связанной с имиджевыми характеристиками бренда и социальным статусом потребителя [14, с. 42; 19, с. 192]. Для биометрических банковских продуктов ключевыми аспектами позиционирования являются безопасность, удобство использования и технологическая инновационность, создающие комплексное ценностное предложение для различных сегментов клиентов [4, с. 49; 8, с. 107].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разработки стратегии продвижения инновационного продукта используется расширенная модель комплекса маркетинга 7P, включающая продукт, цену, каналы распространения, продвижение, персонал, процессы и материальные/цифровые доказательства надёжности [17, с. 354; 19, с. 215]. Данная модель особенно актуальна для цифровых и банковских продуктов, поскольку их ценность формируется не только функциональными характеристиками, но и качеством пользовательского опыта, уровнем доверия и прозрачностью процессов обслуживания [12, с. 92]. Описание модели представлено в таблице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Расширенный комплекс маркетинга 7P применительно к инновационному продукту</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22"/>
        <w:gridCol w:w="3475"/>
        <w:gridCol w:w="4740"/>
      </w:tblGrid>
      <w:tr>
        <w:trPr>
          <w:tblHeader/>
          <w:cantSplit/>
        </w:trPr>
        <w:tc>
          <w:tcPr>
            <w:tcW w:w="142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Элемент 7P</w:t>
            </w:r>
          </w:p>
        </w:tc>
        <w:tc>
          <w:tcPr>
            <w:tcW w:w="347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w:t>
            </w:r>
          </w:p>
        </w:tc>
        <w:tc>
          <w:tcPr>
            <w:tcW w:w="474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Значение для продвижения инновационного продукта</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Характеристики, функции и ценность продукта</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Позволяет показать, какую проблему решает продукт и чем он отличается от существующих решений</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использования или внедрения</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Влияет на готовность потребителя попробовать продукт и оценить его выгоду</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распространения и доступность продукта</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Определяет, через какие каналы продукт становится доступен целевой аудитории</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 продвижения и коммуникации</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 осведомлённость, интерес и доверие к новому продукту</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 и консультанты</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Влияют на качество объяснения продукта и сопровождение пользователей</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 использования продукта</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Определяет удобство, простоту и скорость взаимодействия пользователя с продуктом</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Доказательства надёжности и качества</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Помогают снизить недоверие к инновации через отзывы, кейсы, сертификаты, демонстрации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[17, с. 354; 19, с. 215]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7P позволяет рассматривать продвижение инновационного продукта как комплексную систему, включающую не только коммуникационные мероприятия, но и качество самого продукта, удобство его использования, каналы доступа, сопровождение пользователей и доказательства надёжности. Для инновационных технологических продуктов особое значение имеют элементы People, Process и Physical evidence — именно они помогают снизить недоверие потребителей и сформировать положительный пользовательский опыт [4, с. 50; 8, с. 109].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Коммуникационная стратегия продвижения инновационного продукта определяет выбор каналов коммуникации, формат маркетинговых сообщений, интенсивность коммуникационного воздействия и распределение бюджета между различными инструментами продвижения [17, с. 472; 18, с. 638].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начальном этапе вывода инновационного продукта на рынок приоритетными задачами коммуникации являются информирование целевой аудитории о существовании продукта, разъяснение функциональных возможностей и преимуществ, формирование базового понимания способов использования и снижение воспринимаемых рисков покупки [10, с. 6; 20, с. 10]. Информационная функция реализуется через образовательный контент, демонстрационные мероприятия, детальные описания продукта и экспертные материалы, помогающие потенциальным пользователям осознать ценность инновационного решения. По мере распространения продукта на рынке акцент коммуникационной стратегии смещается на формирование эмоциональной привязанности к бренду, стимулирование повторных использований и создание сообщества лояльных пользователей [17, с. 478].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Продвижение инновационного продукта целесообразно рассматривать через маркетинговую воронку, отражающую последовательное движение потребителя от первичного знакомства с продуктом к его регулярному использованию [12, с. 64; 13, с. 64]. Для инновационных продуктов данная воронка должна включать не только этапы привлечения и покупки, но и этап формирования доверия, поскольку без снижения воспринимаемых рисков потребитель может отказаться от использования новой технологии [20, с. 11; 23, с. 6]. Описание маркетинговой воронки продвижения инновационного продукта представлено в таблице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65"/>
        <w:gridCol w:w="3442"/>
        <w:gridCol w:w="4130"/>
      </w:tblGrid>
      <w:tr>
        <w:trPr>
          <w:tblHeader/>
          <w:cantSplit/>
        </w:trPr>
        <w:tc>
          <w:tcPr>
            <w:tcW w:w="206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Этап воронки</w:t>
            </w:r>
          </w:p>
        </w:tc>
        <w:tc>
          <w:tcPr>
            <w:tcW w:w="344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Задача продвижения</w:t>
            </w:r>
          </w:p>
        </w:tc>
        <w:tc>
          <w:tcPr>
            <w:tcW w:w="413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Возможные инструменты</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Сообщить о существовании продукта</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сайт, новости, социальные сети</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Объяснить назначение и преимущества</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 статьи, презентации, демонстрации</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Снизить опасения и риски</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Экспертные комментарии, информация о безопасности, ответы на вопросы</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Пробное использование</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Побудить попробовать продукт</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Пилотные проекты, демо-доступ, обучение</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регулярное использование</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Поддержка, инструкции, удобный пользовательский опыт</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Сформировать положительное отношение и рекомендации</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Отзывы, кейсы, программы вовлечения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64; 13, с. 64;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Ключевое отличие воронки инновационного продукта от воронки традиционного товара — наличие отдельного этапа «Доверие» между интересом и пробным использованием. Без этого этапа потенциальный пользователь не переходит к практическому взаимодействию с технологией, поэтому именно на формирование доверия должна быть направлена основная часть коммуникационных усилий и бюджета на ранних стадиях вывода продукта на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каналы продвижения приобретают критическую важность для инновационных продуктов в силу способности обеспечить точное таргетирование целевой аудитории, оперативную обратную связь от пользователей, возможность персонализации маркетинговых сообщений и эффективное измерение результатов коммуникационных кампаний [12, с. 78; 13, с. 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Интернет-маркетинг инновационных продуктов включает поисковую оптимизацию, обеспечивающую высокую видимость информации о продукте в результатах поиска по релевантным запросам, контекстную рекламу, позволяющую привлечь внимание пользователей, активно ищущих решения определённых проблем, и контент-маркетинг, направленный на создание ценных информационных материалов, демонстрирующих экспертизу компании и формирующих доверие целевой аудитории [12, с. 102; 13,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Социальные медиа представляют особенно эффективный канал продвижения инновационных продуктов благодаря возможности вирусного распространения информации, организации дискуссий с участием потенциальных и существующих пользователей, работы с лидерами мнений и создания сообществ вокруг бренда или продукта [12, с. 134; 13, с. 134]. Каналы продвижения инновационного продукта представлены в таблице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09"/>
        <w:gridCol w:w="2976"/>
        <w:gridCol w:w="4252"/>
      </w:tblGrid>
      <w:tr>
        <w:trPr>
          <w:tblHeader/>
          <w:cantSplit/>
        </w:trPr>
        <w:tc>
          <w:tcPr>
            <w:tcW w:w="24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Канал продвижения</w:t>
            </w:r>
          </w:p>
        </w:tc>
        <w:tc>
          <w:tcPr>
            <w:tcW w:w="297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Цель использования</w:t>
            </w:r>
          </w:p>
        </w:tc>
        <w:tc>
          <w:tcPr>
            <w:tcW w:w="42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Особенности применения для инновационного продукта</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Официальный сайт организации</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Размещение основной информации о продукте</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Позволяет представить описание продукта, преимущества, условия использования и ответы на частые вопросы</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и деловые СМИ</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Формирование доверия и экспертного имиджа</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Помогает объяснить значимость инновации и повысить узнаваемость продукта</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Социальные сети</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охвата аудитории</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Позволяют простым языком объяснить преимущества продукта и работать с возражениями пользователей</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Демо-презентации</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 продукта в действии</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Позволяют потенциальным пользователям увидеть работу продукта и снизить недоверие к новой технологии</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Обучение и информирование аудитории</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Включает статьи, инструкции, обзоры, видеоматериалы, которые помогают снизить неопределённость</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Пилотные проекты</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продукта в ограниченном масштабе</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Позволяют собрать обратную связь и подтвердить практическую ценность продукта</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 каналы</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охвата через другие организации</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 для продвижения сложных технологических решений на B2B-рынке</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Выход на профессиональную аудиторию</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Подходят для продвижения инноваций среди компаний, экспертов и потенциальных партнёров</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102–135; 13, с. 102–135; 20, с. 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каналов продвижения инновационного продукта зависит от уровня осведомлённости целевой аудитории, сложности продукта и степени доверия к новой технологии. Для инновационных продуктов особенно важны не только рекламные каналы, но и образовательные, экспертные и демонстрационные форматы, позволяющие объяснить ценность продукта и снизить воспринимаемые риски его использования [20, с. 12; 23,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Возвращаясь к теории диффузии инноваций, следует отметить, что стратегия работы с ранними последователями является критически важным элементом продвижения инновационных продуктов, поскольку данная категория потребителей выполняет функцию «послов бренда», распространяя информацию о продукте в своих социальных кругах и формируя первичные отзывы, влияющие на решения более консервативных сегментов рынка [24, с. 161; 14, с. 47].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Привлечение ранних последователей требует разработки специальных программ, включающих эксклюзивный ранний доступ к продукту, специальные ценовые условия, возможность участия в тестировании и доработке продукта, признание статуса пионеров использования инновации [21, с. 15; 23, с. 8]. Управление отзывами ранних пользователей предполагает активный мониторинг обратной связи, оперативное реагирование на выявленные проблемы, публичную демонстрацию учёта пользовательских предложений в развитии продукта и формирование позитивного информационного фона вокруг инновационного решения [10, с. 8; 21, с. 17]. В случае Face2 такими ранними последователями могут выступать технологически ориентированные сотрудники банка, корпоративные клиенты, заинтересованные в цифровизации процессов, а также партнёрские организации, готовые участвовать в пилотных проектах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Ценовая стратегия продвижения инновационного продукта определяет баланс между необходимостью возврата инвестиций в разработку, конкурентным позиционированием и доступностью продукта для целевых сегментов [17, с. 392; 19, с. 224]. Стратегия снятия сливок предполагает установление высокой начальной цены для максимизации прибыли от ранних последователей, готовых платить премию за инновационность, с последующим постепенным снижением цены для охвата более широких сегментов рынка. Стратегия проникновения на рынок основана на установлении относительно низкой цены для быстрого захвата значительной доли рынка и создания барьеров входа для конкурентов [17, с. 396]. Для банковских инновационных продуктов характерна стратегия бесплатного предоставления базовой функциональности с возможностью монетизации через дополнительные услуги — это минимизирует барьеры принятия инновации и обеспечивает быстрое распространение продукта среди клиентов банка [8, с. 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Партнёрская стратегия продвижения инновационных продуктов предполагает формирование альянсов с компаниями, обладающими комплементарными продуктами, доступом к целевой аудитории или экспертизой в релевантных областях [10, с. 9; 23, с. 8]. Стратегические партнёрства позволяют расширить охват целевой аудитории, повысить доверие к инновационному продукту через ассоциацию с авторитетными брендами, получить доступ к дополнительным каналам распределения и совместно инвестировать в маркетинговые коммуникации. Для биометрических банковских продуктов потенциальными партнёрами выступают производители оборудования, разработчики операционных систем, платёжные системы, ритейлеры и другие организации, заинтересованные в повышении безопасности и удобства идентификации пользователей [4, с. 51; 27]. Совместные маркетинговые кампании с партнёрами создают синергетический эффект и повышают эффективность инвестиций в продвижение инновационного продукта [10,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Измерение эффективности продвижения инновационного продукта требует разработки системы ключевых показателей, отражающих прогресс в достижении маркетинговых целей на различных этапах жизненного цикла продукта [11, с. 198; 17, с. 524]. На стадии внедрения ключевыми метриками являются уровень осведомлённости целевой аудитории о продукте, понимание функциональных возможностей и преимуществ, формирование намерения попробовать продукт. На этапе роста критически важными показателями становятся количество новых пользователей, частота использования продукта, показатели удовлетворённости и готовности рекомендовать продукт другим потребителям [11, с. 201]. Финансовые показатели эффективности включают стоимость привлечения клиента, пожизненную ценность клиента, рентабельность инвестиций в маркетинговые коммуникации и долю рынка инновационного продукта [12, с. 156; 17, с. 528]. Аналитика цифровых каналов продвижения обеспечивает детальную информацию о поведении пользователей, эффективности различных каналов и сообщений, что позволяет оперативно оптимизировать маркетинговую стратегию и повышать результативность коммуникационных кампаний [13, с. 156]. Основные показатели эффективности продвижения инновационного продукта представлены в таблице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Показатели эффективности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12"/>
        <w:gridCol w:w="6425"/>
      </w:tblGrid>
      <w:tr>
        <w:trPr>
          <w:tblHeader/>
          <w:cantSplit/>
        </w:trPr>
        <w:tc>
          <w:tcPr>
            <w:tcW w:w="321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Цель продвижения</w:t>
            </w:r>
          </w:p>
        </w:tc>
        <w:tc>
          <w:tcPr>
            <w:tcW w:w="642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Показатель эффективности</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Повышение осведомлённости</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аудитории, посещаемость сайта, количество упоминаний в СМИ</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Формирование интереса</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заявок, просмотров презентаций, обращений за информацией</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недоверия</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положительных отзывов, снижение отказов, результаты опросов</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Привлечение пользователей</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регистраций, подключений пилотных внедрений</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Удержание пользователей</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Частота использования, повторные обращения, активность пользователей</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эффективность</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привлечения клиента, ROI, LTV, срок окупаемости</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 эффект</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Индекс удовлетворённости, NPS, экспертные публикации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[11, с. 198–202; 12, с. 156; 17, с. 524–528]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Face2 система KPI должна включать не только маркетинговые показатели охвата и узнаваемости, но и показатели доверия, активности пользователей, количества внедрений и экономического эффекта. Это связано с тем, что успешность продвижения биометрического продукта определяется не только интересом аудитории, но и фактическим принятием технологии [4, с. 53; 8, с.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Маркетинговые стратегии продвижения инновационных продуктов характеризуются комплексным характером, необходимостью интеграции традиционных и цифровых инструментов коммуникации, особым вниманием к образовательной составляющей маркетинговых сообщений и критической важностью управления восприятием инновации различными категориями потребителей [10, с. 10; 20, с. 13; 23, с. 9]. Успешное продвижение инновационного продукта требует глубокого понимания психологии принятия инноваций, способности адаптировать стратегию к изменяющимся рыночным условиям и готовности инвестировать значительные ресурсы в формирование осведомлённости и доверия целевой аудитории к новому продукту.</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1.3. ОСОБЕННОСТИ ПРОДВИЖЕНИЯ БИОМЕТРИЧЕСКИХ ТЕХНОЛОГИЙ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1.2 показал, какие инструменты составляют арсенал продвижения инновационного продукта в общем виде: интегрированная стратегия, модель STP, расширенный комплекс маркетинга 7P, маркетинговая воронка с этапом доверия, цифровые каналы, программы для ранних последователей, ценовые и партнёрские стратегии. Биометрические технологии в банковском секторе требуют не нового набора инструментов, а особой их конфигурации: смещения акцентов в воронке, перераспределения веса между элементами 7P, изменения логики каналов и сообщений. Настоящий параграф фиксирует, какие особенности биометрии задают это смещение, какие барьеры приходится преодолевать продвижению и при каких условиях стандартные маркетинговые инструменты переходят в специфические для банковской биометрии формы.</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Биометрия в банковском секторе: краткая рамка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Биометрия — технология распознавания личности по уникальным физиологическим или поведенческим характеристикам: лицу, голосу, отпечаткам пальцев, рисунку радужной оболочки, рисунку вен ладони, особенностям походки [3, с. 29; 8, с. 100]. В банковской сфере она решает связанный набор задач: безопасную идентификацию и аутентификацию клиентов при дистанционном обслуживании, противодействие мошенничеству, упрощение доступа к продуктам и снижение операционных издержек [4, с. 38; 8, с. 104; 9, с. 115]. Технологии распознавания лица бесконтактны, быстры и интегрируются с распространёнными устройствами — это делает их одним из приоритетных направлений банковской цифровизации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в России жёсткий и определяет рамки любых действий банка с биометрией. Федеральный закон от 29.12.2022 № 572-ФЗ относит биометрические векторы к специальной категории персональных данных, обязывает хранить их в Государственной информационной системе ЕБС и разрешает аутентификацию по биометрии только аккредитованным организациям и только при письменном согласии гражданина [7, с. 92–94]. Для банка аккредитация Минцифры России в качестве оператора коммерческой биометрической системы (КБС), сертификация ФСБ и ФСТЭК, включение в реестр отечественного ПО — не формальность, а условие существования продукта на рынке, а после введения 420-ФЗ и 421-ФЗ от 30 ноября 2024 года — ещё и условие защиты от штрафов до 1–3% годового дохода и уголовной ответственности за неправомерное обращение с биометрическими данными [7, с. 95; 27]. Сферы применения биометрии в банке и за его пределами показаны на рисунке 1.3.1.</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Области применения биометрии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Банки      Транспорт       Ритейл       Госуслуги     СКУД</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и МФЦ      (доступ)</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Образование Здравоохранение Гостиницы   Промышленные  Спортивные</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предприятия   объекты</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 с. 31; 4, с. 39; 8, с. 102;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1.3.1. Области применения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Банковский сектор — лишь одно из применений, но самое требовательное по совокупности факторов: высокая чувствительность данных, прямая связь с финансами, регуляторное давление, ожидания пользователя по скорости и надёжности. Поэтому стратегия продвижения, отстроенная для биометрии в банке, потом легко переносится на другие отрасли, а обратное — нет. Дальнейший анализ ведётся именно в банковском контуре.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Барьеры принятия как стартовая точка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Если для обычного банковского продукта продвижение начинается с информирования и стимулирования спроса, то для биометрии оно начинается с барьеров. Без их снятия информирование не работает: клиент слышит сообщение о новом сервисе, но не переходит к действию [4, с. 43; 9, с. 113]. Барьеры биометрии в банковском секторе делятся на четыре группы — психологические, поведенческие, организационные (для B2B-заказчиков) и регуляторно-репутационные. Каждая группа требует своего инструментария продвижения, и именно сопоставление барьеров с инструментами из параграфа 1.2 даёт работоспособную стратегию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принятия биометрических технологий и инструменты их преодоления</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95"/>
        <w:gridCol w:w="2514"/>
        <w:gridCol w:w="2514"/>
        <w:gridCol w:w="2514"/>
      </w:tblGrid>
      <w:tr>
        <w:trPr>
          <w:tblHeader/>
          <w:cantSplit/>
        </w:trPr>
        <w:tc>
          <w:tcPr>
            <w:tcW w:w="209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Группа барьеров</w:t>
            </w:r>
          </w:p>
        </w:tc>
        <w:tc>
          <w:tcPr>
            <w:tcW w:w="25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 барьера</w:t>
            </w:r>
          </w:p>
        </w:tc>
        <w:tc>
          <w:tcPr>
            <w:tcW w:w="25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Инструмент продвижения (из 1.2)</w:t>
            </w:r>
          </w:p>
        </w:tc>
        <w:tc>
          <w:tcPr>
            <w:tcW w:w="25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Конкретная форма для биометрии</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Психологические</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Страх утечки биометрии, опасения злоупотреблений, ощущение невозможности «отозвать» сданный образец</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«Доверие» в воронке; элемент Physical evidence в 7P</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ФСБ/ФСТЭК, объяснение архитектуры ГИС ЕБС, прозрачная политика обработки данных</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Когнитивные</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Непонимание принципа работы, мифы о «слежке», непрозрачность сценария использования</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Образовательный контент-маркетинг; элемент People в 7P</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Видеоинструкции, инфографика, FAQ, разъяснения от экспертов банка</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Поведенческие</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Привычка к картам, паролям и документам; инерция потребительского поведения</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Демонстрационная стратегия; стратегия работы с ранними последователями</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Демозоны в отделениях, пилоты на лояльной аудитории (сотрудники, корпоративные клиенты), геймификация регистрации</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 (B2B)</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внедрения, длительный срок окупаемости, сложность интеграции с существующей СКУД и ИТ-инфраструктурой</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Расчёт ROI и LTV; партнёрская стратегия; пилотные проекты</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Бизнес-кейсы с количественным эффектом, пилотные внедрения с минимальной инфраструктурой, партнёрства с интеграторами</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Регуляторно-репутационные</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Риск штрафов и уголовной ответственности при неправомерном обращении с биометрией; репутационный ущерб от инцидентов</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и деловые СМИ; элемент Physical evidence в 7P</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Демонстрация статуса аккредитованного оператора КБС, публикация ESG-отчётности, открытость к проверкам</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[4, с. 41–47; 8, с. 106–110; 9, с. 113–119; 17, с. 354; 23, с. 7–8;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практический вывод из этой раскладки в том, что бюджет продвижения биометрии распределяется иначе, чем для обычного банковского продукта. Если у массового потребительского сервиса основная часть приходится на этап осведомлённости и интереса, то у биометрии непропорционально большая доля уходит на этапы доверия и пробного использования: образовательный контент, демонстрации, пилоты, экспертные публикации, разъяснение мер защиты данных. На массовую рекламу до снятия барьеров доверия инвестиции окупаются плохо.</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Условия успешного продвижения биометрических технологий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показывают, что нужно преодолеть; условия успеха — какие предпосылки должны выполняться, чтобы продвижение в принципе работало. Это четыре группы факторов, которые формируют верхнюю границу того, что вообще достижимо маркетингом (таблица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Условия успешного продвижения биометрических технологий в банковском секторе</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4"/>
        <w:gridCol w:w="3401"/>
        <w:gridCol w:w="3401"/>
      </w:tblGrid>
      <w:tr>
        <w:trPr>
          <w:tblHeader/>
          <w:cantSplit/>
        </w:trPr>
        <w:tc>
          <w:tcPr>
            <w:tcW w:w="283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Группа условий</w:t>
            </w:r>
          </w:p>
        </w:tc>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w:t>
            </w:r>
          </w:p>
        </w:tc>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Что обеспечивает в продвижении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Правовые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Соответствие 572-ФЗ, аккредитация Минцифры в качестве оператора КБС, сертификация ФСБ и ФСТЭК, наличие письменного согласия пользователя</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вообще выводить продукт на рынок и легально использовать его в коммуникации как «безопасный и законный»</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Социально-психологические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доверия к технологии, готовность аудитории к освоению инноваций, отсутствие острых негативных кейсов в публичном поле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Восприимчивость аудитории к маркетинговым сообщениям; реалистичность сроков перехода от интереса к принятию</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распознавания (FAR/FRR), надёжность оборудования, скорость работы, простота интеграции с существующими системами заказчика</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Реальное соответствие продукта обещаниям маркетинга; возможность работы со статистикой точности и кейсами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Понятный срок окупаемости для B2B-заказчика, обоснованная цена внедрения, измеримый эффект (сокращение очередей, снижение операционных рисков, ускорение обслуживания)</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продаж в B2B и B2G; возможность строить продвижение на ROI, а не только на эмоциях</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[4, с. 45; 7, с. 93; 8, с. 106;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Эти четыре группы — не предмет маркетинга, а его рамка. Если правовое условие нарушено, никакое продвижение не спасёт продукт от регуляторных санкций. Если технологическое условие не выполняется (например, точность распознавания недостаточна для финансовых операций), любая реклама сработает в минус: первый же негативный пользовательский опыт уничтожит репутационный капитал. Если экономическое условие не обосновано для B2B-клиента, лучшая в мире коммуникация не приведёт к подписанию контракта. Поэтому стратегия продвижения биометрии в банке всегда строится после того, как зафиксированы эти четыре опоры, а не вместо них.</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Конфигурация инструментов из 1.2 под специфику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барьеров и условий стандартные инструменты продвижения, рассмотренные в параграфе 1.2, перенастраиваются для биометрии в банковском секторе следующим образом.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Интегрированная стратегия (push + pull) в банковской биометрии распадается по сегментам.</w:t>
      </w:r>
      <w:r>
        <w:rPr>
          <w:rFonts w:ascii="Times New Roman" w:hAnsi="Times New Roman" w:cs="Times New Roman" w:eastAsia="Times New Roman"/>
          <w:color w:val="000000"/>
          <w:sz w:val="28"/>
          <w:szCs w:val="28"/>
          <w:lang w:val="ru-RU"/>
        </w:rPr>
        <w:t xml:space="preserve"> Push-составляющая работает в B2B и B2G: банк через прямые продажи, отраслевые конференции, партнёрства с интеграторами и вендорами оборудования продвигает решение корпоративным заказчикам и государственным организациям. Pull-составляющая работает в B2C: формирование спроса со стороны конечных пользователей через рекламу, контент-маркетинг и социальные сети [4, с. 48; 8, с. 106]. Особенность в том, что pull в биометрии вторичен по отношению к push: B2B-заказчик принимает решение о внедрении только тогда, когда видит готовность своих клиентов пользоваться технологией, а готовность клиентов формируется через массовые сценарии (метро, библиотеки, магазины), которые сами по себе требуют B2B-партнёра.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Модель STP сегментирует рынок не по социально-демографическим признакам, а по типу заказчика и сценарию использования.</w:t>
      </w:r>
      <w:r>
        <w:rPr>
          <w:rFonts w:ascii="Times New Roman" w:hAnsi="Times New Roman" w:cs="Times New Roman" w:eastAsia="Times New Roman"/>
          <w:color w:val="000000"/>
          <w:sz w:val="28"/>
          <w:szCs w:val="28"/>
          <w:lang w:val="ru-RU"/>
        </w:rPr>
        <w:t xml:space="preserve"> Сегменты — банки, МФО, ритейл, гостиницы, транспорт, режимные объекты, государственные учреждения. Для каждого формируется собственное позиционирование: для банков — «соответствие 572-ФЗ и снижение рисков мошенничества», для ритейла — «ускорение обслуживания», для режимных объектов — «контроль доступа без передаваемых пропусков», для государственных учреждений — «цифровизация идентификации без документов» [11, с. 124; 17, с.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 расширенном комплексе 7P для биометрии непропорционально вырастают три элемента — People, Process и Physical evidence.</w:t>
      </w:r>
      <w:r>
        <w:rPr>
          <w:rFonts w:ascii="Times New Roman" w:hAnsi="Times New Roman" w:cs="Times New Roman" w:eastAsia="Times New Roman"/>
          <w:color w:val="000000"/>
          <w:sz w:val="28"/>
          <w:szCs w:val="28"/>
          <w:lang w:val="ru-RU"/>
        </w:rPr>
        <w:t xml:space="preserve"> People — экспертиза сотрудников банка, выступающих публичными лицами продукта, и качество сопровождения внедрения у заказчика. Process — простота пользовательского пути регистрации и использования (минимизация шагов, скорость распознавания, понятный сценарий восстановления доступа). Physical evidence — сертификаты ФСБ и ФСТЭК, аккредитация Минцифры, кейсы внедрений, отзывы сотрудников банка как ранних пользователей [4, с. 50; 8, с. 109]. Эти три элемента закрывают психологический барьер сильнее, чем элементы Promotion и Price в их классической форме.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Маркетинговая воронка для биометрии вытягивается на этапе «Доверие».</w:t>
      </w:r>
      <w:r>
        <w:rPr>
          <w:rFonts w:ascii="Times New Roman" w:hAnsi="Times New Roman" w:cs="Times New Roman" w:eastAsia="Times New Roman"/>
          <w:color w:val="000000"/>
          <w:sz w:val="28"/>
          <w:szCs w:val="28"/>
          <w:lang w:val="ru-RU"/>
        </w:rPr>
        <w:t xml:space="preserve"> Между этапами «Интерес» и «Пробное использование» стандартной воронки в биометрии встраивается отдельный длинный этап работы с возражениями: разъяснение архитектуры хранения биометрии в ГИС ЕБС, демонстрация мер защиты, ответы на вопросы о конфиденциальности, публикация статистики точности. Без этого этапа большая часть аудитории, проявившей интерес, не доходит до пробного использования [12, с. 64; 20, с. 11; 23, с. 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Каналы продвижения смещаются в сторону экспертных и демонстрационных форматов.</w:t>
      </w:r>
      <w:r>
        <w:rPr>
          <w:rFonts w:ascii="Times New Roman" w:hAnsi="Times New Roman" w:cs="Times New Roman" w:eastAsia="Times New Roman"/>
          <w:color w:val="000000"/>
          <w:sz w:val="28"/>
          <w:szCs w:val="28"/>
          <w:lang w:val="ru-RU"/>
        </w:rPr>
        <w:t xml:space="preserve"> Удельный вес массовой рекламы снижается в пользу образовательного контент-маркетинга, отраслевых мероприятий, экспертных публикаций в деловых СМИ и физических демозон в офисах банка и партнёрских точках. Социальные сети используются не столько для прямого охвата, сколько для работы с возражениями и распространения отзывов «послов бренда» — технологически ориентированных сотрудников банка, корпоративных клиентов и пилотных пользователей [12, с. 102–135; 24, с. 161;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Программы стимулирования и партнёрства образуют экосистемный слой продвижения.</w:t>
      </w:r>
      <w:r>
        <w:rPr>
          <w:rFonts w:ascii="Times New Roman" w:hAnsi="Times New Roman" w:cs="Times New Roman" w:eastAsia="Times New Roman"/>
          <w:color w:val="000000"/>
          <w:sz w:val="28"/>
          <w:szCs w:val="28"/>
          <w:lang w:val="ru-RU"/>
        </w:rPr>
        <w:t xml:space="preserve"> Геймификация регистрации, бонусные программы для ранних пользователей, эксклюзивный доступ к дополнительным функциям снижают психологические барьеры и повышают конверсию в пробное использование [10, с. 8; 12, с. 124; 23, с. 8]. Партнёрства с производителями турникетов и POS-терминалов, разработчиками СКУД, платёжными системами и государственными структурами расширяют каналы дистрибуции, а сама ассоциация с авторитетными партнёрами работает как дополнительный элемент Physical evidence в восприятии заказчиков [4, с. 51; 27].</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Переход к главе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Сформированная теоретическая рамка позволяет дальше анализировать продвижение биометрического продукта Face2 Ак Барс Банка не как набор разрозненных активностей, а как систему. В главе 2 проверяется, как эта рамка реализована на практике: какой барьерный набор реально стоит перед Face2 на российском рынке, какие из четырёх условий успеха закрыты у Ак Барс Банка институционально, как конфигурируются инструменты продвижения под продуктовую линейку (Face2Pay, Face2Pass, Face2Check-in, КБС под ключ), и какие сегменты B2B и B2G банк уже охватывает первыми коммерческими внедрениями. Параграф 2.1 описывает банк как разработчика и продукт как объект продвижения, параграф 2.2 — конкурентное окружение и рыночные условия, параграф 2.3 — текущее состояние продвижения и его пробелы. Глава 3 на этой основе формирует целевой комплекс мероприятий по продвижению Face2.</w:t>
      </w: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ВЫВОД ПО ГЛАВЕ 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 это результат научно-технической и интеллектуальной деятельности с качественно новыми характеристиками, отличающийся от традиционного товара повышенным уровнем неопределённости рыночного успеха и необходимостью изменения поведенческих паттернов потребителя. Эти признаки задают специфику его продвижения: помимо стандартных задач информирования и стимулирования спроса требуется образовательная коммуникация, демонстрация ценности и работа с воспринимаемыми рисками.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инновационные продукты банковского сектора образуют отдельный подкласс с повышенными требованиями к защите данных, нормативно-правовому соответствию и доверию пользователей. Биометрические системы — крайний случай в этом подклассе: они сочетают высокую технологическую сложность, работу с особо чувствительными персональными данными, жёсткий нормативно-правовой контур (572-ФЗ, аккредитация, сертификация ФСБ и ФСТЭК) и значительные психологические барьеры в восприятии. По совокупности этих характеристик биометрия относится к высокотехнологичным инновационным продуктам повышенного риска, и её продвижение не сводится к стандартному маркетингу: требуется особая стратегия, в которой обычные функции маркетинга дополняются образовательной составляющей, систематической работой с возражениями, демонстрацией мер защиты данных и подтверждением правовой корректности технологии.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Инструментально такая стратегия опирается на интегрированный подход (push + pull), модель STP с разделением аудитории на B2B-, B2G- и B2C-сегменты, расширенный комплекс маркетинга 7P с особым весом элементов People, Process и Physical evidence, маркетинговую воронку с обязательным этапом формирования доверия, цифровые каналы и образовательно-демонстрационные форматы. Теория диффузии инноваций Э. Роджерса задаёт логику последовательной работы с разными группами аудитории: новаторы и ранние последователи становятся источниками доказательной базы для более консервативных сегментов. В банковской биометрии эти универсальные инструменты не отменяются, а перенастраиваются под пять групп барьеров принятия (психологических, когнитивных, поведенческих, организационных, регуляторно-репутационных) и опираются на четыре условия успешного продвижения — правовое, социально-психологическое, технологическое и экономическое; продвижение начинает работать только после того, как эти условия закрыты институционально.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Сформулированные теоретические положения создают аналитическую рамку для последующих глав. В главе 2 разрабатывается стратегия продвижения Face2 Ак Барс Банка с учётом всех перечисленных особенностей биометрии как высокотехнологичного инновационного продукта повышенного риска: характеристика банка и продукта, анализ конкурентной среды и текущего продвижения. В главе 3 эта рамка переводится в конкретный комплекс маркетинговых мероприятий по продвижению биометрической системы.</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 АНАЛИЗ ДЕЯТЕЛЬНОСТИ АК БАРС БАНКА В КОНТЕКСТЕ РАЗРАБОТКИ СТРАТЕГИИ ПРОДВИЖЕНИЯ ИННОВАЦИОННОГО ПРОДУКТА</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2.1. ХАРАКТЕРИСТИКА АК БАРС БАНКА И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Акционерный коммерческий банк «Ак Барс» — публичное акционерное общество со штаб-квартирой в Казани (ул. Декабристов, 1), работает по генеральной лицензии Банка России с 1993 года и входит в систему страхования вкладов [26, с. 6–7]. Основной регион присутствия — Республика Татарстан: на конец 2024 года доля местных поставщиков в бюджете закупок составила не менее 60% [28, с. 67]. Сводная динамика основных консолидированных показателей за 2023–2025 годы приведена в таблице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финансовые показатели группы банка «Ак Барс» за 2023–2025 гг., млн руб.</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507"/>
        <w:gridCol w:w="1376"/>
        <w:gridCol w:w="1376"/>
        <w:gridCol w:w="1376"/>
      </w:tblGrid>
      <w:tr>
        <w:trPr>
          <w:tblHeader/>
          <w:cantSplit/>
        </w:trPr>
        <w:tc>
          <w:tcPr>
            <w:tcW w:w="550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Показатель</w:t>
            </w:r>
          </w:p>
        </w:tc>
        <w:tc>
          <w:tcPr>
            <w:tcW w:w="137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2023</w:t>
            </w:r>
          </w:p>
        </w:tc>
        <w:tc>
          <w:tcPr>
            <w:tcW w:w="137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2024</w:t>
            </w:r>
          </w:p>
        </w:tc>
        <w:tc>
          <w:tcPr>
            <w:tcW w:w="137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2025</w:t>
            </w:r>
          </w:p>
        </w:tc>
      </w:tr>
      <w:tr>
        <w:trPr>
          <w:cantSplit/>
        </w:trPr>
        <w:tc>
          <w:tcPr>
            <w:tcW w:w="55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Совокупные активы (на конец года)</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946 923</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1 157 340</w:t>
            </w:r>
          </w:p>
        </w:tc>
      </w:tr>
      <w:tr>
        <w:trPr>
          <w:cantSplit/>
        </w:trPr>
        <w:tc>
          <w:tcPr>
            <w:tcW w:w="55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капитал (на конец года)</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106 130</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111 972</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126 377</w:t>
            </w:r>
          </w:p>
        </w:tc>
      </w:tr>
      <w:tr>
        <w:trPr>
          <w:cantSplit/>
        </w:trPr>
        <w:tc>
          <w:tcPr>
            <w:tcW w:w="55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Чистые процентные доходы</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31 824</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46 590</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58 135</w:t>
            </w:r>
          </w:p>
        </w:tc>
      </w:tr>
      <w:tr>
        <w:trPr>
          <w:cantSplit/>
        </w:trPr>
        <w:tc>
          <w:tcPr>
            <w:tcW w:w="55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Прибыль за период</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14 195</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7 269</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15 708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[25, с. 1–3; 26, с. 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Дивиденды по итогам отчётных периодов не выплачиваются, а основной финансовый результат концентрируется в корпоративном и инвестиционном сегментах [25, с. 66, 68; 26, с. 2–3]: ресурсы для продвижения нового продукта остаются внутри группы, а собственная B2B-база работает как готовый канал входа для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Действующая Стратегия развития Ак Барс Банка на 2022–2026 годы фиксирует три приоритета: эффективность, клиентоцентричность и гибкость [28, с. 16]. Биометрический продукт встаёт в этот контур естественно: «технологический суверенитет» закрывается у Face2 через сертификацию ФСБ, ФСТЭК и попадание в реестр отечественного ПО [27], «клиентоцентричность» — через сценарии оплаты и доступа без карт и документов, «гибкость» — через возможность быстро запускать сервисы на одной платформе для разных сегментов B2B. Face2 — не точечный эксперимент, а реализация трёх приоритетов одновременно. Клиентская база и розничный портфель банка задают канал, через который продукт может быть распространён во внешний рынок (таблица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Клиентская база и продуктовые показатели Ак Барс Банка по итогам 2024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52"/>
        <w:gridCol w:w="2585"/>
      </w:tblGrid>
      <w:tr>
        <w:trPr>
          <w:tblHeader/>
          <w:cantSplit/>
        </w:trPr>
        <w:tc>
          <w:tcPr>
            <w:tcW w:w="70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Показатель</w:t>
            </w:r>
          </w:p>
        </w:tc>
        <w:tc>
          <w:tcPr>
            <w:tcW w:w="258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Значение на 01.01.2025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клиенты, тыс. чел.</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934</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Корпоративные клиенты,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Активные пользователи Ак Барс Онлайн,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Действующие банковские карты, тыс.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2 265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жителя Республики Татарстан (всего, включая Детскую карту),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Объём транзакций через Ак Барс Онлайн за год, млн</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203</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[28, с. 17, 25, 28, 29,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 одновременно работает с массовой розницей, корпоративным сегментом и социальной аудиторией Татарстана: «Карта жителя Республики Татарстан» охватывает 450 тыс. держателей, в том числе 115 тыс. школьников [28, с. 29]. Цифровая зрелость подтверждается 12 млн транзакций в «Ак Барс Онлайн» за год при сохранении активной аудитории около 930 тыс. человек после удаления приложения из AppStore в начале 2024 года и уже встроенным в приложение функционалом оплаты по биометрии [28, с. 33]. Запущен биоэквайринг через СБП в Казанском метрополитене — совместный проект с Минцифры России, Минтрансом России, Центром биометрических технологий и НСПК [28, с. 30–31]. Кредитные и ESG-рейтинги банка — уровня «A»/«BBB» по национальной шкале всех трёх профильных агентств (АКРА, «Эксперт РА», НКР) и Банка России [28, с. 4]: для B2B-заказчика Face2 это сигнал, что за продуктом стоит финансово устойчивый и аккредитованный банк, а не технологический стартап.</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Команда Face2 много лет экспериментировала с разными методами обработки изображений и сосредоточилась на компьютерном зрении; точкой старта стал тестовый биометрический проект 2019 года в офисах самого банка [27]. Хронология развития проекта собрана в таблице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Хронология развития проекта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33"/>
        <w:gridCol w:w="8504"/>
      </w:tblGrid>
      <w:tr>
        <w:trPr>
          <w:tblHeader/>
          <w:cantSplit/>
        </w:trPr>
        <w:tc>
          <w:tcPr>
            <w:tcW w:w="113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Год</w:t>
            </w:r>
          </w:p>
        </w:tc>
        <w:tc>
          <w:tcPr>
            <w:tcW w:w="850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Ключевое событие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2019</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Тестовый биометрический проект в офисах Ак Барс Банка</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2022</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бренда Face2; запуск сервисов доступа на территорию без карточек и выдачи книг в библиотеках без документов</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коммерческой биометрической системы (КБС) и аккредитация Минцифры России (Решение № 4-А от 15.11.2023)</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оплаты по лицу, в том числе в Казанском метрополитене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сервисов подтверждения возраста и регистрации в гостинице без паспорта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Face2 определяет 572-ФЗ от 29 декабря 2022 года: сбор биометрии лица отдан только аккредитованным организациям, векторы хранятся в ГИС ЕБС, аутентификация — только при согласии гражданина [27]. Решение Минцифры России № 4-А от 15 ноября 2023 года вписало банк в число первых в стране операторов КБС [27]. Этот статус — главная разделительная линия между Face2 и локальными биометрическими системами на рынке: локальные решения нарушают 572-ФЗ, не сертифицированы ФСБ России и не обеспечивают защиты биометрических данных [27]. Подробный разбор нормативной базы и ужесточения ответственности по 420-ФЗ и 421-ФЗ от 30.11.2024 вынесен в подраздел 2.2 «Регуляторный и инфраструктурный контур рынка» и здесь не повторяется.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Технологическое ядро Face2 строится на компьютерном зрении и подчинено требованиям 572-ФЗ. Система Face2Pass прошла сертификацию ФСБ и ФСТЭК и попала в реестр отечественного программного обеспечения [27]. Заявленная точность распознавания — 99,5%, среднее время сканирования при благоприятных условиях — около двух секунд [27]. Архитектура работы с данными показана на рисунке 2.1.1.</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упрощённая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Клиент  │ ───биометрия───▶│  ГИС ЕБС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(Минцифры РФ)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согласие                       │ вектор</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на КБС АББ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КБС Ак Барс Банк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(Face2)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Face2Pay                     Face2Pass                Face2Check-in</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(оплата по лицу)            (контроль доступа)        (подтверждение возраста)</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2.1.1. Архитектура взаимодействия Face2 с ГИС ЕБС в контуре коммерческой биометрической системы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Схема снимает один из ключевых барьеров доверия к биометрии: клиент сдаёт упрощённую биометрию через приложение «Госуслуги Биометрия», вектор хранится в государственной системе, а банк получает обезличенный вектор только по явному согласию пользователя [27]. Криптозащита и сертификация ФСБ закрывают риски утечки и подделки.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Пользовательский путь подключения к Face2 укладывается в четыре шага: установка приложения «Госуслуги Биометрия», сдача упрощённой биометрии через приложение, согласие на использование биометрического вектора КБС Ак Барс Банка, проход в офис или оплата по лицу [27]. Каждый шаг — за пределами контура самого заказчика, что снимает с клиентского бизнеса нагрузку по сбору и хранению чувствительных данных. Со стороны заказчика для запуска требуется только турникет, совместимый с биотерминалами, стабильное интернет-соединение со скоростью не менее 10 Мбит/с и непрерывностью работы канала не менее 95%, а также доступ к базовой СКУД-системе [27]. Низкий порог входа по инфраструктуре — один из ключевых аргументов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Face2 собирается вокруг базовой системы КБС, а продажи распадаются на два экономически разных уровня. Уровень 1 — поставка полного программного контура КБС аккредитованной организации-оператору биометрии (банку-партнёру или госструктуре с правом регистрировать векторы в ЕБС) [47; 48]. Уровень 2 — подключение конечного объекта (магазина, турникета, бизнес-центра, спортивной арены, точки продажи алкоголя) к КБС, размещённой у Ак Барс Банка, по транзакционной или абонементной модели без аккредитации заказчика [27; 48]. Состав продуктов и целевые сегменты с разнесением по этим уровням показаны в таблице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продуктов Face2 в разрезе двух уровней продажи и экономики</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1"/>
        <w:gridCol w:w="1994"/>
        <w:gridCol w:w="1994"/>
        <w:gridCol w:w="1994"/>
        <w:gridCol w:w="1994"/>
      </w:tblGrid>
      <w:tr>
        <w:trPr>
          <w:tblHeader/>
          <w:cantSplit/>
        </w:trPr>
        <w:tc>
          <w:tcPr>
            <w:tcW w:w="16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Уровень продажи</w:t>
            </w:r>
          </w:p>
        </w:tc>
        <w:tc>
          <w:tcPr>
            <w:tcW w:w="19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Продукт</w:t>
            </w:r>
          </w:p>
        </w:tc>
        <w:tc>
          <w:tcPr>
            <w:tcW w:w="19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Решаемая задача</w:t>
            </w:r>
          </w:p>
        </w:tc>
        <w:tc>
          <w:tcPr>
            <w:tcW w:w="19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Целевые сегменты</w:t>
            </w:r>
          </w:p>
        </w:tc>
        <w:tc>
          <w:tcPr>
            <w:tcW w:w="19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Экономическая модель</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КБС под ключ для оператора биометрии</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контур Face2 (КБС API, Face2Pay, пассивный liveness, Face2SDK) с интеграциями ЕСИА, ЕБС, СМЭВ, КриптоПро DSS</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Передача аккредитованной организации программного контура КБС для самостоятельной работы оператором биометрии</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и МФО со статусом оператора по № 115-ФЗ; госструктуры федерального и регионального уровня; крупные корпорации с профильной аккредитацией</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Единичные крупные сделки длительного цикла: лицензия + развёртывание + SLA. Выручка — десятки–сотни млн руб. за сделку</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Подключение конечного объекта к КБС АББ</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(биоэквайринг)</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по лицу через КБС АББ без биометрической инфраструктуры в контуре заказчика</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транспорт, вендинг, маркетплейсы, киоски</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модель, короткий цикл подключения; выручка — десятки–сотни тыс. руб./мес. с объекта</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Подключение конечного объекта к КБС АББ</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Face2Pass.Terminal</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распознавании лиц через ЕБС без аккредитации заказчика</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Заводы, БЦ, вузы, площадки мероприятий, логистика</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Лицензия на объект + поставка биотерминалов + абонементная плата</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Подключение конечного объекта к КБС АББ</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возраста и личности по вектору из ЕБС</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Аэропорты, спортивные объекты, гостиницы, точки продажи алкоголя и рецептурных лекарств</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или абонементная модель; единица продажи — точка продаж / зона контроля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47, разд. «Требования к окружению», «Системные требования», «Варианты развертывания»; 48, разд. «Описание функциональных возможностей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Разделение на два уровня показывает, что один и тот же программный фундамент Face2 продаётся в двух экономически разных моделях. Первый уровень даёт банку единичные крупные сделки длительного цикла с аккредитованными контрагентами, второй — массу типовых подключений конечных объектов с быстрой выручкой по транзакционной или абонементной схеме. Это требует разной маркетинговой логики: длинной экспертной коммуникации с аккредитованной организацией на первом уровне и короткой продуктовой коммуникации с конечным объектом на втором.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Внешние партнёрства и пилотные внедрения 2024 года показывают, что Face2 уже вышел за пределы внутреннего контура группы. Биоэквайринг в Казанском метрополитене реализован совместно с Минцифры России, Минтрансом России, Центром биометрических технологий и НСПК [28, с. 30–31]. Проект «Электронный читательский билет» позволяет посещать Национальную библиотеку Республики Татарстан по биометрии, причём сдать её можно прямо в мобильном приложении «Карта жителя Республики Татарстан» [28, с. 29]. Совокупность партнёров федерального уровня и социальных сценариев в Татарстане формирует первую референтную базу для масштабирования продукта на другие регионы. Опорной площадкой для отладки остаётся сам банк: сеть из 166 офисов, около пяти тысяч сотрудников и порядка двухсот биотерминалов работают как постоянная внутренняя инсталляция Face2, через которую ведётся учёт рабочего времени; масштаб клиентских внедрений колеблется от 200 до 15 000 биометрических векторов на одну инсталляцию [26, с. 7;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Получившаяся характеристика складывается из двух уровней. На верхнем — крупный региональный банк с рейтингами «A», утверждённой стратегией «эффективность — клиентоцентричность — гибкость», клиентской базой почти в миллион физических лиц и развитой цифровой инфраструктурой. На нижнем — собственный биометрический продукт с государственной аккредитацией, сертификацией ФСБ, отлаженной внутренней инсталляцией, понятной двухуровневой продуктовой линейкой и первой коммерческой референтной базой в проектах с Минцифры, Минтрансом и НСПК. Дальше нужно понять, в каком конкурентном окружении Face2 выходит на рынок и какие ограничения сдерживают спрос на коммерческую биометрию.</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2.2. АНАЛИЗ РЫНКА БИОМЕТРИИ И КОНКУРЕНТНОЙ СРЕДЫ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2.1 описал Face2 как объект продвижения и Ак Барс Банк как разработчика. Чтобы стратегия продвижения опиралась не только на внутренние характеристики продукта, но и на внешний контекст, в этом параграфе решаются четыре связанные задачи. Сначала фиксируется масштаб и фаза российского рынка биометрии — без этого невозможно оценить, насколько ёмкое окружение, в которое выходит Face2. Затем разбирается сегментная структура рынка и регуляторно-инфраструктурный контур, формирующий правила игры для всех участников. На полученной фактической базе строится сводный PESTEL-анализ макросреды, переводящий разрозненные внешние факторы в управленческий вход для стратегии продвижения. На этой основе строится карта конкурентов, дополняется анализом пяти конкурентных сил М. Портера и переводится в сравнительный анализ Face2 с ключевыми игроками — банками-разработчиками биометрических сервисов и технологическими вендорами. Финальная часть формулирует конкурентную позицию Face2 и пробелы, на которые опирается план продвижения в главе 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Объём и динамика российского рынка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Российская инфраструктура биометрической идентификации прошла путь от запуска Единой биометрической системы Банком России и «Ростелекомом» в первом квартале 2018 года и коммерческого старта удалённой идентификации с 30 июня 2018 года [34] через перевод ЕБС в статус государственной информационной системы в конце 2021 года под управлением АО «Центр биометрических технологий» [38; 42] до вступления в силу 572-ФЗ с 1 января 2023 года, закрепившего обязательное хранение биометрических данных в ГИС ЕБС и аутентификацию только аккредитованными организациями при письменном согласии гражданина [33]. Эта последовательность нормативных и инфраструктурных шагов превратила биометрию из набора пилотных проектов в регулируемую государством рыночную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Современный российский рынок биометрических платежей перешёл в фазу массового коммерческого использования в 2024–2025 годах. По данным Банка России, за первые девять месяцев 2025 года в России совершено 145,9 млн биометрических платежей, что в девять раз больше, чем за аналогичный период 2024 года, а денежный оборот этих платежей вырос почти в пять раз и достиг 112,5 млрд рублей [38]. К началу 2026 года в Единой биометрической системе зарегистрировались более 10 млн пользователей [38]. Эти цифры разворачивают картину рынка, на которую выходит Face2: ёмкое окружение, девятикратный годовой рост числа транзакций, сформированная инфраструктура и аккредитованный круг операторов, в который банк успел войти одним из первых.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Поквартальная статистика Банка России (таблица 2.2.1) разворачивает динамику детальнее. Ключевой вывод сопоставления биоэквайринга с QR-эквайрингом за II квартал 2025 года: биоэквайринг растёт по темпам быстрее (+50% к I кв. 2025 года против +25% у QR), но в 16 раз отстаёт по абсолютному масштабу количества операций (60 млн против 990 млн) [43]. Оба канала встраиваются в общий тренд бесконтактной розницы и делят между собой нишу «оплата без карты», не вытесняя друг друга.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Динамика российского рынка биометрических платежей по данным Банка России и оператора ЕБС</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19"/>
        <w:gridCol w:w="777"/>
        <w:gridCol w:w="777"/>
        <w:gridCol w:w="1709"/>
        <w:gridCol w:w="2953"/>
      </w:tblGrid>
      <w:tr>
        <w:trPr>
          <w:tblHeader/>
          <w:cantSplit/>
        </w:trPr>
        <w:tc>
          <w:tcPr>
            <w:tcW w:w="34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Показатель</w:t>
            </w:r>
          </w:p>
        </w:tc>
        <w:tc>
          <w:tcPr>
            <w:tcW w:w="77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II кв. 2024</w:t>
            </w:r>
          </w:p>
        </w:tc>
        <w:tc>
          <w:tcPr>
            <w:tcW w:w="77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I кв. 2025</w:t>
            </w:r>
          </w:p>
        </w:tc>
        <w:tc>
          <w:tcPr>
            <w:tcW w:w="17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II кв. 2025</w:t>
            </w:r>
          </w:p>
        </w:tc>
        <w:tc>
          <w:tcPr>
            <w:tcW w:w="29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Темп прироста II кв. 2025 / II кв. 2024</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биометрических платежей,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5,5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40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11 раз</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биометрическим платежам, млрд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30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чек,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774</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стабильно</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QR-операций,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790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QR-операциям, трлн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1,12</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1,3</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Зарегистрированных пользователей в ЕБС,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менее 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10 (на нач. 2026)</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[34; 38; 43]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Соотношение цифр в таблице 2.2.1 показывает, что рост рынка идёт прежде всего по числу транзакций при стабильном среднем чеке около 770 рублей: биометрия закрепляется в сценариях массовых небольших платежей, а не премиальных операций. Это смещает оптимальную стратегию продвижения биометрических продуктов с премиум-позиционирования на массовое использование в высокочастотных сценариях: транспорт, ритейл повседневного спроса, оплата услуг.</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 рынка биометрических платежей в Российской Федерации — ПАО Сбербанк со своим сервисом «Оплата улыбкой»: на август 2024 года — 2 млн биометрических транзакций в месяц, более 700 тыс. установленных терминалов и 30 млн зарегистрированных в собственной биометрической системе банка клиентов [32]. Этот масштаб задаёт верхнюю планку рынка и ориентир для всех остальных игроков.</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Сегментная структура рынка биометрии в России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началу 2026 года биометрические сервисы покрывают шесть устойчивых сегментов российского рынка: государственная идентификация через ЕБС/ЕСИА, финансовый сектор (биоэквайринг и онлайн-обслуживание), транспорт, СКУД режимных объектов, ритейл с возрастной верификацией и гостиничный сегмент [34; 38]. Каждый сегмент закреплён за своим типом заказчика и имеет собственный драйвер спроса; их характеристики собраны в таблице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Сегменты применения биометрии на российском рынке и их характеристики</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94"/>
        <w:gridCol w:w="2753"/>
        <w:gridCol w:w="1835"/>
        <w:gridCol w:w="2753"/>
      </w:tblGrid>
      <w:tr>
        <w:trPr>
          <w:tblHeader/>
          <w:cantSplit/>
        </w:trPr>
        <w:tc>
          <w:tcPr>
            <w:tcW w:w="22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Сегмент</w:t>
            </w:r>
          </w:p>
        </w:tc>
        <w:tc>
          <w:tcPr>
            <w:tcW w:w="27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Типовой сценарий</w:t>
            </w:r>
          </w:p>
        </w:tc>
        <w:tc>
          <w:tcPr>
            <w:tcW w:w="183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Тип заказчика</w:t>
            </w:r>
          </w:p>
        </w:tc>
        <w:tc>
          <w:tcPr>
            <w:tcW w:w="27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Драйвер спроса</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Государственная идентификация</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личности при дистанционных услугах через ЕСИА и ЕБС</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Граждане, госорганизации</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Перевод госуслуг в цифру, ЕСИА как точка доступа</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 (эквайринг и онлайн-обслуживание)</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удалённое открытие счёта, подтверждение операций</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ритейл, маркетплейсы</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Сокращение времени операции, антифрод, экономия на комиссии</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Биометрический проход и оплата проезда; бизнес-залы аэропортов</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авиакомпании, аэропорты</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Массовый высокочастотный сценарий, привычка пассажира</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доступа (СКУД)</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Биометрический проход сотрудников, учёт рабочего времени</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госучреждения, вузы</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исключение передачи карт, точный учёт времени</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общественные пространства</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Возрастная верификация (алкоголь, рецептурные лекарства); биометрическая лояльность</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Сетевой ритейл, аптеки, общепит</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требования возрастной верификации, разгрузка кассира</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доступ в номер по лицу</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 апарт-отели, БЦ</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Сокращение времени заселения, новый клиентский опыт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30–31; 34; 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драйверов в таблице 2.2.2 показывает, что один и тот же биометрический продукт продвигается в разных сегментах через разные ключевые сообщения: транзакционная скорость в финансовом и транспортном секторах, безопасность и точность учёта в СКУД, регуляторные требования в ритейле и гостиничном секторе. Для Face2 это уже учтено в продуктовой линейке (Face2Pay для эквайринга, Face2Pass для СКУД, Face2Check-in для гостиничного сегмента и подтверждения возраста, КБС под ключ для крупных заказчиков из государственного и корпоративного сегмента) [27]: каждый продукт линейки соответствует устойчивому рыночному сегменту со сформированным спросом.</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Регуляторный и инфраструктурный контур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Рынок биометрической идентификации в Российской Федерации работает в одном из самых жёстких регуляторных контуров среди мировых юрисдикций. Эту оценку прямо фиксирует генеральный директор VisionLabs Дмитрий Марков в публичных комментариях деловой прессе: «В России действует одно из самых жёстких законодательств в этой сфере»; в отличие от других стран, в России каждый сервис должен получать индивидуальное согласие гражданина на использование его биометрических данных [38]. Базой регулирования служит Федеральный закон от 29 декабря 2022 года № 572-ФЗ, относящий биометрические данные к специальной категории персональных данных, обязывающий хранить их в ГИС ЕБС и разрешающий аутентификацию по биометрии только аккредитованным организациям при наличии письменного согласия гражданина [33]. Архитектура работы пользователя с ЕБС строится на связке ЕСИА и ЕБС: первичная регистрация с явкой в уполномоченный банк, последующее использование биометрии через сайты или мобильные приложения банков и иных подключённых организаций [34]. Важная особенность — добровольность и бесплатность регистрации для гражданина, что одновременно открывает доступ к рынку широкого круга пользователей и ограничивает инструменты массового стимулирования сдачи биометрии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ужесточился в конце 2024 года. Федеральные законы от 30 ноября 2024 года № 420-ФЗ и № 421-ФЗ ввели крупные административные штрафы и уголовную ответственность за неправомерное обращение с биометрическими персональными данными: лишение свободы до пяти лет, административные штрафы до 20 млн рублей и до 1–3% годового дохода компании при повторных нарушениях [27]. Этот сдвиг превратил аккредитацию КБС и сертификацию ФСБ из формального статуса в жёсткий барьер входа на рынок: организация без аккредитации и сертификации не может легально работать с биометрией, а у уже аккредитованных игроков риски от потери аккредитации становятся сопоставимы с риском потери лицензии. Барьер работает в обе стороны: он защищает аккредитованных операторов от выхода на рынок неаккредитованных конкурентов и одновременно увеличивает их собственные операционные требования.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Под уровень федерального закона подведён слой подзаконных актов Банка России: поставщик КБС обязан одновременно соответствовать Указанию от 25 сентября 2023 года № 6541-У и Методическим рекомендациям № 18-МР от 20 декабря 2023 года и № 19-МР от 23 декабря 2023 года [44; 45; 46], а технические условия развёртывания (регистрация поставщика в ЕСИА, подключение к ЕБС через канал «ТИБ ЕБС», регистрация в СМЭВ, выпуск и хранение сертификата ЦП) заданы в руководстве по развёртыванию Face2 [47]. В сумме 572-ФЗ, законы об ужесточении ответственности от 30.11.2024 и подзаконный блок Банка России образуют пятиуровневую регуляторную конструкцию: федеральный закон, подзаконные акты ЦБ, сертификации ФСБ и ФСТЭК, реестр отечественного ПО, отраслевая аккредитация Минцифры. Каждый уровень повышает капиталоёмкость входа на рынок и удлиняет горизонт подготовки нового игрока.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Круг банков-операторов рынка биометрической идентификации количественно ограничен. По данным Банка России на 4 мая 2026 года, в перечень банков, соответствующих требованиям п. 5.7 ст. 7 Федерального закона № 115-ФЗ — то есть банков, имеющих право проводить идентификацию клиента в государственных информационных системах, включая ЕБС, — входят 194 кредитные организации; ПАО «АК БАРС» БАНК в этом перечне числится под номером 101 [36]. Это значит, что менее 194 банков на всю страну могут работать с биометрической инфраструктурой как операторы, и Ак Барс Банк входит в эту группу.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Историческая глубина участия банка в биометрической инфраструктуре отдельно повышает его регуляторный капитал. Подключение Ак Барс Банка к Единой биометрической системе было реализовано в декабре 2017 — мае 2018 года и официально объявлено 10 июля 2018 года; первое отделение приёма биометрии открылось в Казани на ул. Декабристов, 1, и банк стал первым в Приволжском федеральном округе, начавшим собирать биометрические данные для ЕБС [40]. Между подключением к инфраструктуре в 2018 году и публичным запуском продуктовой линейки Face2 в 2024 году прошло шесть лет — этот период использовался банком для отладки внутренних процессов работы с биометрией, накопления клиентской базы зарегистрированных в ЕБС пользователей и подготовки собственной коммерческой биометрической системы (КБС). Аккредитация Минцифры России решением № 4-А от 15 ноября 2023 года поставила банк в число первых аккредитованных операторов КБС в стране [27]. Совокупность этих институциональных позиций — статус банка-оператора по № 115-ФЗ, аккредитация КБС, сертификация ФСБ и ФСТЭК, нахождение в реестре отечественного ПО — образует регуляторный фундамент, на который опирается весь дальнейший анализ конкурентной среды.</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PESTEL-анализ российского рынка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Предыдущие три подраздела зафиксировали разные проекции внешней среды: масштаб и динамику рынка, сегментную структуру и регуляторно-инфраструктурный контур. Чтобы перевести эти проекции в управленческий вход для стратегии продвижения, разрозненные факторы целесообразно собрать в единую рамку макроанализа. Методологически выбор PESTEL обусловлен тем, что продукт Face2 одновременно находится на пересечении шести крупных полей — государственного курса на цифровой суверенитет, банковской экономики высокочастотных микроплатежей, поколенческих сдвигов в потребительском поведении, быстро развивающихся алгоритмов компьютерного зрения, ESG-повестки крупного банка и особого режима оборота биометрических персональных данных. Эти шесть полей чисто соотносятся с шестью измерениями PESTEL и позволяют построить однородную карту факторов, влияющих на коммерциализацию Face2. Сводный анализ собран в таблице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PESTEL-анализ российского рынка биометрии (на начало 2026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27"/>
        <w:gridCol w:w="3755"/>
        <w:gridCol w:w="3755"/>
      </w:tblGrid>
      <w:tr>
        <w:trPr>
          <w:tblHeader/>
          <w:cantSplit/>
        </w:trPr>
        <w:tc>
          <w:tcPr>
            <w:tcW w:w="212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Фактор</w:t>
            </w:r>
          </w:p>
        </w:tc>
        <w:tc>
          <w:tcPr>
            <w:tcW w:w="37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 фактора</w:t>
            </w:r>
          </w:p>
        </w:tc>
        <w:tc>
          <w:tcPr>
            <w:tcW w:w="37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Влияние на продвижение Face2</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P — политические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Курс на технологический суверенитет и импортозамещение; ЕБС как ГИС под управлением АО «ЦБТ»; Минцифры — регулятор аккредитации операторов КБС; вытеснение иностранных вендоров после 2022 г.; реестр отечественного ПО как условие участия в госзакупках [27; 33; 34; 42].</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Аккредитация Минцифры (Решение № 4-А от 15.11.2023) и реестр отечественного ПО открывают B2G-сегмент, закрытый для иностранных вендоров [27].</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E — экономические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Девятикратный рост числа биометрических платежей за 9 мес. 2025 г. (145,9 млн транзакций, оборот 112,5 млрд руб.); средний чек ≈ 770 руб. — массовый розничный сценарий; пониженная эквайринговая комиссия; финансовый сектор — 15% мирового рынка биометрии при CAGR 18,6% [35, с. 3, 6; 38; 43].</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динамике. Биоэквайринг экономически выгоден торговой рознице за счёт пониженной комиссии; крупные B2B/B2G-заказчики ориентируются на регуляторный статус, а не на цену.</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S — социальные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Свыше 10 млн пользователей ЕБС к началу 2026 г.; привычка оплачивать проезд и покупки лицом в Московском и Казанском метро; устойчивые барьеры доверия — страх утечки, невозможность отозвать образец; поколенческая поляризация принятия [4, с. 41; 9, с. 112; 38; 42].</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Привычка к оплате лицом в массовых сценариях работает в пользу Face2Pay; барьеры доверия требуют большой доли бюджета на образовательный контент и демонстрацию защиты данных.</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T — технологические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Зрелость алгоритмов: точность 99,5%, сканирование ≈ 2 с; антиспуфинг и детекция дипфейков; объединение биометрии с QR и СБП; рост требований к обработке векторов в реальном времени [27; 32; 37; 43].</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уровню зрелости. Критическая зона для Face2 — отсутствие публичной независимой верификации точности (NIST FRTE) и отдельного решения по дипфейкам.</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E — экологические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оборота пластиковых карт в массовой рознице за счёт перехода на биометрию и QR; безбумажная удалённая идентификация; энергоёмкость дата-центров; ESG-повестка как требование к корпоративному поставщику [28, с. 17, 33; 38].</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положительное. ESG-статус АББ снимает часть барьеров входа в B2G-закупки; самостоятельного маркетингового плеча у фактора нет — работает фоном.</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L — правовые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 биометрия как спецкатегория ПДн, хранение в ГИС ЕБС; 420-ФЗ и 421-ФЗ от 30.11.2024 — штрафы до 20 млн руб. и 1–3% годового дохода, уголовная ответственность до 5 лет; обязательное письменное согласие на каждое использование; статус оператора по № 115-ФЗ — 194 банка; аккредитация Минцифры; сертификация ФСБ и ФСТЭК [27; 33; 34; 36].</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Положительное — жёсткая рамка превращает аккредитацию КБС, статус по № 115-ФЗ и сертификации в защитный «ров» для Face2. Отрицательное — обязательное согласие на каждое использование исключает массовые B2C-стимулы (кешбэки, промокоды) и переводит продвижение в формат экспертного контента.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[4, с. 41; 9, с. 112; 27; 28, с. 17, 33; 32; 33; 34; 35, с. 3, 6; 36; 37; 38; 42; 43]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шести факторов выводит три устойчивых наблюдения. Первое — три фактора из шести (P, T, L) работают для Face2 преимущественно в плюс: государственный курс на технологический суверенитет в комплекте с жёсткой регуляторной рамкой создаёт защищённый рынок аккредитованных операторов, в который Face2 уже встроен по статусу банка и аккредитации Минцифры, а зрелость алгоритмов распознавания лица обеспечивает технологическую состоятельность продукта. Второе — экономический и социальный факторы (E, S) двойственны: динамика рынка положительна, но ценовое преимущество биоэквайринга играет вторичную роль в целевом для Face2 сегменте B2B/B2G, а массовая привычка к оплате лицом сосуществует с устойчивым психологическим барьером недоверия, требующим переноса акцента в коммуникации с информирования на демонстрацию мер защиты данных. Третье — правовой фактор (L) одновременно открывает рынок и закрывает каналы стимулирования: жёсткая рамка устраняет конкурентов без аккредитации, но запрещает массовые акции по сдаче биометрии и переводит продвижение в формат экспертного контента, пилотных проектов и B2B-референсов; экологический фактор (E) самостоятельного маркетингового плеча не даёт и работает фоном через ESG-статус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этих наблюдений складывается макрорамка для последующего конкурентного анализа. Регуляторно-политический фактор работает как фильтр входа на рынок и оставляет в качестве реальных конкурентов Face2 ограниченный круг аккредитованных операторов и банков-операторов биометрии; экономический и технологический факторы задают планку масштаба и качества; социальный и правовой факторы определяют допустимые и недопустимые инструменты продвижения. Именно эта макрорамка формирует трёхслойную структуру конкурентной среды, разбираемую в следующем подразделе.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Конкурентная среда: трёхслойная структура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Российский рынок биометрических технологий организован в три различающихся по типу деятельности слоя. Каждый слой отвечает на свой тип спроса, использует свою бизнес-модель и предъявляет свой набор формальных аккредитаций. Структура конкурентной среды показана на рисунке 2.2.1.</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Российский рынок биометрии (B2B/B2C)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Слой 1.         │  │ Слой 2.         │         │ Слой 3.            │   │ Государственная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Банки-          │  │ Технологические │         │ Производители      │   │ инфраструктура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разработчики    │  │ вендоры         │         │ полного цикла СКУД │   │ (АО «ЦБТ»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собственных     │  │ алгоритмов      │         │ (ПО + оборудование │   │ оператор ЕБС)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биосервисов     │  │ и платформ      │         │ + сервис)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ПАО Сбербанк         VisionLabs                    OVISION                      ЕБС / ЕСИА</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ПАО «АК БАРС»        NtechLab                      BioSmart                     (574-ФЗ, 572-ФЗ)</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БАНК (Face2)         Tevian                        и др.</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32; 37; 38; 39;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2.2.1. Структура конкурентной среды на российском рынке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Первый слой — банки-разработчики собственных биометрических сервисов, для которых биометрия одновременно работает внутренним средством обслуживания клиентов и самостоятельным коммерческим продуктом. Главный представитель слоя — ПАО Сбербанк с сервисом «Оплата улыбкой» (СберPay Smile), второй — ПАО «АК БАРС» БАНК с линейкой Face2. Второй слой — технологические вендоры, разрабатывающие алгоритмы и платформы распознавания и продающие их корпоративным и государственным заказчикам. Лидер слоя — VisionLabs, входящий с декабря 2021 года в структуру ПАО МТС, второй крупный игрок — NtechLab, разработчик системы FindFace [37; 38]. Третий слой — производители полного цикла СКУД, объединяющие в одном предложении программное обеспечение, собственное оборудование (терминалы, считыватели), интеграцию и сервисное сопровождение. Представители — OVISION (Ханты-Мансийск) и BioSmart (Прософт-Биометрикс) [39]. Над этими тремя слоями работает государственная инфраструктура — оператор ЕБС АО «Центр биометрических технологий», обеспечивающий централизованное хранение биометрических векторов и подтверждение личности при оказании услуг [34; 38]. Сводные характеристики основных игроков рынка собраны в таблице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игроки российского рынка биометрии и их позиционирование</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52"/>
        <w:gridCol w:w="1295"/>
        <w:gridCol w:w="2429"/>
        <w:gridCol w:w="2429"/>
        <w:gridCol w:w="2429"/>
      </w:tblGrid>
      <w:tr>
        <w:trPr>
          <w:tblHeader/>
          <w:cantSplit/>
        </w:trPr>
        <w:tc>
          <w:tcPr>
            <w:tcW w:w="10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Игрок</w:t>
            </w:r>
          </w:p>
        </w:tc>
        <w:tc>
          <w:tcPr>
            <w:tcW w:w="129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Тип</w:t>
            </w:r>
          </w:p>
        </w:tc>
        <w:tc>
          <w:tcPr>
            <w:tcW w:w="242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Целевые сегменты</w:t>
            </w:r>
          </w:p>
        </w:tc>
        <w:tc>
          <w:tcPr>
            <w:tcW w:w="242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Ключевая дифференциация</w:t>
            </w:r>
          </w:p>
        </w:tc>
        <w:tc>
          <w:tcPr>
            <w:tcW w:w="242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Масштаб</w:t>
            </w:r>
          </w:p>
        </w:tc>
      </w:tr>
      <w:tr>
        <w:trPr>
          <w:cantSplit/>
        </w:trPr>
        <w:tc>
          <w:tcPr>
            <w:tcW w:w="1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ПАО Сбербанк</w:t>
            </w:r>
          </w:p>
        </w:tc>
        <w:tc>
          <w:tcPr>
            <w:tcW w:w="12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B2C-эквайринг, B2B (ритейл)</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Самая широкая инфраструктура биоэквайринга; собственная биометрическая база</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700+ тыс. терминалов, 30 млн зарегистрированных, 116 млрд руб. оборота за 2025 г. [32]</w:t>
            </w:r>
          </w:p>
        </w:tc>
      </w:tr>
      <w:tr>
        <w:trPr>
          <w:cantSplit/>
        </w:trPr>
        <w:tc>
          <w:tcPr>
            <w:tcW w:w="1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ПАО «АК БАРС» БАНК (Face2)</w:t>
            </w:r>
          </w:p>
        </w:tc>
        <w:tc>
          <w:tcPr>
            <w:tcW w:w="12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 (КБС, Face2Pass), B2C (Face2Pay, Face2Check-in)</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(одна из первых); вертикаль под банковский сценарий</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 биотерминалов в собственной сети; пилоты в Казанском метро, библиотеках, гостиницах [27; 28, с. 30–31]</w:t>
            </w:r>
          </w:p>
        </w:tc>
      </w:tr>
      <w:tr>
        <w:trPr>
          <w:cantSplit/>
        </w:trPr>
        <w:tc>
          <w:tcPr>
            <w:tcW w:w="1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12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B2B/B2G (финансы, телеком, транспорт, промышленность, ритейл)</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Лидерство в NIST FRTE; партнёрства с ЦБТ, ЦРТ, ITV; присутствие в 38 странах</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1,7 млн камер с ПО, 500+ проектов, 9 представительств [37]</w:t>
            </w:r>
          </w:p>
        </w:tc>
      </w:tr>
      <w:tr>
        <w:trPr>
          <w:cantSplit/>
        </w:trPr>
        <w:tc>
          <w:tcPr>
            <w:tcW w:w="1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NtechLab</w:t>
            </w:r>
          </w:p>
        </w:tc>
        <w:tc>
          <w:tcPr>
            <w:tcW w:w="12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B2G (безопасный город), транспорт, авиация, ритейл</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FindFace; международный экспорт; присутствие в 24 регионах РФ через партнёров</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Внедрения в РФ и за рубежом [38]</w:t>
            </w:r>
          </w:p>
        </w:tc>
      </w:tr>
      <w:tr>
        <w:trPr>
          <w:cantSplit/>
        </w:trPr>
        <w:tc>
          <w:tcPr>
            <w:tcW w:w="1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12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Производитель полного цикла СКУД</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B2B/B2G (СКУД, КБС, учёт времени)</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Собственное производство терминалов OGATE; полный пакет статусов (Минцифры, Минпромторг, реестр ПО, СКЗИ)</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Внедрения в РЖД, Мосэнергосбыте, Правительстве Тульской области [39]</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30–31; 32; 37; 38;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характеристика в таблице 2.2.4 показывает три ключевых наблюдения. Первое: Face2 не конкурирует на одном поле сразу со всеми игроками — у каждого из них своя сильная сторона и свой типовой клиент. Второе: Сбер занимает доминирующую позицию в массовом B2C-биоэквайринге, и прямая лобовая конкуренция с ним по критерию масштаба нерациональна. Третье: на рынке параллельно работают два разных типа поставщиков биометрии для B2B-клиента — банк-разработчик с банковской экосистемой (Face2) и производитель полного цикла с собственным железом (OVISION); они закрывают разные потребности заказчика и могут как конкурировать, так и сотрудничать.</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Анализ пяти конкурентных сил Портера на российском рынке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Трёхслойная карта конкурентов фиксирует, кто работает на рынке и в каких слоях. Чтобы оценить, насколько привлекателен этот рынок для Face2 и какие силы определяют интенсивность конкуренции внутри него, целесообразно дополнить структурную карту рамкой пяти конкурентных сил М. Портера. Согласно его методике, средний уровень прибыльности отрасли и устойчивость позиции отдельной фирмы определяются балансом пяти структурных факторов: угрозы со стороны новых участников, рыночной силы поставщиков, рыночной силы покупателей, угрозы товаров-заменителей и интенсивности соперничества между действующими конкурентами [1, с. 39]. Применительно к российскому рынку биометрии такая рамка позволяет перевести разрозненные наблюдения о регуляторе, инфраструктуре, технологических вендорах и крупных заказчиках в единую структурную модель и подготовить базу для последующего сравнительного анализа Face2 и ключевых конкурентов. Сводная оценка с детализацией факторов и влияния на Face2 приведена в таблице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Анализ пяти конкурентных сил М. Портера на российском рынке биометрии применительно к продукту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69"/>
        <w:gridCol w:w="1450"/>
        <w:gridCol w:w="3109"/>
        <w:gridCol w:w="3109"/>
      </w:tblGrid>
      <w:tr>
        <w:trPr>
          <w:tblHeader/>
          <w:cantSplit/>
        </w:trPr>
        <w:tc>
          <w:tcPr>
            <w:tcW w:w="196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Сила</w:t>
            </w:r>
          </w:p>
        </w:tc>
        <w:tc>
          <w:tcPr>
            <w:tcW w:w="145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Уровень</w:t>
            </w:r>
          </w:p>
        </w:tc>
        <w:tc>
          <w:tcPr>
            <w:tcW w:w="31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Ключевые факторы</w:t>
            </w:r>
          </w:p>
        </w:tc>
        <w:tc>
          <w:tcPr>
            <w:tcW w:w="31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Влияние на Face2</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Угроза новых участников</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барьеры: 572-ФЗ, аккредитация Минцифры по правилам КБС, статус оператора по № 115-ФЗ, сертификация ФСБ и ФСТЭК, реестр отечественного ПО, подзаконный блок Банка России (Указание № 6541-У; МР № 18-МР, № 19-МР) [27; 33; 36; 44; 45; 46]. Ужесточение по 420-ФЗ и 421-ФЗ от 30.11.2024 (штрафы до 1–3% дохода, уголовная ответственность) [27]. Высокая капиталоёмкость алгоритмической базы и многолетняя наработка референсной базы.</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Защищает позицию Face2: набор статусов (аккредитация № 4-А от 15.11.2023, № 101 в перечне по № 115-ФЗ, ФСБ и ФСТЭК) недоступен новым игрокам без многолетней подготовки [27; 36].</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Рыночная сила поставщиков</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Производители биотерминалов; внешние алгоритмические вендоры; АО «ЦБТ» — монополист хранения векторов в ГИС ЕБС [34; 42]. Тарифы и регламент работы с ЕБС задаются 572-ФЗ [33].</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Смешанная: собственные алгоритмы (99,5%) снимают зависимость от VisionLabs и NtechLab; сохраняется зависимость от партнёра по терминалам (в отличие от OVISION) и от ЦБТ как единственного оператора ЕБС [27; 39; 42].</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Рыночная сила покупателей</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B2B/B2G заказчики крупны и концентрированы — сильная переговорная позиция. В технологическом слое издержки переключения низкие; в нише «банк + биометрия + ЕБС» — высокие из-за зависимости от регуляторного статуса банка-партнёра.</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технологическом слое Face2 конкурирует с VisionLabs и OVISION по цене и функционалу; в нише «банк + ЕБС» сила покупателей снижается — аналоги предлагает узкий круг банков-операторов [27; 36].</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Угроза товаров-заменителей</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Заменители: пластиковые карты, NFC, QR-эквайринг, push, SMS-OTP, голосовая биометрия. Во II кв. 2025 QR превысил биометрию по числу операций в 16 раз (≈ 990 млн против ≈ 60 млн), но темпы роста биометрии выше (+50% против +25%) [43]. В СКУД — карточные пропуска и мобильные ключи.</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регулируемых сценариях (открытие счёта, возрастная верификация, транспорт) субституты ограничены законом. В массовом эквайринге QR доминирует по обороту, но не вытесняет биометрию: оба канала растут параллельно [38; 43].</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Внутриотраслевая конкуренция</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Лидеры по слоям: Сбер в B2C-биоэквайринге (700+ тыс. терминалов, 30 млн зарегистрированных, 116 млрд руб. за 2025 г.); VisionLabs в технологическом слое (1,7 млн камер, 38 стран); OVISION в полном цикле СКУД (OGATE, референсы РЖД, Мосэнергосбыт) [32; 37; 39]. Девятикратный рост платежей и пятикратный рост оборота снижают остроту ценовой конкуренции [38].</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Прямой лобовой конкуренции в нише Face2 мало: банк не пересекается со Сбером по объёму, с VisionLabs по верификации алгоритмов, с OVISION по аппаратному стеку. Конкуренция идёт на узком пересечении — B2B/B2G со сценариями работы с физлицами через ЕБС в банковской экосистеме.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 с. 39; 27; 28, с. 17, 30–31, 33; 32; 33; 34; 36; 37; 38; 39; 42; 43]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анализа в таблице 2.2.5 складывается единая структурная картина. Две силы — угроза новых участников и рыночная сила поставщиков (в части алгоритмов) — оказывают на Face2 ослабленное давление: жёсткая регуляторная рамка отсекает несертифицированных игроков от рынка биометрии физических лиц через ЕБС, а собственная алгоритмическая база банка снимает зависимость от внешних технологических вендоров [27; 33; 36]. Две силы — рыночная сила покупателей и угроза товаров-заменителей — действуют умеренно и расщепляются по сегментам: в технологическом слое они высоки, а в нише «банк + ЕБС» снижаются за счёт недоступности эквивалентов у вендоров [38; 43]. Внутриотраслевая конкуренция в обозримом периоде остаётся средне-высокой, но смягчается двумя факторами — многослойностью рынка, при которой лидеры разных слоёв не пересекаются по типовому клиенту, и кратным ростом спроса, который позволяет нескольким игрокам одновременно расширять долю без прямого вытеснения друг друга [32; 37; 38;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Совокупное наблюдение по пяти силам — российский рынок биометрии относится к структурно привлекательным отраслям с высокими барьерами входа и умеренной интенсивностью внутреннего соперничества в разрезе отдельных слоёв. Управленческое следствие для стратегии продвижения Face2 двоякое. Во-первых, анализ подтверждает рациональность опоры на регуляторный капитал и банковскую экосистему как на основу позиционирования: именно эти две позиции одновременно работают барьером входа для новых игроков и фактором снижения силы покупателей в целевом сегменте. Во-вторых, две силы задают пробелы, которые требуют отдельного учёта в стратегии продвижения главы 3: средняя сила поставщиков в части аппаратного стека предполагает либо партнёрское закрепление за производителем терминалов, либо переход к собственному производству; угроза субститутов в массовом эквайринге означает, что прямая лобовая конкуренция с QR-эквайрингом по числу операций бесперспективна, и Face2 должен опираться на сценарии, где QR ограничен законом или неудобен для пользователя. Эти выводы предметно конкретизируются в следующем подразделе на уровне сравнения Face2 с ключевыми игроками рынка.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Сравнительный анализ Face2 и ключевых конкурентов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Сравнительный анализ строится по семи параметрам, существенным для выбора биометрического решения корпоративным и розничным заказчиком: тип игрока, продуктовая линейка по форм-факторам и сценариям, формальные регуляторные статусы, независимая верификация точности, географический охват, типовая бизнес-модель и наличие банковской/инфраструктурной экосистемы. Результаты сравнения собраны в таблице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Face2 и ключевых конкурентов на российском рынке биометрии</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7"/>
        <w:gridCol w:w="2258"/>
        <w:gridCol w:w="1957"/>
        <w:gridCol w:w="2258"/>
        <w:gridCol w:w="1355"/>
      </w:tblGrid>
      <w:tr>
        <w:trPr>
          <w:tblHeader/>
          <w:cantSplit/>
        </w:trPr>
        <w:tc>
          <w:tcPr>
            <w:tcW w:w="180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Параметр</w:t>
            </w:r>
          </w:p>
        </w:tc>
        <w:tc>
          <w:tcPr>
            <w:tcW w:w="225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Face2 (АК БАРС БАНК)</w:t>
            </w:r>
          </w:p>
        </w:tc>
        <w:tc>
          <w:tcPr>
            <w:tcW w:w="195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Сбер</w:t>
            </w:r>
          </w:p>
        </w:tc>
        <w:tc>
          <w:tcPr>
            <w:tcW w:w="225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VisionLabs</w:t>
            </w:r>
          </w:p>
        </w:tc>
        <w:tc>
          <w:tcPr>
            <w:tcW w:w="13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OVISION</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Производитель полного цикла</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Решение № 4-А от 15.11.2023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дочерние структуры</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 ЦБТ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граждан в ЕБС (по № 115-ФЗ)</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101 в перечне [36]</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(B2B-вендор)</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(B2B-вендор)</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 ФСБ и ФСТЭК</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ПАК «ВЛ-БИО»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право установки СКЗИ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iBeta, CVPR)</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заявлена</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заявлена</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Подтверждена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заявлена</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99,5%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Косвенно через VisionLabs</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Лидерство в NIST FRTE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99,9%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 с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 с (цель — 2 с к 2025) [32]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2,5 с (LUNA)</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0,3 с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Собственное производство терминалов</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(партнёрское)</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(модуль ПАК «ВЛ-БИО»)</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(OGATE One/Mini/Thermo)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Face2Check-in, КБС под ключ — по сценариям банковской вертикали</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СберPay Smile — преимущественно эквайринг</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LUNA Platform/Cars/ID/Pass/Kiosk + Deepfake Detection — по форм-факторам</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OGATE + OGATE Control + КБС OVISION</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 (Минцифры, Минтранс, НСПК)</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 и новые территории [32]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 стран, 9 представительств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(детекция дипфейков)</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публичной линейке нет</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Многоконтурная защита: liveness + AI-фрод + ПИН [32]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Отдельный продукт Deepfake Detection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Антиспуфинг и детекция дипфейков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 инфраструктурная экосистема</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Карта жителя РТ, СБП, мобильное приложение [28, с. 17, 33]</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СберPay, СберID</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ЦБТ, ЦРТ, Нетрис, ITV, ВК ИТС, Macroscop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 банковской экосистемы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17, 33; 32; 36; 37;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в таблице 2.2.6 фиксирует четыре чётко различимые позиции на рынке. Сбер закрывает массовый B2C-биоэквайринг масштабом и инфраструктурой; конкуренция с ним по размеру парка терминалов и числу пользователей в обозримом горизонте маркетинговыми средствами недостижима. VisionLabs закрывает технологический слой — алгоритмы, платформы, форм-факторы (мобильное, web, киоск, видеопоток) — и сильнее всех конкурентов по независимой верификации точности через NIST FRTE и iBeta. OVISION закрывает рынок полного цикла СКУД — собственное оборудование плюс программное ядро плюс полный набор формальных регуляторных статусов — и силён в государственном сегменте за счёт референсов федерального уровня (РЖД, Мосэнергосбыт, Правительство Тульской области). Face2 не входит в эти три позиции лоб в лоб, а занимает четвёртую — банковский сервисный игрок с правом регистрации биометрических данных граждан в ЕБС через статус по № 115-ФЗ и с продуктовой линейкой, выстроенной не по форм-факторам, а по банковским сценариям.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Конкурентные преимущества и пробелы Face2 распределяются неравномерно. К преимуществам относятся пять позиций. Первая — статус банка-оператора по № 115-ФЗ, дающий право регистрации биометрических векторов граждан в ЕБС: ни VisionLabs, ни OVISION, ни иные технологические вендоры этого права не имеют, и для них единственный путь работы с биометрией физических лиц — через банк-партнёра. Вторая — аккредитация Минцифры как оператора КБС, полученная одной из первых в стране (Решение № 4-А от 15 ноября 2023 года), что после ужесточения ответственности по 420-ФЗ и 421-ФЗ становится особенно ценным барьером входа [27]. Третья — институциональный стаж работы с ЕБС с июля 2018 года и положение первого банка ПФО, подключённого к этой инфраструктуре, что снимает риск восприятия Face2 как «нового и непроверенного» сервиса [40]. Четвёртая — банковская экосистема: 934 тыс. розничных клиентов, 33,9 тыс. корпоративных клиентов, 930 тыс. пользователей мобильного приложения, 450 тыс. держателей Карты жителя Республики Татарстан, рейтинги «A» по национальной шкале и подтверждённый ESG-статус [28, с. 17, 33]. Пятая — продуктовая вертикаль под банковский сценарий: один программный фундамент закрывает оплату, проход и подтверждение возраста внутри одной экосистемы клиента, что отличает Face2 от горизонтальных платформ технологических вендоров.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Пробелы — четыре. Первый — отсутствие независимой международной верификации точности алгоритмов в формате NIST FRTE, iBeta или CVPR, тогда как VisionLabs строит на ней значимую часть позиционирования [37]. Второй — отсутствие собственного производства биометрических терминалов и, как следствие, частичная зависимость от партнёрского оборудования, тогда как OVISION предлагает полный аппаратный стек одного производителя со всеми формальными статусами (Минпромторг, реестр радиоэлектронной продукции, СКЗИ) [39]. Третий — локальный масштаб: ядро текущей коммерческой базы Face2 — Татарстан и федеральные пилоты, тогда как Сбер работает по всей стране, а VisionLabs — в 38 странах. Четвёртый — отсутствие в публичной продуктовой линейке отдельного решения по детекции дипфейков, которое уже представлено и у VisionLabs (Deepfake Detection), и у OVISION (антиспуфинг и детекция дипфейков), и в виде многоконтурной защиты у Сбера [32; 37; 39].</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Ключевые факторы успеха на российском рынке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Сравнительная матрица в таблице 2.2.6 и анализ преимуществ и пробелов Face2 фиксируют, по каким параметрам игроки различаются, но не отвечают на вопрос, какие из этих параметров критичны для победы в отрасли, а какие — второстепенны. Этот разрыв снимает понятие ключевых факторов успеха (КФУ) — управляемых ресурсов, компетенций и характеристик продукта, владение которыми обеспечивает устойчивое конкурентное преимущество в данной отрасли и без которых даже технологически сильное решение не выходит на коммерческий контур заказчика [1, с. 39; 9, с. 112]. КФУ выполняют две функции: они задают общий измерительный стандарт для всех игроков отрасли и одновременно формируют список критериев, по которым строится последующая балльная оценка.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Перечень КФУ российского рынка биометрии выводится из трёх источников, проработанных в предыдущих подразделах. Регуляторный и инфраструктурный контур (572-ФЗ, аккредитация Минцифры, статус по № 115-ФЗ, ужесточение ответственности по 420-ФЗ и 421-ФЗ) задаёт обязательный нижний порог формальных статусов: без них работа с биометрией физических лиц закрыта законом [27; 33; 36]. PESTEL-анализ макросреды (таблица 2.2.3) выделяет четыре устойчивых драйвера спроса — рост биометрических платежей, расширение базы пользователей ЕБС, поколенческое принятие технологии и государственный курс на технологический суверенитет — и три устойчивых ограничителя — психологический барьер доверия, регуляторно-репутационный риск и угрозу подделки идентичности через дипфейки [38; 42; 43]. Анализ пяти сил Портера (таблица 2.2.5) переводит эти факторы в структурную рамку: барьеры входа, рыночная сила поставщиков, рыночная сила покупателей, угроза заменителей и внутриотраслевая конкуренция [1, с. 39]. Сравнительный анализ Face2 и ключевых конкурентов (таблица 2.2.6) фиксирует, по каким именно характеристикам игроки реально различаются на рынке. Совмещение трёх источников даёт восемь КФУ, собранных в таблице 2.2.7.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факторы успеха на российском рынке биометрии</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2645"/>
        <w:gridCol w:w="3174"/>
        <w:gridCol w:w="3174"/>
      </w:tblGrid>
      <w:tr>
        <w:trPr>
          <w:tblHeader/>
          <w:cantSplit/>
        </w:trPr>
        <w:tc>
          <w:tcPr>
            <w:tcW w:w="64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w:t>
            </w:r>
          </w:p>
        </w:tc>
        <w:tc>
          <w:tcPr>
            <w:tcW w:w="264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Ключевой фактор успеха</w:t>
            </w:r>
          </w:p>
        </w:tc>
        <w:tc>
          <w:tcPr>
            <w:tcW w:w="317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 фактора</w:t>
            </w:r>
          </w:p>
        </w:tc>
        <w:tc>
          <w:tcPr>
            <w:tcW w:w="317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Источник вывода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Регуляторно-правовой капитал</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по правилам КБС, статус оператора по 572-ФЗ, право регистрации БПд граждан в ЕБС по № 115-ФЗ, сертификация ФСБ и ФСТЭК. После 420-ФЗ и 421-ФЗ работа без формальных статусов закрыта законом</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PESTEL (L), пять сил Портера (барьеры входа),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Технологическая зрелость алгоритмов</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 99%, время сканирования ≈ 2 с, устойчивость к нагрузке — обязательный технический минимум для допуска к корпоративному и государственному заказчику</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PESTEL (T),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Доказательная база точности</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iBeta, CVPR), снимающая информационную асимметрию между заказчиком и вендором</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Пять сил Портера (сила покупателей),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полнота под B2B/B2G</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Готовые сценарии биоэквайринга, контроля доступа, возрастной верификации и КБС под ключ; способность закрыть смежные задачи одним вендором</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Сегментная структура рынка,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Присутствие в регионах целевого спроса, проекты федерального уровня и крупные коммерческие внедрения как репутационный фильтр</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PESTEL (S),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Экосистемная интеграция</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Собственная клиентская база, мобильное приложение, СБП, региональная карта, партнёрства с регулятором, транспортным оператором и НСПК; превращение биометрии в массовый канал</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Пять сил Портера (сила покупателей в нише «банк + ЕБС»),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аппаратного стека</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Собственное производство биотерминалов или эксклюзивное партнёрство со всеми регуляторными статусами (Минпромторг, реестр радиоэлектронной продукции, СКЗИ); снижает риск срыва поставок</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Пять сил Портера (сила поставщиков),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Многоконтурная защита: liveness, антиспуфинг, детекция дипфейков, AI-фрод. После роста ИИ-атак 2024–2025 гг. — обязательное условие для крупного заказчика</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PESTEL (T), пять сил Портера (заменители через подделку), сравнительная матрица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 с. 39; 9, с. 112; 27; 28, с. 17, 33; 32; 33; 36; 37; 38; 39; 42; 43]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Содержательно восемь КФУ распадаются на три группы. Регуляторно-инфраструктурные факторы (КФУ 1 и 6) определяют сам факт допуска игрока к рынку биометрии физических лиц через ЕБС и работают барьером входа. Продуктово-технологические факторы (КФУ 2, 3, 4 и 8) формируют функциональное ядро решения и определяют содержательную конкуренцию внутри допущенных игроков. Ресурсно-операционные факторы (КФУ 5 и 7) определяют способность масштабировать решение и удерживать издержки. Распределение Face2 по этим факторам: сильные позиции — КФУ 1 и 6 (полный регуляторный пул и банковская экосистема — клиентская база, СБП, Карта жителя РТ, партнёрства с Минцифры/Минтрансом/НСПК); средние — КФУ 2 и 4 (заявленные 99,5% точности и около 2 секунд сканирования; четыре сценария Face2Pay/Pass/Check-in/КБС); слабые — КФУ 3, 5, 7 и 8 (нет независимой международной верификации точности, ядро коммерческой базы — Татарстан, нет собственного производства терминалов, нет отдельного решения по детекции дипфейков) [27; 28, с. 17, 30–31, 33; 32; 37; 39]. Это распределение служит фактической базой для балльной экспертной оценки в следующем подразделе.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Балльная экспертная оценка решений на основе сравнительной матрицы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Перечень КФУ в таблице 2.2.7 фиксирует, что именно влияет на успех на российском рынке биометрии, но не даёт численного итога для управленческого решения. КФУ не равноправны: для типового заказчика биометрии регуляторный статус важнее аппаратного стека, а банковская экосистема — важнее географии присутствия вендора. Балльная экспертная оценка с весовыми коэффициентами учитывает эту разницу и переводит сравнение в формат, пригодный для последующего обоснования выбора целевого сегмента продвижения в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оценочных пунктов соответствуют восьми КФУ из таблицы 2.2.7 и переведены в шкалу от 1 до 5 баллов. Шкала строится по содержательному принципу: 5 — лидерство, подтверждённое внешними источниками; 4 — устойчивая позиция с публично заявленными подтверждениями; 3 — позиция выше средней без независимой верификации; 2 — отдельные элементы реализованы, но не образуют системы; 1 — параметр публично не подтверждён. Веса критериев настроены под целевой сегмент Face2 — заказчиков B2B и B2G со сценариями работы с физическими лицами через ЕБС внутри банковской экосистемы: регуляторный статус и банковская экосистема выходят на первый план (вес 0,30 и 0,25 соответственно), а второстепенные для этого сегмента критерии — географический охват, собственный аппаратный стек, заявленные технические характеристики и независимая верификация точности — понижаются до минимального веса 0,05. При универсальных весах (равных или близких к равным) суммарное лидерство получает VisionLabs за счёт независимой верификации в международных рейтингах [37], однако такая конфигурация не отражает реальные приоритеты целевого заказчика Face2. Сегментный расчёт собран в таблице 2.2.8.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Балльная экспертная оценка под целевой сегмент Face2 — B2B и B2G-заказчики со сценариями работы с физическими лицами через ЕБС в банковской экосистеме</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3646"/>
        <w:gridCol w:w="1215"/>
        <w:gridCol w:w="972"/>
        <w:gridCol w:w="972"/>
        <w:gridCol w:w="1215"/>
        <w:gridCol w:w="972"/>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w:t>
            </w:r>
          </w:p>
        </w:tc>
        <w:tc>
          <w:tcPr>
            <w:tcW w:w="364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Критерий</w:t>
            </w:r>
          </w:p>
        </w:tc>
        <w:tc>
          <w:tcPr>
            <w:tcW w:w="121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Сегментный вес</w:t>
            </w:r>
          </w:p>
        </w:tc>
        <w:tc>
          <w:tcPr>
            <w:tcW w:w="9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Face2</w:t>
            </w:r>
          </w:p>
        </w:tc>
        <w:tc>
          <w:tcPr>
            <w:tcW w:w="9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Сбер</w:t>
            </w:r>
          </w:p>
        </w:tc>
        <w:tc>
          <w:tcPr>
            <w:tcW w:w="121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VisionLabs</w:t>
            </w:r>
          </w:p>
        </w:tc>
        <w:tc>
          <w:tcPr>
            <w:tcW w:w="9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OVISION</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статус: аккредитация КБС, статус оператора биометрии, право регистрации в ЕБС</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0,30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Заявленные точность и скорость распознавания</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точности (NIST FRTE, iBeta, CVPR)</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 под B2B и B2G сценарии</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и инфраструктурная экосистема</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0,25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Собственный аппаратный стек</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 детекция дипфейков, антиспуфинг</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Взвешенный итоговый балл</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4,25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3,50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оценки автора по данным [27; 28, с. 17, 33; 32; 36; 37;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Лидерство по целевому сегменту удерживает Сбер за счёт федерального охвата и многоконтурной антифрод-защиты [32]. Face2 разделяет вторую позицию с VisionLabs, опережая OVISION на 0,60 балла за счёт регуляторного статуса банка-оператора биометрии и собственной банковской экосистемы [27; 28, с. 17, 33; 36]. Балльный расчёт подтверждает качественный вывод параграфа: Face2 не претендует на универсальное лидерство, но входит в группу лидеров своего целевого сегмента — B2B и B2G-заказчиков со смешанными сценариями платежей, прохода и подтверждения возраста на биометрии физических лиц через ЕБС.</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Конкурентная позиция Face2 на российском рынке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Жёсткая регуляторная рамка 572-ФЗ и закона № 115-ФЗ ограничивает круг операторов биометрии до организаций, аккредитованных Минцифры по правилам КБС, и до банков, имеющих право регистрации векторов в ЕБС [33; 27; 36]; именно внутри этого ограниченного поля и формируется собственный конкурентный сегмент Face2 — B2B и B2G-заказчики со сценариями, в которых одновременно нужны работа с физическими лицами через ЕБС, банковская инфраструктура и продуктовая линейка под платежи, проход и подтверждение возраста. Face2 не конкурирует со Сбером по объёму на массовом B2C-биоэквайринге, с VisionLabs — по верификации алгоритмов через NIST FRTE и международному охвату, с OVISION — по аппаратному стеку, но в собственном сегменте получает преимущества, которых нет ни у одного из конкурентов одновременно: статус банка-оператора по № 115-ФЗ под № 101 в перечне Банка России, аккредитация КБС № 4-А от 15.11.2023, шестилетний стаж работы с ЕБС, банковская экосистема (934 тыс. розничных клиентов, 930 тыс. в АБО, 450 тыс. Карт жителя РТ), рейтинги «A» и ESG-A, а также первая референтная база федерального уровня в виде проектов с Минцифры, Минтрансом, ЦБТ и НСПК [27; 28, с. 4, 17, 30–31, 33; 36; 37; 39]. Эта позиция содержит и ограничения: локальный географический охват по сравнению со Сбером и VisionLabs, отсутствие публичной независимой верификации точности и собственного решения по детекции дипфейков. Драйверы спроса работают в пользу Face2 одновременно по нескольким направлениям — ужесточение ответственности по 420-ФЗ и 421-ФЗ вытесняет неаккредитованные локальные решения, девятикратный годовой рост числа биометрических платежей и 10+ млн зарегистрированных в ЕБС создают эффект повседневности и снимают часть барьера доверия [27; 38]; барьеры спроса (психологический, организационный, регуляторно-репутационный) подробно разобраны в параграфе 1.3 и здесь не повторяются. Управленческое следствие для главы 3: дальнейший анализ должен сосредоточиться не на технологических доработках, а на маркетинговых инструментах — на том, насколько текущее продвижение продукта соответствует уже занятой банком конкурентной нише, какие каналы коммуникации задействованы и где находятся пробелы относительно сильных сторон, выявленных выше. Этому посвящён параграф 2.3.</w:t>
      </w:r>
    </w:p>
    <w:p>
      <w:pPr>
        <w:spacing w:before="0" w:after="0" w:line="240" w:lineRule="auto"/>
        <w:jc w:val="both"/>
        <w:rPr>
          <w:rFonts w:ascii="Times New Roman" w:hAnsi="Times New Roman" w:cs="Times New Roman" w:eastAsia="Times New Roman"/>
          <w:sz w:val="28"/>
          <w:szCs w:val="28"/>
          <w:lang w:val="ru-RU"/>
        </w:rPr>
      </w:pP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2.3. АНАЛИЗ ТЕКУЩЕГО ПРОДВИЖЕНИЯ ПРОДУКТА И ЕГО ПОЗИЦИИ НА РЫНКЕ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Постановка задачи и метод анализа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2.2 закрылся фиксацией конкурентной позиции Face2 как банковского сервисного игрока с правом регистрации биометрических данных граждан в ЕБС, локальным масштабом коммерческого присутствия и недостаточно публичной доказательной базой точности. Управленческая повестка для настоящего параграфа сформулирована там же: проверить, насколько текущая практика продвижения Face2 соответствует уже занятой банком конкурентной нише, какие каналы коммуникации задействованы, какие сегменты клиентов охвачены и где находятся пробелы. Решение этой задачи строится не на новом теоретическом инструментарии, а на наложении уже введённого инструментария на эмпирику. Если 2.2 описывал, </w:t>
      </w:r>
      <w:r>
        <w:rPr>
          <w:rFonts w:ascii="Times New Roman" w:hAnsi="Times New Roman" w:cs="Times New Roman" w:eastAsia="Times New Roman"/>
          <w:i/>
          <w:iCs/>
          <w:color w:val="000000"/>
          <w:sz w:val="28"/>
          <w:szCs w:val="28"/>
          <w:lang w:val="ru-RU"/>
        </w:rPr>
        <w:t xml:space="preserve">где</w:t>
      </w:r>
      <w:r>
        <w:rPr>
          <w:rFonts w:ascii="Times New Roman" w:hAnsi="Times New Roman" w:cs="Times New Roman" w:eastAsia="Times New Roman"/>
          <w:color w:val="000000"/>
          <w:sz w:val="28"/>
          <w:szCs w:val="28"/>
          <w:lang w:val="ru-RU"/>
        </w:rPr>
        <w:t xml:space="preserve"> стоит Face2 на рынке, то 2.3 описывает, </w:t>
      </w:r>
      <w:r>
        <w:rPr>
          <w:rFonts w:ascii="Times New Roman" w:hAnsi="Times New Roman" w:cs="Times New Roman" w:eastAsia="Times New Roman"/>
          <w:i/>
          <w:iCs/>
          <w:color w:val="000000"/>
          <w:sz w:val="28"/>
          <w:szCs w:val="28"/>
          <w:lang w:val="ru-RU"/>
        </w:rPr>
        <w:t xml:space="preserve">как</w:t>
      </w:r>
      <w:r>
        <w:rPr>
          <w:rFonts w:ascii="Times New Roman" w:hAnsi="Times New Roman" w:cs="Times New Roman" w:eastAsia="Times New Roman"/>
          <w:color w:val="000000"/>
          <w:sz w:val="28"/>
          <w:szCs w:val="28"/>
          <w:lang w:val="ru-RU"/>
        </w:rPr>
        <w:t xml:space="preserve"> он туда обращается.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 анализа. Текущее продвижение Face2 рассматривается через четыре аналитические рамки, введённые в параграфах 1.2 и 1.3: модель STP, расширенный комплекс маркетинга 7P (с особым весом People, Process и Physical evidence для биометрии), маркетинговая воронка с обязательным этапом «Доверие» и карта каналов из таблицы 1.2.5 в её биометрической конфигурации из 1.3. Эмпирическая база — корпоративные материалы по продукту [27], годовой отчёт банка за 2024 год [28], проектная карточка TAdviser о подключении АББ к ЕБС в 2018 году [40], перечень банков по № 115-ФЗ [36] и рыночный фон по данным Банка России и деловой прессы [32; 38]. Часть открытых данных по продвижению (соцмедиа-активность под отдельным брендом Face2, программы FINOPOLIS, региональные публикации в «Реальном времени» и «Бизнес-Online») на момент сборки параграфа недоступна и фиксируется в тексте как описание отсутствия соответствующего контура коммуникации, а не как количественная оценка.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Сегментация, таргетинг и позиционирование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Продуктовая линейка Face2, описанная в параграфе 2.1, формирует адресный набор сегментов: каждое из четырёх продуктов закрывает собственный тип заказчика и сценарий использования. На уровне коммуникации между заявленным продуктовым сегментом и реальной публичной активностью банка возможен зазор — продукт может быть выведен на рынок продуктово, но не выведен коммуникативно. Сопоставление шести сегментов рынка из таблицы 2.2.2 с тем, как они отыграны в публичных коммуникациях Face2, дано в таблице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Сегментная карта продвижения Face2: продуктовая декларация и реальная коммуникативная активность</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2017"/>
        <w:gridCol w:w="3362"/>
        <w:gridCol w:w="1793"/>
      </w:tblGrid>
      <w:tr>
        <w:trPr>
          <w:tblHeader/>
          <w:cantSplit/>
        </w:trPr>
        <w:tc>
          <w:tcPr>
            <w:tcW w:w="246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Сегмент рынка (по табл. 2.2.2)</w:t>
            </w:r>
          </w:p>
        </w:tc>
        <w:tc>
          <w:tcPr>
            <w:tcW w:w="201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Продукт линейки</w:t>
            </w:r>
          </w:p>
        </w:tc>
        <w:tc>
          <w:tcPr>
            <w:tcW w:w="336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Реальная коммуникативная активность Face2</w:t>
            </w:r>
          </w:p>
        </w:tc>
        <w:tc>
          <w:tcPr>
            <w:tcW w:w="179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Тип активности</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 B2C-биоэквайринг</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по биометрии в мобильном приложении АБО</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продукт</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 B2B (КБС для банков и МФО)</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Заявлена в линейке; публичных кейсов нет</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в Казанском метро (с Минцифры, Минтрансом, ЦБТ, НСПК)</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Государственная идентификация / B2G</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450 131 карта на 01.01.2025; биометрию можно сдать в приложении</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внутренний контур</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Face2Pass.Terminal</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АББ; 200 биотерминалов; внешние внедрения 200/500/5 000/15 000 векторов</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Производственный кейс</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внешние коммерческие</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Возможность заявлена, конкретные кейсы не названы</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 возрастная верификация</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 в 2025 году, кейсов нет</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Гостиничный сектор</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заселение без паспорта, кейсов нет</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Социально-культурный</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Электронный читательский билет — вход в Нацбиблиотеку РТ по биометрии</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на POS</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Запущен пилот</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28–33]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2.3.1 показывает, что из шести сегментов рынка коммуникативно активно охвачены четыре — финансовый, транспортный, государственный (через социальную инфраструктуру РТ) и СКУД (через внутренний контур банка). Сегменты «гостиничный» и «возрастная верификация в ритейле» заявлены в продуктовой линейке, но публичные референсные кейсы по ним отсутствуют. Это первый зафиксированный пробел продвижения — сегментный.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Таргетинг продвижения сосредоточен по двум осям. Географическая ось — Республика Татарстан плюс точечные федеральные пилоты в связке с Минцифры РФ, Минтрансом РФ, Центром биометрических технологий и Национальной системой платёжных карт [28, с. 30–31]. По оси типа заказчика основные ресурсы направлены на B2B и B2G, а массовый B2C-сегмент охвачен только через банковскую экосистему в пределах Татарстана: мобильное приложение Ак Барс Онлайн с 930 тыс. активных пользователей и 12 млн транзакций за 2024 год, мобильное приложение «Карта жителя РТ» с более чем 100 тыс. пользователей и портал государственных услуг РТ через СБП с 1,2 млн транзакций за тот же год [28, с. 17, 28–29, 33]. Эта концентрация одновременно использует региональное преимущество (банк опирается на естественное доверие к региональному институту в Татарстане) и ограничивает рыночный охват за пределами региона.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в открытых коммуникациях опирается на четыре содержательных оси. Регуляторный статус: оператор КБС с аккредитацией Минцифры решением № 4-А от 15 ноября 2023 года, сертификация ФСБ и ФСТЭК, реестр отечественного программного обеспечения [27]. Архитектурная безопасность: хранение биометрических векторов в ГИС ЕБС, криптозащита, опора на государственную инфраструктуру, а не на собственную базу данных [27]. Технологичность: заявленная точность распознавания 99,5%, среднее время сканирования около двух секунд при благоприятных условиях [27]. Противопоставление: «локальные биометрии нарушают 572-ФЗ, не сертифицированы ФСБ и не обеспечивают защиты биометрических данных» [27]. Дополнительная опорная ось — ассоциация с банковской инфраструктурой АББ: рейтинги «A» по национальной шкале, ESG-A, статус оператора по № 115-ФЗ под номером 101 в перечне Банка России на 04 мая 2026 года [28, с. 4; 36]. Содержательно это позиционирование точно соответствует конкурентной нише, выявленной в параграфе 2.2 как пересечение трёх условий — банковской экосистемы, права работать с биометрией физических лиц через ЕБС и продуктовой линейки под платежи, проход и подтверждение возраста.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Однако исходная маркетинговая гипотеза, на которой строилось и продолжает строиться продвижение, зафиксирована в публичном комментарии руководителя проектного офиса инновационного развития АББ Дамира Галиева в TAdviser от 10 июля 2018 года. Тогда банк ожидал «роста интереса клиентов по мере развития сервиса, в первую очередь среди любителей инноваций», а массовый спрос рассчитывал получить «по мере планомерного перевода государственных услуг в систему ЕСИА» [40]. По существу это гипотеза органического спроса: банк не вкладывается в активное формирование рынка, а ждёт, когда регулятор и инфраструктура сформируют его сами. К 2024–2026 годам эта гипотеза рынком уже не подтверждается. Количество биометрических платежей в России за 9 месяцев 2025 года выросло в 9 раз к аналогичному периоду 2024 года, до 145,9 млн операций; денежный оборот — почти в 5 раз, до 112,5 млрд рублей; в ЕБС зарегистрированы более 10 млн пользователей [38]. Это рынок не зреющего, а уже зрелого спроса с активной конкурентной борьбой за долю, и пассивная стратегия органического притяжения проигрывает активной стратегии Сбера, нарастившего парк терминалов до 700 тыс. и оборот до 116 млрд рублей за 2025 год [32]. Несоответствие между фазой рынка и исходной маркетинговой гипотезой банка — фундаментальная характеристика текущего продвижения Face2, к которой возвращают и последующие подразделы.</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Инвентаризация каналов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Сетка каналов из таблицы 1.2.5 в параграфе 1.3 переконфигурирована для биометрии: вес массовой рекламы снижен, удельный вес образовательно-демонстрационных и экспертных форматов повышен, push в B2B/B2G сочетается с pull в B2C при первичности push. Инвентаризация каналов Face2 по этой сетке дана в таблице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Инвентаризация каналов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09"/>
        <w:gridCol w:w="2409"/>
        <w:gridCol w:w="2409"/>
        <w:gridCol w:w="2409"/>
      </w:tblGrid>
      <w:tr>
        <w:trPr>
          <w:tblHeader/>
          <w:cantSplit/>
        </w:trPr>
        <w:tc>
          <w:tcPr>
            <w:tcW w:w="24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Канал из табл. 1.2.5</w:t>
            </w:r>
          </w:p>
        </w:tc>
        <w:tc>
          <w:tcPr>
            <w:tcW w:w="24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Реализация у Face2</w:t>
            </w:r>
          </w:p>
        </w:tc>
        <w:tc>
          <w:tcPr>
            <w:tcW w:w="24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Метрика / факт</w:t>
            </w:r>
          </w:p>
        </w:tc>
        <w:tc>
          <w:tcPr>
            <w:tcW w:w="24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Оценка</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контур банка как «послы бренда»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Сотрудники-пользователи продукта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АББ; 200 биотерминалов</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 каналы федерального уровня</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Связка Минцифры + Минтранс + ЦБТ + НСПК в одном проекте; АО «Социальная карта» по Карте жителя РТ; Ростелеком (подключение к ЕБС в 2018 г.)</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в Казанском метро как референс; 450 131 действующая Карта жителя РТ</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 каналы</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в Казанском метро, Нацбиблиотеке РТ; биоэквайринг через СБП на POS, оплата в АБО, заселение в гостиницу</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 биотерминалов в офисах как постоянная демосеть</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банка как носитель Face2</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по биометрии в АБО; сдача биометрии в приложении «Карта жителя РТ»; портал госуслуг РТ через СБП</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 тыс. активных в АБО, 12 млн транзакций за 2024 г.; 1,2 млн транзакций через СБП на портале госуслуг РТ</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Face2 встроен как функционал, не как самостоятельный бренд</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продукта (face2.ru) и сайт банка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Сайт-визитка с описанием продукта; контакт продаж — Салахов А. 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Состав сайта проверяется автором; формы заявки, ROI-калькулятора, витрины кейсов в открытых данных не зафиксировано</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(B2B/B2G)</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Классическая B2B-модель через одного публичного контактного менеджера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 продаж</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эффективен при исходящем поиске, не утилизирует входящий интерес</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в деловых СМИ</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Точечные релизы, преимущественно в татарстанских изданиях; в федеральной прессе АББ упомянут без отдельной редпрограммы</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полнотекстовый материал федерального уровня — TAdviser (10.07.2018) [40]</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 (FINOPOLIS, конференции по биометрии)</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форумах заявлено, программа выступлений по Face2 не верифицирована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Уточняется автором при финальной вёрстке</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под отдельным брендом Face2</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Отдельных сообществ под брендом не зафиксировано; продукт идёт «внутри» аккаунтов АББ</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АББ описаны как канал работы с обращениями розничных клиентов в целом</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и экспертная база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Разъяснения 572-ФЗ и схемы ГИС ЕБС → КБС → продукт точечно в корпматериалах; систематической рубрики нет</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Для сравнения: VisionLabs ведёт блог на Habr [37], OVISION публикует кейсы РЖД, Мосэнергосбыта, Правительства Тульской области [39]</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28–33; 37; 38; 39; 40]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показывает, что у Face2 три канала развиты сильно, четыре — на среднем уровне, два — слабо или отсутствуют. В первой группе — внутренний контур банка (5 000+ сотрудников × 200 биотерминалов как естественный «полигон» отладки клиентского опыта и одновременно сообщество ранних последователей); партнёрские каналы федерального уровня (одновременная связка с Минцифры, Минтрансом, ЦБТ и НСПК в одном проекте не имеет публично подтверждённых аналогов на рынке — ни VisionLabs, ни OVISION такой комбинации не подтверждают [37; 39]); демонстрационные каналы внутри Татарстана как постоянно действующие точки потребительского контакта с продуктом. Это сильный push-контур.</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 второй группе — корпоративный сайт продукта и сайт банка, прямые продажи через одного контактного менеджера, точечные публикации в деловых СМИ и неоформленное участие в отраслевых форумах. Эти каналы работают, но их интенсивность значительно ниже, чем у конкурентов. Канал прямых продаж работает по классической B2B-модели через одного контактного менеджера [27], что эффективно при активном исходящем поиске клиентов, но не утилизирует входящий интерес массовой аудитории. Сайт face2.ru представляет продукт, но автоматическая лидогенерация (форма заявки, ROI-калькулятор, чат-бот) и публичная витрина коммерческих кейсов в открытых данных не зафиксированы.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третьей группе — отсутствие отдельного бренда Face2 в социальных сетях и фрагментарность экспертного контента. В открытых данных годового отчёта АББ за 2024 год работа с социальными сетями описана как канал работы с обращениями розничных клиентов в целом по банку [28, с. 33], но систематических активностей под брендом Face2 — отдельного Telegram-канала, тематического раздела в YouTube, регулярных публикаций под единым хэштегом — публично не зафиксировано. Сравнительная база: VisionLabs ведёт корпоративный блог на Habr с регулярными техническими публикациями [37]; OVISION публикует кейсы внедрений в РЖД, Мосэнергосбыте, Правительстве Тульской области [39]; Сбер транслирует свою биометрию в массовых СМИ как «оплата улыбкой» с понятным потребительским названием [32]. У Face2 этот слой отсутствует.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вывод инвентаризации каналов: коммуникационная архитектура Face2 асимметрична — push-каналы (B2B/B2G, партнёрства, пилоты) работают сильно, pull-каналы (массовые СМИ за пределами Татарстана, отдельный бренд в социальных сетях, экспертный контент) фрагментарны. Эта асимметрия зеркально соответствует выводу параграфа 2.2 о локальном масштабе коммерческого присутствия: маркетинговая активность банка отражает географическую структуру его операций, а не потенциал рынка.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Реализация комплекса маркетинга 7P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Конфигурация 7P для биометрии, выведенная в параграфе 1.3, предполагает непропорционально высокий вес элементов People, Process и Physical evidence — именно они закрывают психологический и регуляторно-репутационный барьеры сильнее, чем элементы Promotion и Price в их классической форме. Сопоставление этой конфигурации с реальной практикой Face2 дано в таблице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Реализация комплекса маркетинга 7P в продвижении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76"/>
        <w:gridCol w:w="2920"/>
        <w:gridCol w:w="2920"/>
        <w:gridCol w:w="2920"/>
      </w:tblGrid>
      <w:tr>
        <w:trPr>
          <w:tblHeader/>
          <w:cantSplit/>
        </w:trPr>
        <w:tc>
          <w:tcPr>
            <w:tcW w:w="87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Элемент 7P</w:t>
            </w:r>
          </w:p>
        </w:tc>
        <w:tc>
          <w:tcPr>
            <w:tcW w:w="292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Что должно быть для биометрии (по 1.3)</w:t>
            </w:r>
          </w:p>
        </w:tc>
        <w:tc>
          <w:tcPr>
            <w:tcW w:w="292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Реализация у Face2</w:t>
            </w:r>
          </w:p>
        </w:tc>
        <w:tc>
          <w:tcPr>
            <w:tcW w:w="292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Оценка / пробел</w:t>
            </w:r>
          </w:p>
        </w:tc>
      </w:tr>
      <w:tr>
        <w:trPr>
          <w:cantSplit/>
        </w:trPr>
        <w:tc>
          <w:tcPr>
            <w:tcW w:w="8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вертикаль под банковский сценарий</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 Face2Pass.Terminal, Face2Check-in, КБС под ключ; видеоаналитика (драки, упавшие люди, оружие, автономера, подсчёт людей)</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пробел — нет публичного решения по детекции дипфейков, тогда как у конкурентов антифрод вынесен в коммуникацию [32; 37; 39]</w:t>
            </w:r>
          </w:p>
        </w:tc>
      </w:tr>
      <w:tr>
        <w:trPr>
          <w:cantSplit/>
        </w:trPr>
        <w:tc>
          <w:tcPr>
            <w:tcW w:w="8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Прозрачные коммерческие условия для B2B</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Цена не раскрывается; ROI-калькулятор отсутствует</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каждое B2B-обращение начинается с нуля</w:t>
            </w:r>
          </w:p>
        </w:tc>
      </w:tr>
      <w:tr>
        <w:trPr>
          <w:cantSplit/>
        </w:trPr>
        <w:tc>
          <w:tcPr>
            <w:tcW w:w="8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 + интеграция в инфраструктуру заказчика</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публичной витрины кейсов вне РТ нет</w:t>
            </w:r>
          </w:p>
        </w:tc>
      </w:tr>
      <w:tr>
        <w:trPr>
          <w:cantSplit/>
        </w:trPr>
        <w:tc>
          <w:tcPr>
            <w:tcW w:w="8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Образовательный контент, экспертные публикации, демонстрации</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отдельные релизы, демозоны в офисах</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регулярного контент-конвейера и редпрограммы</w:t>
            </w:r>
          </w:p>
        </w:tc>
      </w:tr>
      <w:tr>
        <w:trPr>
          <w:cantSplit/>
        </w:trPr>
        <w:tc>
          <w:tcPr>
            <w:tcW w:w="8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эксперты</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 продаж (Салахов А. А.) [27]; в TAdviser 2018 г. — Д. Галиев, рук. проектного офиса инновационного развития АББ [40]</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нет линейки спикеров (CISO, юрист по 572-ФЗ, продакт, разработка)</w:t>
            </w:r>
          </w:p>
        </w:tc>
      </w:tr>
      <w:tr>
        <w:trPr>
          <w:cantSplit/>
        </w:trPr>
        <w:tc>
          <w:tcPr>
            <w:tcW w:w="8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пользовательский путь</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Четыре шага: «Госуслуги Биометрия» → сдача упрощённой биометрии → согласие на использование вектора КБС АББ → проход / оплата</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содержательно, но узко по охвату — путь подробен в корпматериалах, не упакован для массового читателя</w:t>
            </w:r>
          </w:p>
        </w:tc>
      </w:tr>
      <w:tr>
        <w:trPr>
          <w:cantSplit/>
        </w:trPr>
        <w:tc>
          <w:tcPr>
            <w:tcW w:w="8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рейтинги, кейсы, независимая верификация</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аккредитация Минцифры (Решение № 4-А от 15.11.2023), ФСБ, ФСТЭК, реестр отечественного ПО, статус оператора по № 115-ФЗ (№ 101 в перечне Банка России), стаж в ЕБС с 10.07.2018, рейтинги «A», ESG-A</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по формальным признакам; пробел — нет независимой международной верификации точности (NIST FRTE, iBeta, CVPR), которой пользуется VisionLabs [37]</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4, 28–33; 32; 36; 37; 39; 40]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2.3.3 показывает, что Physical evidence — самый сильный элемент комплекса маркетинга Face2 по всем формальным признакам. Полный набор регуляторных статусов (КБС, ФСБ, ФСТЭК, реестр отечественного ПО, оператор биометрии под № 101 в перечне Банка России по № 115-ФЗ [36], шестилетний стаж в ЕБС с 10 июля 2018 года [40]) выводит Face2 в группу из менее чем двухсот банков страны, имеющих все необходимые формальные статусы для работы с биометрией физических лиц. Тем не менее этот регуляторный капитал транслируется в коммуникации преимущественно языком, понятным специалистам по информационной безопасности и юристам, а не массовой аудитории, и поэтому не конвертируется в массовое сообщение «доверие». Это контентный пробел, второй после сегментного.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Элемент People в Face2 представлен одним публичным контактом продаж [27] и точечно — упоминанием руководителя проектного офиса инновационного развития АББ в публикации TAdviser 2018 года [40]. Линейка экспертных спикеров — главный CISO банка, юрист по 572-ФЗ, продакт-менеджер биометрии, представитель команды разработки — публично не оформлена. У VisionLabs, напротив, корпоративный блог на Habr ведут несколько технических экспертов, и каждое публичное выступление топ-менеджмента работает как Physical evidence для следующего корпоративного клиента [37]. Это пробел People — третий.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Элемент Process у Face2 проработан содержательно, но узко: четырёхшаговый пользовательский путь подключения (установка приложения «Госуслуги Биометрия» → сдача упрощённой биометрии → согласие на использование вектора КБС АББ → вход в офис или оплата) описан в корпоративных материалах [27], но не упакован в массовое объяснение для внешнего читателя сайта или СМИ. Заказчик В2В получает требования к инфраструктуре (турникет, совместимый с биотерминалами, интернет-канал не менее 10 Мбит/с с непрерывностью не менее 95%, доступ к базовой СКУД-системе [27]), но не получает наглядного бизнес-кейса с расчётом окупаемости.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Элемент Promotion реализуется через точечные релизы и отдельные пилотные запуски без регулярного контент-конвейера. Элемент Price — наименее проработанный — публично не раскрывается совсем. Продуктовая линейка (Product) выглядит сильно по охвату сценариев, за единственным существенным исключением: в открытой линейке Face2 нет отдельного решения по детекции дипфейков, тогда как у VisionLabs существует продукт Deepfake Detection, у OVISION антиспуфинг и детекция дипфейков встроены в СКУД-комплекты, у Сбера действует многоконтурная защита: liveness + AI-фрод + ПИН [32; 37; 39]. Это четвёртый зафиксированный пробел — доказательный (вместе с отсутствием независимой международной верификации точности, отдельно отмеченным в параграфе 2.2).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Маркетинговая воронка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Эталонная воронка биометрии в банковском секторе, выведенная в параграфе 1.3, имеет специфическую форму: между этапами «Интерес» и «Пробное использование» встроен длинный этап «Доверие», и именно на нём концентрируется основная часть коммуникационных усилий до этапа массового принятия. Сопоставление этой эталонной воронки с фактической раскладкой активностей Face2 дано в таблице 2.3.4.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Воронка продвижения Face2 — плотность активностей по этапам</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24"/>
        <w:gridCol w:w="3706"/>
        <w:gridCol w:w="3706"/>
      </w:tblGrid>
      <w:tr>
        <w:trPr>
          <w:tblHeader/>
          <w:cantSplit/>
        </w:trPr>
        <w:tc>
          <w:tcPr>
            <w:tcW w:w="222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Этап воронки (по табл. 1.2.4 и 1.3)</w:t>
            </w:r>
          </w:p>
        </w:tc>
        <w:tc>
          <w:tcPr>
            <w:tcW w:w="370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Что есть у Face2</w:t>
            </w:r>
          </w:p>
        </w:tc>
        <w:tc>
          <w:tcPr>
            <w:tcW w:w="370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Плотность активностей</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37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точечные пресс-релизы; пилот в Казанском метрополитене с участием четырёх федеральных партнёров; упоминания в материале «Ведомостей» о биометрии 2026 года</w:t>
            </w:r>
          </w:p>
        </w:tc>
        <w:tc>
          <w:tcPr>
            <w:tcW w:w="37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 — есть, но без редакционной программы</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37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face2.ru; описание продукта в корпоративных материалах банка</w:t>
            </w:r>
          </w:p>
        </w:tc>
        <w:tc>
          <w:tcPr>
            <w:tcW w:w="37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 — без CTA-механики</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(ключевой этап для биометрии)</w:t>
            </w:r>
          </w:p>
        </w:tc>
        <w:tc>
          <w:tcPr>
            <w:tcW w:w="37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статус оператора по № 115-ФЗ под № 101, аккредитации ФСБ и ФСТЭК, схема «ГИС ЕБС → КБС → продукт», стаж работы с ЕБС с 10.07.2018</w:t>
            </w:r>
          </w:p>
        </w:tc>
        <w:tc>
          <w:tcPr>
            <w:tcW w:w="37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по содержанию, низкая по охвату — доказательная база подаётся языком специалистов</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Пробное использование</w:t>
            </w:r>
          </w:p>
        </w:tc>
        <w:tc>
          <w:tcPr>
            <w:tcW w:w="37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контур (5 000+ сотрудников); 200 биотерминалов в офисах; публичные пилоты в метро, Национальной библиотеке РТ, биоэквайринг через АБО</w:t>
            </w:r>
          </w:p>
        </w:tc>
        <w:tc>
          <w:tcPr>
            <w:tcW w:w="37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для B2B и для жителей РТ; нулевая за пределами РТ</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37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коммерческие внедрения масштабом 200/500/5 000/15 000 биометрических векторов на инсталляцию</w:t>
            </w:r>
          </w:p>
        </w:tc>
        <w:tc>
          <w:tcPr>
            <w:tcW w:w="37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 — есть, но публичные референсы не оформлены в кейс-стади</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37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системной программы работы с референс-клиентами Face2 (отзывы, NPS, кейсы, повторные продажи дополнительных модулей) в открытых источниках не зафиксировано</w:t>
            </w:r>
          </w:p>
        </w:tc>
        <w:tc>
          <w:tcPr>
            <w:tcW w:w="37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28–33; 36; 38; 40]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 этапам воронки в таблице 2.3.4 показывает асимметрию противоположного характера, чем у эталонной модели. У эталонной воронки этап «Доверие» расширен по сравнению с традиционным товаром, но расширен равномерно — чтобы перевести в пробное использование как можно большую долю аудитории, проявившей интерес. У Face2 этап «Доверие» содержательно сильный, но узкий: его пропускная способность ограничена тем, что доказательная база подаётся языком, понятным специалистам, и не достигает массового пользователя. Этап «Пробное использование» сильный для B2B и для жителей Татарстана (внутренняя инсталляция, демозоны, региональные пилоты), но фактически нулевой для всех остальных регионов — получить пользовательский опыт Face2 за пределами РТ практически негде. Этапы «Осведомлённость» и «Лояльность» работают слабо: первый — из-за фрагментарности pull-каналов, второй — из-за отсутствия системной программы работы с референс-клиентами, NPS и кейс-стади. Графически распределение активностей Face2 по этапам воронки в сопоставлении с эталонной формой представлено на рисунке 2.3.1.</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Этап воронки                Эталонная воронка биометрии (1.3)        Воронка Face2 (факт)</w:t>
      </w:r>
    </w:p>
    <w:p>
      <w:pPr>
        <w:spacing w:before="0" w:after="0" w:line="240" w:lineRule="auto"/>
        <w:jc w:val="both"/>
        <w:rPr>
          <w:rFonts w:ascii="Times New Roman" w:hAnsi="Times New Roman" w:cs="Times New Roman" w:eastAsia="Times New Roman"/>
          <w:sz w:val="28"/>
          <w:szCs w:val="28"/>
          <w:lang w:val="ru-RU"/>
        </w:rPr>
      </w:pP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Осведомлённость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Интерес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Доверие (ядро)              ████████████████████████                  ████████████████████████ (содержательно)</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(массовый охват)</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Пробное использование       ████████████████                          ████████████████ (РТ + B2B)</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(вне РТ)</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Принятие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Лояльность                  ██████████                                ██</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28–33; 36; 40]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2.3.1. Воронка продвижения Face2 в сопоставлении с эталонной воронкой биометрического продукта в банковском секторе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Содержательно фигура на рисунке 2.3.1 показывает, что у Face2 архитектурно перегружен центральный этап «Доверие» по содержательной составляющей и недогружены полюса (Осведомлённость, Лояльность) и массовый охват самого ядра. Это совпадает со структурой коммерческого присутствия из параграфа 2.2: банк глубоко работает в немногих сегментах и в одном регионе вместо широкого покрытия рынка. Маркетинг здесь не «отстаёт» от продукта, а воспроизводит структуру коммерческой работы один в один. Чтобы изменить распределение продаж, нужно сначала изменить архитектуру воронки.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SWOT-анализ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характеристика продвижения Face2 в формате SWOT дана в таблице 2.3.5. SWOT строится строго в маркетинговой плоскости — общая характеристика продукта и банка собрана в параграфе 2.1, рыночный контекст и конкурентные позиции — в параграфе 2.2, и здесь они не повторяются. Зона интереса — только то, что относится к коммуникационному контуру и его инструментам.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SWOT-анализ продвижения Face2</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4819"/>
      </w:tblGrid>
      <w:tr>
        <w:trPr>
          <w:tblHeader/>
          <w:cantSplit/>
        </w:trPr>
        <w:tc>
          <w:tcPr>
            <w:tcW w:w="48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S — сильные стороны продвижения</w:t>
            </w:r>
          </w:p>
        </w:tc>
        <w:tc>
          <w:tcPr>
            <w:tcW w:w="48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W — слабые стороны продвижения</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пул Physical evidence: КБС, ФСБ, ФСТЭК, реестр ПО, № 115-ФЗ (№ 101) [27; 36]</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Локальный охват СМИ — концентрация в Татарстане</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Партнёрства федерального уровня в одном проекте: Минцифры, Минтранс, ЦБТ, НСПК [28, с. 30–31]</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отдельного бренда Face2 в соцсетях [28, с. 33]</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Внутренняя демозона: 5 000+ сотрудников × 200 биотерминалов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регулярного контент-конвейера и редпрограммы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как канал через социальную инфраструктуру (450 тыс. карт, биометрия в приложении) [28, с. 28–29]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независимой верификации точности (NIST FRTE, iBeta, CVPR)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Стаж в ЕБС с 10.07.2018 — готовый сторителлинг [40]</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тарифы, ROI-калькулятор, конверсионная механика на сайте отсутствуют</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Рейтинги «A» и ESG-A банка как Physical evidence второго уровня [28, с. 4]</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Минимальная публичная экспертная команда (один контакт продаж) [27]</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Необновлённая исходная маркетинговая гипотеза 2018 г. об органическом спросе [40]</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O — возможности рынка</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T — угрозы продвижения</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Девятикратный рост числа биометрических платежей (9 мес. 2025 / 9 мес. 2024) [38]</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Доминирование Сбера в B2C-биоэквайринге: 700 тыс. терминалов, 30 млн зарегистрированных, 116 млрд руб. за 2025 г. [32]</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420-ФЗ и 421-ФЗ — растёт ценность аккредитованных операторов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Отрыв VisionLabs по NIST FRTE и работа в 38 странах [37]</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пользователей в ЕБС к началу 2026 г. — клиентская база без повторной сдачи [38]</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 — полный цикл СКУД с собственным аппаратом и федеральными референсами (РЖД, Мосэнергосбыт, Тульская обл.) [39]</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массовой коммерциализации: средний чек ≈ 770 руб., рост по числу транзакций [38]</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 риск утечек у любого аккредитованного оператора — удар по доверию ко всему классу</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4, 28–33; 32; 36; 37; 38; 39; 40]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Сильные стороны продвижения сосредоточены в push-контуре (полный пул Physical evidence — КБС, ФСБ, ФСТЭК, реестр ПО, № 115-ФЗ; партнёрства федерального уровня в одном проекте — Минцифры, Минтранс, ЦБТ, НСПК; внутренняя демозона на 5 000+ сотрудников и 200 биотерминалов; встроенность в Карту жителя РТ; рейтинги «A» и ESG-A банка; шестилетний стаж в ЕБС с 2018 года), слабые — в pull-контуре (локальный охват СМИ, отсутствие отдельного бренда Face2 в соцсетях и регулярного контент-конвейера, отсутствие независимой верификации точности через NIST FRTE / iBeta / CVPR, отсутствие публичных тарифов и конверсионной механики на сайте, минимальная публичная экспертная команда, неактуальная гипотеза органического спроса 2018 года). Возможности рынка работают в пользу Face2 одновременно по трём направлениям — девятикратный рост числа биометрических платежей, ужесточение ответственности по 420-ФЗ и 421-ФЗ, накопление 10+ млн пользователей ЕБС [27; 38]. Угрозы распределены по трём осям — масштаб (Сбер: 700 тыс. терминалов, 30 млн зарегистрированных, 116 млрд руб. оборота за 2025 г. [32]), технологическая верификация (VisionLabs с NIST FRTE и работой в 38 странах [37]), полный цикл СКУД с собственным аппаратом (OVISION с референсами в РЖД, Мосэнергосбыте, Тульской области [39]); общая угроза — репутационные риски утечек у любого аккредитованного оператора, способные ударить по доверию ко всему классу.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Структурный вывод SWOT: продвижение Face2 находится в диспозиции, при которой сильные стороны не масштабируются, а слабые стороны сосредоточены в той части маркетингового инструментария, где у банка уже есть необходимые ресурсы (банковская экосистема, рейтинги, региональные данные). Это вопрос конфигурации, а не дополнительных вложений — основа для управленческой повестки главы 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Сводный перечень пробелов продвижения и переход к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продвижения, последовательно зафиксированных в предыдущих подразделах настоящего параграфа, агрегированы в таблицу 2.3.6. Эта таблица одновременно завершает анализ текущего состояния и формирует управленческую повестку для главы 3 — каждый пробел переходит в задачу разработки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перечень пробелов продвижения Face2 как управленческая повестка для главы 3</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1748"/>
        <w:gridCol w:w="3747"/>
        <w:gridCol w:w="1748"/>
        <w:gridCol w:w="1748"/>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w:t>
            </w:r>
          </w:p>
        </w:tc>
        <w:tc>
          <w:tcPr>
            <w:tcW w:w="174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Пробел</w:t>
            </w:r>
          </w:p>
        </w:tc>
        <w:tc>
          <w:tcPr>
            <w:tcW w:w="374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w:t>
            </w:r>
          </w:p>
        </w:tc>
        <w:tc>
          <w:tcPr>
            <w:tcW w:w="174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Группа пробелов</w:t>
            </w:r>
          </w:p>
        </w:tc>
        <w:tc>
          <w:tcPr>
            <w:tcW w:w="174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Где зафиксирован</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Канальный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Push-каналы (B2B/B2G, партнёрства, пилоты) сильны; pull-каналы (массовые СМИ вне РТ, отдельный бренд в соцсетях) фрагментарны</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Инвентаризация каналов</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капитал (КБС, аккредитации, № 115-ФЗ, стаж с 2018 г.) не переведён в массовое сообщение «доверие»</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 и «возрастная верификация в ритейле» заявлены продуктово, публичных кейсов нет</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Доказательный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независимой международной верификации точности (NIST FRTE, iBeta, CVPR)</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линейки спикеров (CISO, юрист по 572-ФЗ, продакт-менеджер); один публичный контакт продаж</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Конверсионный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 face2.ru нет CTA-механики (заявка на пилот, демо-доступ, ROI-калькулятор), автоматическая воронка не оформлена</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Инвентаризация каналов; 7P</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Лояльностный / референсный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системной работы с референс-клиентами: отзывы, кейсы, NPS, повторные продажи модулей</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воронка</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Коммерческое присутствие сконцентрировано в РТ; банковская экосистема (АБО — 930 тыс.) и Карта жителя РТ как ресурсы распространения вне РТ не задействованы</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результатам предыдущих подразделов настоящего параграфа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в таблице 2.3.6 не независимы — они группируются в три кластера: пробелы охвата (1, 3, 8 — канальный, сегментный, географический), пробелы аргументации (2, 4, 5 — контентный, доказательный, People) и пробелы инфраструктуры воронки (6, 7 — конверсионный, лояльностный). Управленческая повестка главы 3 распадается на эти три параллельных направления.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Приоритеты повестки задаются связью с уже занятой конкурентной нишей: регуляторное преимущество, банковская экосистема и шестилетний стаж в ЕБС — ресурсы, которые в продвижении нужно не создавать, а активизировать. Стратегия Face2 не должна строиться ни как догоняющий марш к Сберу, ни как верификационное состязание с VisionLabs — обе траектории требуют ресурсов, которых у банка нет в нужных объёмах. Содержательная задача — конвертация уже накопленного институционального и инфраструктурного капитала в массовое сообщение и в массовый канал при сохранении сильной B2B-составляющей и без размывания регуляторного позиционирования. На этой рамке строится глава 3: 3.1 переводит повестку в цели и задачи стратегии и обновляет позиционирование, 3.2 разрабатывает комплекс маркетинговых мероприятий и дорожную карту, 3.3 проверяет стратегию через KPI, экономический эффект, оценку рисков и план внедрения.</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ВЫВОД ПО ГЛАВЕ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Глава 2 описала Ак Барс Банк как разработчика Face2 — крупный региональный банк с активами 1,16 трлн рублей, рейтингами «A» по национальной шкале и собственной биометрической вертикалью с аккредитацией Минцифры по правилам КБС, сертификацией ФСБ и ФСТЭК, внутренней инсталляцией на 5 000+ сотрудников и пилотами с Минцифры, Минтрансом и НСПК [25, с. 1–3; 27; 28, с. 30–31]. Российский рынок биометрии прошёл точку массовой коммерциализации — 145,9 млн платежей и 112,5 млрд рублей оборота за девять месяцев 2025 года, свыше 10 млн пользователей ЕБС — и работает в жёсткой регуляторной рамке 572-ФЗ, ограничивающей круг операторов аккредитованными игроками [33; 38; 43]. Балльная экспертная оценка под целевой сегмент B2B и B2G со сценариями работы с физическими лицами через ЕБС вывела Face2 на разделённую вторую позицию (4,10) после Сбера (4,25), а собственный конкурентный сегмент банка — пересечение банковской экосистемы, права работы с биометрией физических лиц через ЕБС и продуктовой линейки под платежи, проход и подтверждение возраста — у ключевых конкурентов отсутствует [27; 32; 36; 37; 39]. Анализ текущего продвижения через STP, 7P, маркетинговую воронку с этапом «Доверие» и карту каналов выявил структурную асимметрию: push-каналы развиты сильно, pull-каналы фрагментарны, что собирается в восемь связанных пробелов — канальный, контентный, сегментный, доказательный, People, конверсионный, лояльностный и географический [27; 28, с. 28–33; 36; 40]. Эта расстановка задаёт управленческую повестку для главы 3 — спроектировать стратегию продвижения, опирающуюся на сильные стороны Face2 (регуляторный капитал, банковская экосистема, стаж в ЕБС с 2018 года) и закрывающую выявленные пробелы по трём направлениям: расширение охвата, усиление аргументации и достройка инфраструктуры воронки.</w:t>
      </w:r>
    </w:p>
    <w:p>
      <w:pPr>
        <w:spacing w:before="0" w:after="0" w:line="240" w:lineRule="auto"/>
        <w:jc w:val="both"/>
        <w:rPr>
          <w:rFonts w:ascii="Times New Roman" w:hAnsi="Times New Roman" w:cs="Times New Roman" w:eastAsia="Times New Roman"/>
          <w:sz w:val="28"/>
          <w:szCs w:val="28"/>
          <w:lang w:val="ru-RU"/>
        </w:rPr>
      </w:pPr>
    </w:p>
    <w:sectPr>
      <w:pgSz w:w="11906" w:h="16838"/>
      <w:pgMar w:top="1134" w:right="567" w:bottom="1134" w:left="1701" w:header="720" w:footer="720" w:gutter="0"/>
      <w:cols w:space="708"/>
      <w:docGrid w:linePitch="360"/>
    </w:sectPr>
  </w:body>
</w:document>
</file>

<file path=word/fontTable.xml><?xml version="1.0" encoding="utf-8"?>
<w:fonts xmlns:w="http://schemas.openxmlformats.org/wordprocessingml/2006/main">
  <w:font w:name="Times New Roman">
    <w:panose1 w:val="02020603050405020304"/>
    <w:charset w:val="CC"/>
    <w:family w:val="roman"/>
    <w:pitch w:val="variable"/>
  </w:font>
  <w:font w:name="Courier New">
    <w:panose1 w:val="02070309020205020404"/>
    <w:charset w:val="CC"/>
    <w:family w:val="modern"/>
    <w:pitch w:val="fixed"/>
  </w:font>
</w:fonts>
</file>

<file path=word/numbering.xml><?xml version="1.0" encoding="utf-8"?>
<w:numbering xmlns:w="http://schemas.openxmlformats.org/wordprocessingml/2006/main"/>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
  <w:themeFontLang w:val="ru-RU"/>
</w:settings>
</file>

<file path=word/styles.xml><?xml version="1.0" encoding="utf-8"?>
<w:styles xmlns:w="http://schemas.openxmlformats.org/wordprocessingml/2006/main">
  <w:docDefaults>
    <w:rPrDefault>
      <w:rPr>
        <w:rFonts w:ascii="Times New Roman" w:hAnsi="Times New Roman" w:cs="Times New Roman" w:eastAsia="Times New Roman"/>
        <w:sz w:val="28"/>
        <w:szCs w:val="28"/>
        <w:lang w:val="ru-RU" w:eastAsia="ru-RU" w:bidi="ar-SA"/>
      </w:rPr>
    </w:rPrDefault>
    <w:pPrDefault>
      <w:pPr>
        <w:spacing w:before="0" w:after="0" w:line="360"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VKR-md2docx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ВКР ГОТОВОЕ</dc:title>
  <dc:creator>Автор</dc:creator>
  <cp:lastModifiedBy>Автор</cp:lastModifiedBy>
</cp:coreProperties>
</file>