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w:t>
      </w:r>
      <w:r>
        <w:rPr>
          <w:rFonts w:ascii="Courier New" w:hAnsi="Courier New" w:cs="Courier New" w:eastAsia="Courier New"/>
          <w:color w:val="000000"/>
          <w:sz w:val="28"/>
          <w:szCs w:val="28"/>
          <w:lang w:val="ru-RU"/>
        </w:rPr>
        <w:t xml:space="preserve">источники/sources_VKR.md</w:t>
      </w:r>
      <w:r>
        <w:rPr>
          <w:rFonts w:ascii="Times New Roman" w:hAnsi="Times New Roman" w:cs="Times New Roman" w:eastAsia="Times New Roman"/>
          <w:color w:val="000000"/>
          <w:sz w:val="28"/>
          <w:szCs w:val="28"/>
          <w:lang w:val="ru-RU"/>
        </w:rPr>
        <w:t xml:space="preserve">.</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инновационного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Обоснование стратегии продвижения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предложенной стратегии продвижения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240" w:lineRule="auto"/>
        <w:jc w:val="both"/>
        <w:rPr>
          <w:rFonts w:ascii="Times New Roman" w:hAnsi="Times New Roman" w:cs="Times New Roman" w:eastAsia="Times New Roman"/>
          <w:sz w:val="28"/>
          <w:szCs w:val="28"/>
          <w:lang w:val="ru-RU"/>
        </w:rPr>
      </w:pP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раскрыть сущность инновационных продуктов и систематизировать маркетинговые стратегии их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выявить специфику продвижения биометрических технологий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дать организационно-экономическую характеристику ПАО «Ак Барс Банк»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проанализировать российский рынок биометрии, конкурентную среду и определить позицию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оценить текущее состояние продвижения продукта и выявить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выпускной квалификационной работы определяется логикой решения поставленных задач и включает введение, три главы, заключение и список использованных источников. В первой главе раскрываются теоретические основы стратегического продвижения инновационных продуктов. Во второй главе проводится анализ деятельности ПАО «Ак Барс Банк», российского рынка биометрии и текущего продвижения продукта Face2. В третьей главе разрабатывается стратегия продвижения Face2 и оценивается её эффективность.</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[15,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[17, с. 48]. Российская школа продолжает эту линию, увязывая инновационную активность с конкурентоспособностью предприятия и национальной экономики [22, с. 14; 24,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[15,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[6, с. 51; 20, с. 9]. Эти признаки обобщены на рисунке 1.1.1.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Признаки инновационного продукта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Новизна  Технологич-   Ценность для   Конкуренто-     Повышенный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ность         потребителя    способность     уровень риска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132; 17,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[15, с. 165–169; 24,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492"/>
        <w:gridCol w:w="4985"/>
      </w:tblGrid>
      <w:tr>
        <w:trPr>
          <w:tblHeader/>
          <w:cantSplit/>
        </w:trPr>
        <w:tc>
          <w:tcPr>
            <w:tcW w:w="21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классификации</w:t>
            </w:r>
          </w:p>
        </w:tc>
        <w:tc>
          <w:tcPr>
            <w:tcW w:w="24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 инновации</w:t>
            </w:r>
          </w:p>
        </w:tc>
        <w:tc>
          <w:tcPr>
            <w:tcW w:w="49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нового или существенно улучшенного товара или услуги</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способов производства, обслуживания или взаимодействия с потребителем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Использование новых методов продвижения, позиционирования или взаимодействия с рынком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и организационных процессов</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принципиально нового продукта или способа потребления</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продуктов, технологий или процессов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165–169; 24,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[3, с. 29; 8,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[15, с. 178; 23,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[6,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6"/>
        <w:gridCol w:w="3960"/>
        <w:gridCol w:w="3960"/>
      </w:tblGrid>
      <w:tr>
        <w:trPr>
          <w:tblHeader/>
          <w:cantSplit/>
        </w:trPr>
        <w:tc>
          <w:tcPr>
            <w:tcW w:w="17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недостаточная зрелость технологии, проблемы интеграции с существующей инфраструктурой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тестирование, поэтапное масштабирование</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аудитории, недоверие к новой технологии, отсутствие сформированного спроса</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демонстрации, работа с ранними последователями</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разработки, длительный срок окупаемости, сложность прогнозирования возврата инвестиций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KPI-контроль, гибкая ценовая стратегия</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формирование устойчивых предубеждений к продукту</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Управление качеством, мониторинг отзывов, оперативное реагирование на инциденты</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нормативно-правовой базы, требования регуляторов к работе с данными, лицензирование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аудит соответствия, соблюдение требований регулятора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178; 22, с. 78; 23,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[22,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[24,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доля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аудитории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Новаторы Ранние   Раннее   Позднее  Консерваторы</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2,5%     последо- большин- большин- 16%</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ватели   ство     ство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13,5%    34%      34%</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[10, с. 6; 23,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[15, с. 201; 24,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Объём</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продаж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┌────┤Зрелость├────┐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Рост                   │ Спад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Внедрение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Разработка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201; 24,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[15,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[12,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[4, с. 38; 7, с. 91; 8,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[3,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[7,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[7,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[4, с. 41; 9,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[4, с. 47; 8, с. 108; 9,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[10, с. 4; 23,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[6,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[24,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23, с. 5]. В учебных материалах по экономике инноваций отмечается, что при продвижении инноваций компании могут сталкиваться с рядом проблем [15,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[11, с. 67; 19,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[11,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[10, с. 5; 19,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4"/>
        <w:gridCol w:w="6023"/>
      </w:tblGrid>
      <w:tr>
        <w:trPr>
          <w:tblHeader/>
          <w:cantSplit/>
        </w:trPr>
        <w:tc>
          <w:tcPr>
            <w:tcW w:w="36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разработки стратегии</w:t>
            </w:r>
          </w:p>
        </w:tc>
        <w:tc>
          <w:tcPr>
            <w:tcW w:w="60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Изучение ёмкости рынка, тенденций, конкурентов и потребностей клиентов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целевой аудитории</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сегментов, для которых продукт представляет наибольшую ценность</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ценностного предложения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Объяснение, какую проблему решает продукт и чем он отличается от альтернатив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каналов продвижения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наиболее эффективных коммуникационных каналов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рекламных сообщений и креативов на целевой аудитории</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продвижения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5;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[17,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[17, с. 567; 19,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[10, с. 7; 23,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инновационного продукта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проталкивания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партнёров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внедрять продукт через существующие каналы взаимодействия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вытягивания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спроса у конечных потребителей</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Повышает осведомлённость и интерес к продукту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pull-подходов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инновационных продуктов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совместные проекты с другими организациями</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и повышает доверие к продукту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7; 17, с. 567; 19, с. 198;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[4, с. 48; 8,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[12, с. 87; 17,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[17, с. 314; 19,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Segmentation   │ ──▶│    Targeting    │ ──▶│  Positioning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Сегментация    │    │  Выбор целевых  │    │ Позиционирование│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рынка по       │    │  сегментов по   │    │ продукта в созна-│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потребностям   │    │  привлекатель-  │    │ нии целевой ауди-│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поведению    │    │  ности и доступ-│    │ тории относитель-│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ности          │    │ но конкурентов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314; 19,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[11,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[17,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[19,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[17,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[14, с. 42; 19,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[4, с. 49; 8,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[17, с. 354; 19,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[12,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2"/>
        <w:gridCol w:w="3475"/>
        <w:gridCol w:w="4740"/>
      </w:tblGrid>
      <w:tr>
        <w:trPr>
          <w:tblHeader/>
          <w:cantSplit/>
        </w:trPr>
        <w:tc>
          <w:tcPr>
            <w:tcW w:w="14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34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продвижения инновационного продукта</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функции и ценность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показать, какую проблему решает продукт и чем он отличается от существующих решений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 или внедрения</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Влияет на готовность потребителя попробовать продукт и оценить его выгоду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распространения и доступность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через какие каналы продукт становится доступен целевой аудитории</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продвижения и коммуникации</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интерес и доверие к новому продукту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Влияют на качество объяснения продукта и сопровождение пользователей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удобство, простоту и скорость взаимодействия пользователя с продуктом</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 и качества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Помогают снизить недоверие к инновации через отзывы, кейсы, сертификаты, демонстрации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354; 19,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[4, с. 50; 8,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[17, с. 472; 18,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[10,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[17,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[12, с. 64; 13,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23,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5"/>
        <w:gridCol w:w="3442"/>
        <w:gridCol w:w="4130"/>
      </w:tblGrid>
      <w:tr>
        <w:trPr>
          <w:tblHeader/>
          <w:cantSplit/>
        </w:trPr>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4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 продвижения</w:t>
            </w:r>
          </w:p>
        </w:tc>
        <w:tc>
          <w:tcPr>
            <w:tcW w:w="41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Возможные инструменты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существовании продукта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социальные сети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демонстрации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Экспертные комментарии, информация о безопасности, ответы на вопросы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 продукт</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демо-доступ, обучение</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пользовательский опыт</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положительное отношение и рекомендации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64; 13,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[12, с. 78; 13,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[12, с. 102; 13,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[12, с. 134; 13,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976"/>
        <w:gridCol w:w="4252"/>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продвижения</w:t>
            </w:r>
          </w:p>
        </w:tc>
        <w:tc>
          <w:tcPr>
            <w:tcW w:w="29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использования</w:t>
            </w:r>
          </w:p>
        </w:tc>
        <w:tc>
          <w:tcPr>
            <w:tcW w:w="42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применения для инновационного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Официальный сайт организации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Размещение основной информации о продукте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представить описание продукта, преимущества, условия использования и ответы на частые вопросы</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доверия и экспертного имиджа</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Помогает объяснить значимость инновации и повысить узнаваемость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простым языком объяснить преимущества продукта и работать с возражениями пользователей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продукта в действии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потенциальным пользователям увидеть работу продукта и снизить недоверие к новой технологии</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и информирование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Включает статьи, инструкции, обзоры, видеоматериалы, которые помогают снизить неопределённость</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продукта в ограниченном масштабе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собрать обратную связь и подтвердить практическую ценность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через другие организации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продвижения сложных технологических решений на B2B-рынке</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Выход на профессиональную аудиторию</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Подходят для продвижения инноваций среди компаний, экспертов и потенциальных партнёров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102–135; 13,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[24, с. 161; 14,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23,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[10,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[17, с. 392; 19,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[17,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[8,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[10, с. 9; 23,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[4,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[11, с. 198; 17,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[11,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[12, с. 156; 17,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[13,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2"/>
        <w:gridCol w:w="6425"/>
      </w:tblGrid>
      <w:tr>
        <w:trPr>
          <w:tblHeader/>
          <w:cantSplit/>
        </w:trPr>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64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 эффективности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осведомлённости</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аудитории, посещаемость сайта, количество упоминаний в СМИ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интереса</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заявок, просмотров презентаций, обращений за информацией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положительных отзывов, снижение отказов, результаты опросов</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регистраций, подключений пилотных внедрений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 активность пользователей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эффективность</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привлечения клиента, ROI, LTV, срок окупаемости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эффект</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Индекс удовлетворённости,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198–202; 12, с. 156; 17,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[4, с. 53; 8,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[10, с. 10; 20, с. 13; 23,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[3, с. 29; 8,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[4, с. 38; 8, с. 104; 9,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[7,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[7, с. 95; 27]. Сферы применения биометрии в банке и за его пределами показаны на рисунке 1.3.1.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Области применения биометрии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Транспорт       Ритейл       Госуслуги     СКУД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 МФЦ      (доступ)</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Образование Здравоохранение Гостиницы   Промышленные  Спортивные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предприятия   объекты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 с. 31; 4, с. 39; 8,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[4, с. 43; 9,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продвижения (из 1.2)</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Конкретная форма для биометрии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биометрии, опасения злоупотреблений, ощущение невозможности «отозвать» сданный образец</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объяснение архитектуры ГИС ЕБС, прозрачная политика обработки данных</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работы, мифы о «слежке», непрозрачность сценария использования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контент-маркетинг; элемент People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разъяснения от экспертов банка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и документам; инерция потребительского поведения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стратегия; стратегия работы с ранними последователями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в отделениях, пилоты на лояльной аудитории (сотрудники, корпоративные клиенты), геймификация регистрации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внедрения, длительный срок окупаемости, сложность интеграции с существующей СКУД и ИТ-инфраструктурой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Расчёт ROI и LTV; партнёрская стратегия; пилотные проекты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с количественным эффектом, пилотные внедрения с минимальной инфраструктурой, партнёрства с интеграторами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Риск штрафов и уголовной ответственности при неправомерном обращении с биометрией; репутационный ущерб от инцидентов</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Демонстрация статуса аккредитованного оператора КБС, публикация ESG-отчётности,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41–47; 8, с. 106–110; 9, с. 113–119; 17, с. 354; 23,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 в продвижении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вообще выводить продукт на рынок и легально использовать его в коммуникации как «безопасный и законный»</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аудитории к маркетинговым сообщениям; реалистичность сроков перехода от интереса к принятию</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Реальное соответствие продукта обещаниям маркетинга; возможность работы со статистикой точности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продаж в B2B и B2G; возможность строить продвижение на ROI, а не только на эмоциях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45; 7, с. 93; 8,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[4, с. 48; 8,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[11, с. 124; 17,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[4, с. 50; 8,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[12, с. 64; 20, с. 11; 23,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[12, с. 102–135; 24,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[10, с. 8; 12, с. 124; 23,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[4,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[26, с. 6–7]. Основной регион присутствия — Республика Татарстан: на конец 2024 года доля местных поставщиков в бюджете закупок составила не менее 60% [28,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1–3; 26,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[25]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[25, с. 66, 68; 26,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[28,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[28,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[28,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[28, с. 30–31]. Кредитные и ESG-рейтинги банка — уровня «A»/«BBB» по национальной шкале всех трёх профильных агентств (АКРА, «Эксперт РА», НКР) и Банка России [28,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упрощённая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Клиент  │ ───биометрия───▶│  ГИС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(Минцифры РФ)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согласие                       │ вектор</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КБС АББ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КБС Ак Барс Банк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(Face2)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Face2Pay                     Face2Pass                Face2Check-in</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(оплата по лицу)            (контроль доступа)        (подтверждение возраста)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[47; 48].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48].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47, разд. «Требования к окружению», «Системные требования», «Варианты развертывания»; 48,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[28,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[28,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[26,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[34] через перевод ЕБС в статус государственной информационной системы в конце 2021 года под управлением АО «Центр биометрических технологий» [38; 42]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[33].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[38]. К началу 2026 года в Единой биометрической системе зарегистрировались более 10 млн пользователей [38].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[43].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[34;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[32].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[34; 38].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34;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[33].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[44; 45; 46].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[36].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33; 34;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[35, с. 3, 6; 38;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[4, с. 41; 9, с. 112; 38;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32; 37;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публично не зафиксирована независимая верификация точности (NIST FRTE) и не заявлено отдельное решение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[28, с. 17, 33; 38].</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33; 34; 36].</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 9, с. 112; 27; 28, с. 17, 33; 32; 33; 34; 35, с. 3, 6; 36; 37; 38;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и пять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[37; 38].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[39].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[34; 38].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33; 36; 44; 45; 46].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[34; 42]. Тарифы и регламент работы с ЕБС задаются 572-ФЗ [33].</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39; 42].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[43].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[38; 43].</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[32; 37; 39]. Девятикратный рост платежей и пятикратный рост оборота снижают остроту ценовой конкуренции [38].</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27; 28, с. 17, 30–31, 33;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33; 36].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[38; 43].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[32; 37; 38; 39].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[36]</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отдельное решение не зафиксировано</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[28,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[40]; (4) банковская экосистема (934 тыс. розничных и 33,9 тыс. корпоративных клиентов, 930 тыс. в АБО, 450 тыс. Карт жителя РТ, рейтинги «A» и подтверждённый ESG-статус) [28,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[37];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[39];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[32; 37; 39].</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 с. 39; 9,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 с. 39; 9, с. 112;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[32].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28, с. 17, 33; 36].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[33; 27; 36];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28, с. 4, 17, 30–31, 33; 36].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38].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[28], проектная карточка TAdviser о подключении АББ к ЕБС в 2018 году [40], перечень банков по № 115-ФЗ [36] и рыночный фон по данным Банка России и деловой прессы [32; 38].</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017"/>
        <w:gridCol w:w="3362"/>
        <w:gridCol w:w="1793"/>
      </w:tblGrid>
      <w:tr>
        <w:trPr>
          <w:tblHeader/>
          <w:cantSplit/>
        </w:trPr>
        <w:tc>
          <w:tcPr>
            <w:tcW w:w="24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табл. 2.2.2)</w:t>
            </w:r>
          </w:p>
        </w:tc>
        <w:tc>
          <w:tcPr>
            <w:tcW w:w="20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линейки</w:t>
            </w:r>
          </w:p>
        </w:tc>
        <w:tc>
          <w:tcPr>
            <w:tcW w:w="33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коммуникативная активность Face2</w:t>
            </w:r>
          </w:p>
        </w:tc>
        <w:tc>
          <w:tcPr>
            <w:tcW w:w="17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[28,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[28,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[28, с. 4; 36].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[40],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[38]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[32]. Несоответствие между фазой рынка и исходной маркетинговой гипотезой банка — фундаментальная характеристика текущего продвижения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409"/>
        <w:gridCol w:w="2409"/>
        <w:gridCol w:w="2409"/>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табл. 1.2.5</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 у Face2</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Формы заявки, ROI-калькулятора и витрины кейсов в открытых данных не зафиксировано</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[40]</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в открытых источниках не зафиксирована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Публичная программа выступлений по Face2 в открытых данных не зафиксирована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[37], OVISION публикует кейсы РЖД, Мосэнергосбыта, Правительства Тульской области [39]</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[37; 39])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[28, с. 33], систематических активностей под брендом Face2 публично не зафиксировано, тогда как у VisionLabs ведётся корпоративный блог на Habr [37], OVISION публикует кейсы внедрений [39], а Сбер транслирует свою биометрию в массовых СМИ как «оплата улыбкой»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6"/>
        <w:gridCol w:w="2920"/>
        <w:gridCol w:w="2920"/>
        <w:gridCol w:w="2920"/>
      </w:tblGrid>
      <w:tr>
        <w:trPr>
          <w:tblHeader/>
          <w:cantSplit/>
        </w:trPr>
        <w:tc>
          <w:tcPr>
            <w:tcW w:w="8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 у Face2</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[32; 37; 39]</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[40]</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публично не зафиксирована независимая международная верификация точности (NIST FRTE, iBeta, CVPR), которой пользуется VisionLabs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[36], шестилетний стаж в ЕБС с 10 июля 2018 года [40])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b/>
          <w:bCs/>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b/>
          <w:bCs/>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[37]. </w:t>
      </w:r>
      <w:r>
        <w:rPr>
          <w:rFonts w:ascii="Times New Roman" w:hAnsi="Times New Roman" w:cs="Times New Roman" w:eastAsia="Times New Roman"/>
          <w:b/>
          <w:bCs/>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b/>
          <w:bCs/>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[32; 37; 39];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Этап воронки                Эталонная воронка биометрии (1.3)        Воронка Face2 (факт)</w:t>
      </w:r>
    </w:p>
    <w:p>
      <w:pPr>
        <w:spacing w:before="0" w:after="0" w:line="240" w:lineRule="auto"/>
        <w:jc w:val="both"/>
        <w:rPr>
          <w:rFonts w:ascii="Times New Roman" w:hAnsi="Times New Roman" w:cs="Times New Roman" w:eastAsia="Times New Roman"/>
          <w:sz w:val="28"/>
          <w:szCs w:val="28"/>
          <w:lang w:val="ru-RU"/>
        </w:rPr>
      </w:pP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Осведомлённость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Интерес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Доверие (ядро)              ████████████████████████                  ████████████████████████ (содержательно)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(массовый охват)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Пробное использование       ████████████████                          ████████████████ (РТ + B2B)</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(вне РТ)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Принятие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Лояльность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36]</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[28,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[28,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[28,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[40]</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[28,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[32]</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[37]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38]) работают в пользу банка, а угрозы распределены по трём осям — масштабу (Сбер [32]), технологической верификации (VisionLabs [37]) и полному циклу СКУД (OVISION [39]).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48"/>
        <w:gridCol w:w="3747"/>
        <w:gridCol w:w="1748"/>
        <w:gridCol w:w="17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7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пробелов</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 независимая международная верификация точности (NIST FRTE, iBeta, CVPR)</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[25, с. 1–3; 27; 28,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[33; 38; 43].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32; 36; 37; 39].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28, с. 28–33; 36; 40].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[17, с. 314; 19, с. 175], расширенный комплекс маркетинга 7P для биометрии с особым весом элементов People, Process и Physical evidence [4, с. 48; 8, с. 106], маркетинговая воронка с обязательным этапом «Доверие» между интересом и пробным использованием [12, с. 64; 20, с. 11; 23, с. 6], рамка push/pull-стратегий и интегрированный подход [4, с. 48; 8, с. 106], а также теория диффузии инноваций Э. Роджерса [24,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28, с. 28–33; 47; 48].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[24,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28; 32; 36; 37; 39].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3.1.1. Проблемы продвижения, выявленные по результатам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[4, с. 43–48; 8, с. 100–110; 9,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47; 48].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47; 48].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[36], стаж в ЕБС с 2018 года [40]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[37; 39]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719"/>
        <w:gridCol w:w="3137"/>
        <w:gridCol w:w="3137"/>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7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 / кластер пробелов (по табл. 2.3.6)</w:t>
            </w:r>
          </w:p>
        </w:tc>
        <w:tc>
          <w:tcPr>
            <w:tcW w:w="31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1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продвижение</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охвата (канальный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Недостаточная узнаваемость на федеральном уровне; pull-каналы фрагментарны</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количество входящих обращений и доверие новых клиентов</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охвата (сегментный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гостиничному сегменту и возрастной верификации в ритейле нет публичных кейсов при заявленной продуктовой линейке</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продукты не подтверждены коммуникативно; сегментный охват уже продуктового</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охвата (географический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Республике Татарстан; банковская экосистема и Карта жителя РТ как ресурсы распространения вне региона задействованы слабо</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активность отражает географию операций, а не потенциал рынка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аргументации (контентный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ФСБ, ФСТЭК, реестр отечественного ПО, стаж в ЕБС с 2018 г.) подаётся языком специалистов и не переведён в массовое сообщение «доверие»</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воронки недогружен по охвату</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аргументации (доказательный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 независимая международная верификация точности (NIST FRTE, iBeta, CVPR); недостаточно отраслевых кейсов с расчётом экономического эффекта</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принятие решений B2B-клиентами и снижает конкурентоспособность относительно VisionLabs и OVISION</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аргументации (пробел People)</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Ограничивает экспертное позиционирование и работу с B2B/B2G-аудиторией</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инфраструктуры воронки (конверсионный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пробное использование</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инфраструктуры воронки (лояльностный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этап «Лояльность» воронки;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32; 36; 37; 39; 40]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3.1.2. Цель и задачи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71"/>
        <w:gridCol w:w="4072"/>
        <w:gridCol w:w="3393"/>
      </w:tblGrid>
      <w:tr>
        <w:trPr>
          <w:tblHeader/>
          <w:cantSplit/>
        </w:trPr>
        <w:tc>
          <w:tcPr>
            <w:tcW w:w="217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0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3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кластер пробелов / подраздел реализации</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сформировать доверие со стороны B2B-, B2G- и B2C-аудиторий; на горизонте 2026–2028 гг. увеличить число подтверждённых внешних внедрений не менее чем в три раза к базе 2025 г. и довести долю pull-канала до уровня, сопоставимого с push</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параграфы 3.2 и 3.3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регуляторный капитал в массовое сообщение «доверие» и усилить экспертное позиционирование</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Разработать отраслевые офферы под шесть приоритетных сегментов с учётом двух уровней продаж и расширить присутствие в цифровых и PR-каналах</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Увеличить количество входящих заявок, пилотных проектов и коммерческих внедрений по обоим уровням продаж</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воронки / 3.2.1, 3.2.3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биометрическую платформу с банковской экспертизой</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Ввести KPI продвижения, систему регулярной оценки эффективности мероприятий и программу референсной работы</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 / 3.2.5, 3.3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публичную базу отраслевых кейсов с расчётом экономического эффекта и линейку спикеров (CISO, юрист по 572-ФЗ, продакт-менеджер)</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Развернуть на face2.ru CTA-механику (заявка на пилот, демо-доступ, ROI-калькулятор) и автоматическую воронку</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[10, с. 5;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3.1.3. Приоритетные целевые сегменты в разрезе двухуровневой модели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[17, с. 314; 19,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32;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47; 48].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48].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[24,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5"/>
        <w:gridCol w:w="2241"/>
        <w:gridCol w:w="2091"/>
        <w:gridCol w:w="1867"/>
        <w:gridCol w:w="2241"/>
      </w:tblGrid>
      <w:tr>
        <w:trPr>
          <w:tblHeader/>
          <w:cantSplit/>
        </w:trPr>
        <w:tc>
          <w:tcPr>
            <w:tcW w:w="11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сегмент</w:t>
            </w:r>
          </w:p>
        </w:tc>
        <w:tc>
          <w:tcPr>
            <w:tcW w:w="22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(по табл. 2.1.4)</w:t>
            </w:r>
          </w:p>
        </w:tc>
        <w:tc>
          <w:tcPr>
            <w:tcW w:w="20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Подходящий продукт Face2</w:t>
            </w:r>
          </w:p>
        </w:tc>
        <w:tc>
          <w:tcPr>
            <w:tcW w:w="186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потребитель</w:t>
            </w:r>
          </w:p>
        </w:tc>
        <w:tc>
          <w:tcPr>
            <w:tcW w:w="22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Отраслевое ценностное предложение</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аккредитованному оператору)</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Кредитные организации — операторы биометрии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снижение рисков мошенничества, KYC по ЕБС, банковская экспертиза партнёра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Уровень 2 (через банк-партнёра)</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Микрофинансовые организации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сервис дистанционной идентификации заёмщиков на базе инфраструктуры аккредитованного банка; снижение операционных и регуляторных рисков</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 КБС Ак Барс Банка)</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 точки продаж</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снижение очередей, автоматизация продажи товаров с возрастными ограничениями, новый клиентский опыт</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вендинговых сетей</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оплаты и продаж товаров с возрастными ограничениями без участия продавца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и отдельные средства размещения</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регистрации, заселение без предъявления паспорта, повышение клиентского опыта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биометрический СКУД</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Образовательные организации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в кампус, учёт посещаемости, снижение рисков передачи пропусков</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биометрический СКУД, доступ к ПК по биометрии</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и режимные предприятия</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рабочего времени, снижение рисков передачи пропусков, защита периметра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учреждения и МФЦ</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государственной структуре с правом регистрации в ЕБС) / Уровень 2 (отдельные точки обслуживания)</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органы, многофункциональные центры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процессов идентификации граждан, повышение доступности услуг, соответствие требованиям регулирования</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пригородные перевозчики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снижение очередей, биоэквайринг по модели Казанского метрополитена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арены, концертные площадки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управление потоками посетителей, контроль прохода без передачи билетов и пропусков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32; 36; 39; 47; 48],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3.1.4. Позиционирование Face2 на рынке биометрических решений и формулировка ценностного предложения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[36], стаж в ЕБС с 10 июля 2018 года [40]),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сильных сторон Face2, зафиксированных балльной оценкой в таблице 2.2.6 параграфа 2.2 (преимущества по регуляторно-правовому капиталу,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[27; 47; 48]),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33; 34; 42; 47].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[4, с. 43–48; 8, с. 100–110; 9, с. 112–115; 33; 34].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47; 48];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28,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33; 36;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41"/>
        <w:gridCol w:w="4015"/>
        <w:gridCol w:w="3480"/>
      </w:tblGrid>
      <w:tr>
        <w:trPr>
          <w:tblHeader/>
          <w:cantSplit/>
        </w:trPr>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0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требованиям регулирования биометрии (572-ФЗ, аккредитация Минцифры, ЕБС, КБС)</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Защита биометрических данных, криптозащита, сертификация ФСБ и ФСТЭК, защищённая инфраструктура</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доверия к продукту</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подтверждение возраста, доступ к ПК, SDK</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закрыть несколько задач одним поставщиком</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Ак Барс Банком и внутренний кейс внедрения (5 тыс. сотрудников, около 200 биотерминалов)</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надёжности и доверия</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программное обеспечение и терминалы, реестр Минцифры</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курсу на импортозамещение</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процессов, контроль доступа, снижение рисков</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и организационная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43–48; 8, с. 100–110; 9, с. 112–115; 27; 28, с. 33; 33; 34; 36; 40; 42; 47; 48].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3.1.5. Обоснование выбранного типа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38; 40])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[10, с. 5; 17, с. 412; 19, с. 156]. Каждое мероприятие имеет адресный пробел из таблицы 2.3.6, который оно закрывает, и адресную задачу из таблицы 3.1.2, которую оно решает.</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3.2.1. Стратегические направления продвижения по сегментам и уровням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47; 48].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[24,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583"/>
        <w:gridCol w:w="2065"/>
        <w:gridCol w:w="963"/>
        <w:gridCol w:w="1239"/>
        <w:gridCol w:w="2065"/>
        <w:gridCol w:w="826"/>
      </w:tblGrid>
      <w:tr>
        <w:trPr>
          <w:tblHeader/>
          <w:cantSplit/>
        </w:trPr>
        <w:tc>
          <w:tcPr>
            <w:tcW w:w="8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58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9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 сделки</w:t>
            </w:r>
          </w:p>
        </w:tc>
        <w:tc>
          <w:tcPr>
            <w:tcW w:w="123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коммуникации</w:t>
            </w:r>
          </w:p>
        </w:tc>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 в воронку</w:t>
            </w:r>
          </w:p>
        </w:tc>
        <w:tc>
          <w:tcPr>
            <w:tcW w:w="82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Закрываемые задачи 3.1.2</w:t>
            </w:r>
          </w:p>
        </w:tc>
      </w:tr>
      <w:tr>
        <w:trPr>
          <w:cantSplit/>
        </w:trPr>
        <w:tc>
          <w:tcPr>
            <w:tcW w:w="8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5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федерального и регионального уровня, крупные корпорации</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Персональные продажи, отраслевые конференции, экспертные публикации, демо-зона АББ</w:t>
            </w:r>
          </w:p>
        </w:tc>
        <w:tc>
          <w:tcPr>
            <w:tcW w:w="8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8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5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 Face2Pass, Face2Check-in)</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спортивные объекты</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партнёрские маркетплейсы, CTA-механика на face2.ru</w:t>
            </w:r>
          </w:p>
        </w:tc>
        <w:tc>
          <w:tcPr>
            <w:tcW w:w="8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8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5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 Face2Check-in, Face2Pass</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 (секунды — минуты)</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приложение АБО, «Карта жителя РТ», массовые СМИ</w:t>
            </w:r>
          </w:p>
        </w:tc>
        <w:tc>
          <w:tcPr>
            <w:tcW w:w="8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 с. 567; 4, с. 48; 8, с. 106; 12, с. 87; 17, с. 567; 19, с. 198; 24,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3.2.2. Отраслевые офферы для целевых сегментов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[11, с. 124; 17,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09"/>
        <w:gridCol w:w="2080"/>
        <w:gridCol w:w="2010"/>
        <w:gridCol w:w="2080"/>
        <w:gridCol w:w="1525"/>
        <w:gridCol w:w="832"/>
      </w:tblGrid>
      <w:tr>
        <w:trPr>
          <w:tblHeader/>
          <w:cantSplit/>
        </w:trPr>
        <w:tc>
          <w:tcPr>
            <w:tcW w:w="1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0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01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20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Количественные аргументы</w:t>
            </w:r>
          </w:p>
        </w:tc>
        <w:tc>
          <w:tcPr>
            <w:tcW w:w="15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83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Закрываемые пробелы 2.3.6</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регионального банка с банковской экспертизой</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соответствие 572-ФЗ»</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Одна из 16 аккредитованных КБС в РФ; стаж в ЕБС с 2018 г.; 5 тыс. сотрудников и 200 биотерминалов; № 101 в перечне Банка России</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встреча + RFP + демо + ТЭО</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возрастная верификация без аккредитации заказчика</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чем картой и QR»</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среднего чека; 145,9 млн платежей в РФ за 9 мес. 2025 г.</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Партнёрство с Минцифры, Минтрансом, ЦБТ, НСПК; 145,9 млн платежей</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региональным оператором и Минтрансом</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массовые объекты</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и проход без паспорта по вектору ЕБС</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ГИС ЕБС на 31.12.2025; полезная база &gt; 50 млн; десятикратный рост за 2024–2025 гг.; сокращение времени заселения</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снижение операционных рисков</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граждан без документов</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регуляторный контур</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тиражирование</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[11, с. 124; 17, с. 318; 27; 28, с. 29, 33; 36; 38; 40; 42; 43; 47; 48],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3.2.3. Каналы продвижения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[12, с. 87; 13; 27; 28,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3.2.4. Контентная и PR-стратегия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[33; 34; 36; 37; 42; 44; 45; 46; 47; 48].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4"/>
        <w:gridCol w:w="2387"/>
        <w:gridCol w:w="1856"/>
        <w:gridCol w:w="1503"/>
        <w:gridCol w:w="1414"/>
        <w:gridCol w:w="1061"/>
      </w:tblGrid>
      <w:tr>
        <w:trPr>
          <w:tblHeader/>
          <w:cantSplit/>
        </w:trPr>
        <w:tc>
          <w:tcPr>
            <w:tcW w:w="14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3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Конкретное мероприятие</w:t>
            </w:r>
          </w:p>
        </w:tc>
        <w:tc>
          <w:tcPr>
            <w:tcW w:w="18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50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4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10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420-ФЗ, 421-ФЗ)</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публикации в месяц</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 в месяц</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Продакт-менеджер + амбассадор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публикация в квартал</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продакт-менеджер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 в квартал</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мере выхода обновлений</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Продакт-менеджер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Подача заявки в фазе 1, результат в фазе 2</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Подача заявки в фазе 1, результат в фазе 2</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 на конференциях</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в год</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[4, с. 43–48; 8, с. 100–110; 12, с. 87; 13; 33; 34; 36; 37; 38; 42; 44; 45; 46; 47; 48].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3.2.5. Этапы реализации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1"/>
        <w:gridCol w:w="811"/>
        <w:gridCol w:w="3043"/>
        <w:gridCol w:w="1217"/>
        <w:gridCol w:w="3043"/>
      </w:tblGrid>
      <w:tr>
        <w:trPr>
          <w:tblHeader/>
          <w:cantSplit/>
        </w:trPr>
        <w:tc>
          <w:tcPr>
            <w:tcW w:w="15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1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Закрываемые пробелы 2.3.6</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готово к выходу</w:t>
            </w:r>
          </w:p>
        </w:tc>
      </w:tr>
      <w:tr>
        <w:trPr>
          <w:cantSplit/>
        </w:trPr>
        <w:tc>
          <w:tcPr>
            <w:tcW w:w="15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1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линейка спикеров, заявки на NIST/iBeta, бренд в соцсетях, типовые КП</w:t>
            </w:r>
          </w:p>
        </w:tc>
        <w:tc>
          <w:tcPr>
            <w:tcW w:w="12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привлечения лидов и доказательная база в работе</w:t>
            </w:r>
          </w:p>
        </w:tc>
      </w:tr>
      <w:tr>
        <w:trPr>
          <w:cantSplit/>
        </w:trPr>
        <w:tc>
          <w:tcPr>
            <w:tcW w:w="15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1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трёх сегментах, экосистема как канал, размещения в СМИ</w:t>
            </w:r>
          </w:p>
        </w:tc>
        <w:tc>
          <w:tcPr>
            <w:tcW w:w="12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1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закрепление в B2G</w:t>
            </w:r>
          </w:p>
        </w:tc>
        <w:tc>
          <w:tcPr>
            <w:tcW w:w="12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[10, с. 5;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3.2.6. Бюджет мероприятий и ресурсное обеспечение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замыкает цепочку «диагноз — стратегия — проверка» и разворачивается в четыре подраздела: методика и система KPI (3.3.1), экономический эффект и ROI (3.3.2), матрица рисков (3.3.3), организационный план внедрения (3.3.4). Принципиальное методическое решение — сценарный подход к расчёту эффекта (Π/Р/О), обусловленный отсутствием публичных бенчмарков по конверсии в B2B-биометрии РФ и неопределённостью отклика рынка на pull-инструменты в первый год их применения [10, с. 5; 17, с. 412; 19, с. 156].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3.3.1. Методика оценки эффективности стратегии и система ключевых показателей результативности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[10, с. 5; 19,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28; 38; 42; 43] и на бенчмарки лидеров рынка [32; 37; 39]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[12, с. 64; 13, с. 64;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[12, с. 64; 13,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[28,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3.3.2. Оценка экономического эффекта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47];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[38; 43].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47]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47]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[12; 13]</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[38; 43]: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38; 42; 43; 47; 48];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[28,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[44; 45; 46].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3.3.3. Матрица рисков реализации стратегии и способы их снижения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[3,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4"/>
        <w:gridCol w:w="3109"/>
        <w:gridCol w:w="1139"/>
        <w:gridCol w:w="725"/>
        <w:gridCol w:w="3109"/>
      </w:tblGrid>
      <w:tr>
        <w:trPr>
          <w:tblHeader/>
          <w:cantSplit/>
        </w:trPr>
        <w:tc>
          <w:tcPr>
            <w:tcW w:w="155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риска</w:t>
            </w:r>
          </w:p>
        </w:tc>
        <w:tc>
          <w:tcPr>
            <w:tcW w:w="113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Вероятность</w:t>
            </w:r>
          </w:p>
        </w:tc>
        <w:tc>
          <w:tcPr>
            <w:tcW w:w="7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на сайт, контентную студию, брендинг)</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KPI-контроль по 3.3.1; перенос статей между фазами</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OPEX-расходов на контекстную рекламу и SMM</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по итогам мес. 3 и 6; A/B-тестирование креативов; перенос бюджета между статьями OPEX</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1,5 %)</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страниц; пересборка офферов 3.2.2; уточнение CTA-механики</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пилотных проектов фазы 2 у внешних клиентов</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Опора на внутренний кейс АББ (5 тыс. сотрудников, 200 биотерминалов) как референс; стандартизованные технические требования к пилотам [27; 47]</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объектов уровня 2</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подключений; sandbox-тестирование; готовая документация Face2 [47; 48]</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контентного конвейера и PR-сопровождения</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Планирование штата маркетинговой службы уже в фазе 1; альтернатива — внешнее агентство с фиксированным KPI</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Ускоренное расширение ПАО «Сбербанк» в B2G и в регионах за пределами Москвы и Санкт-Петербурга</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Опора на регуляторный капитал и партнёрства с Минцифры РФ, Минтрансом РФ и НСПК как защитное преимущество [28, с. 30–31; 32]</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 продуктовое расширение)</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Подача заявок на NIST FRTE и iBeta Level 2 в фазе 1; закрепление продуктового лидерства Face2 в сегменте КБС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[3, с. 117; 27; 32; 37; 47; 48].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3177"/>
        <w:gridCol w:w="1165"/>
        <w:gridCol w:w="741"/>
        <w:gridCol w:w="3177"/>
      </w:tblGrid>
      <w:tr>
        <w:trPr>
          <w:tblHeader/>
          <w:cantSplit/>
        </w:trPr>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риска</w:t>
            </w:r>
          </w:p>
        </w:tc>
        <w:tc>
          <w:tcPr>
            <w:tcW w:w="11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Вероятность</w:t>
            </w:r>
          </w:p>
        </w:tc>
        <w:tc>
          <w:tcPr>
            <w:tcW w:w="7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1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Банка России и Минцифры РФ ([44; 45; 46])</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координация с ЦБТ [42]; гибкая архитектура КБС, позволяющая адаптировать схему сбора и обработки векторов</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граждан на сдачу биометрии</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 или приостановление аккредитации одного из участников рынка</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Жёсткое соблюдение пятиуровневой регуляторной конструкции (КБС, ЕБС, ФСБ, ФСТЭК, реестр Минцифры); внутренний регуляторный аудит</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биометрических данных у любого оператора рынка (даже не у Ак Барс Банка)</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кризисного PR-плана; проактивная коммуникация о криптозащите векторов; явная демонстрация архитектуры безопасности в материалах 3.2.4</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медиа-кейс по теме «биометрия как инструмент слежки»</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регуляторный контент-конвейер 3.2.4; работа с лидерами мнений в IT-сообществе</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инфраструктуру ЕБС или КБС</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 резервирование; внешний аудит кибербезопасности</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 на фоне общественной дискуссии</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образовательная коммуникация в направлении В; партнёрства с экспертным сообществом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[3, с. 117; 4, с. 43–48; 8, с. 100–110; 9, с. 112–115; 33; 34; 36; 38; 42; 44; 45; 46].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3.3.4. Организационный план внедрения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[28,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spacing w:before="0" w:after="0" w:line="240" w:lineRule="auto"/>
        <w:jc w:val="both"/>
        <w:rPr>
          <w:rFonts w:ascii="Times New Roman" w:hAnsi="Times New Roman" w:cs="Times New Roman" w:eastAsia="Times New Roman"/>
          <w:sz w:val="28"/>
          <w:szCs w:val="28"/>
          <w:lang w:val="ru-RU"/>
        </w:rPr>
      </w:pP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