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раскрыть сущность инновационных продуктов и систематизировать маркетинговые стратегии их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выявить специфику продвижения биометрических технологий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дать организационно-экономическую характеристику ПАО «Ак Барс Банк»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проанализировать российский рынок биометрии, конкурентную среду и определить позицию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оценить текущее состояние продвижения продукта и выявить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[13,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[9, с. 48]. Российская школа продолжает эту линию, увязывая инновационную активность с конкурентоспособностью предприятия и национальной экономики [14, с. 14; 5,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[13,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[13, с. 132; 9,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[13, с. 165–169; 5,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[13, с. 165–169; 5,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[13,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[13, с. 178; 14,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[14,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[5,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[13, с. 201; 5,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[13, с. 201; 5,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[13,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[7,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[5,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[13,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[6, с. 67; 11,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[6,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11,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9, с. 412; 11,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[9,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[9, с. 567; 11,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9, с. 567; 11,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[7, с. 87; 9,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[9, с. 314; 11,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[9, с. 314; 11,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[6,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[9,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[11,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[9,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11,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[9, с. 354; 11,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[7,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[9, с. 354; 11,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[9, с. 472; 10,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[9,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[7, с. 64; 8,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[7, с. 64; 8,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[7, с. 78; 8,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[7, с. 102;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[7, с. 134; 8,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[7, с. 102–135; 8,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[5,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[9, с. 392; 11,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[9,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[6, с. 198; 9,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[6,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[7, с. 156; 9,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[8,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198–202; 7, с. 156; 9,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9,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[6, с. 124; 9,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[7,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[7, с. 102–135; 5,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7,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[33, с. 3, 6;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[16, с. 41; 25, с. 112;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публично не зафиксирована независимая верификация точности (NIST FRTE) и не заявлено отдельное решение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[26, с. 17, 33;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[12,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1; 35; 2; 3; 4].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35].</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[36; 37]. Тарифы и регламент работы с ЕБС задаются 572-ФЗ [1].</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41; 37].</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35].</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[34].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[32; 34].</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[38; 40; 41]. Девятикратный рост платежей и пятикратный рост оборота снижают остроту ценовой конкуренции [32].</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отдельное решение не зафиксировано</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[26,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[12,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[12,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017"/>
        <w:gridCol w:w="3362"/>
        <w:gridCol w:w="1793"/>
      </w:tblGrid>
      <w:tr>
        <w:trPr>
          <w:tblHeader/>
          <w:cantSplit/>
        </w:trPr>
        <w:tc>
          <w:tcPr>
            <w:tcW w:w="24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табл. 2.2.2)</w:t>
            </w:r>
          </w:p>
        </w:tc>
        <w:tc>
          <w:tcPr>
            <w:tcW w:w="20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линейки</w:t>
            </w:r>
          </w:p>
        </w:tc>
        <w:tc>
          <w:tcPr>
            <w:tcW w:w="33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коммуникативная активность Face2</w:t>
            </w:r>
          </w:p>
        </w:tc>
        <w:tc>
          <w:tcPr>
            <w:tcW w:w="17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409"/>
        <w:gridCol w:w="2409"/>
        <w:gridCol w:w="2409"/>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табл. 1.2.5</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Формы заявки, ROI-калькулятора и витрины кейсов в открытых данных не зафиксировано</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[39]</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в открытых источниках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Публичная программа выступлений по Face2 в открытых данных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[40], OVISION публикует кейсы РЖД, Мосэнергосбыта, Правительства Тульской области [41]</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6"/>
        <w:gridCol w:w="2920"/>
        <w:gridCol w:w="2920"/>
        <w:gridCol w:w="2920"/>
      </w:tblGrid>
      <w:tr>
        <w:trPr>
          <w:tblHeader/>
          <w:cantSplit/>
        </w:trPr>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[38; 40; 41]</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[39]</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публично не зафиксирована независимая международная верификация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b/>
          <w:bCs/>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b/>
          <w:bCs/>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b/>
          <w:bCs/>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b/>
          <w:bCs/>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[9, с. 314; 11,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[7, с. 64; 20, с. 11; 19, с. 6], рамка push/pull-стратегий и интегрированный подход [16, с. 48; 24, с. 106], а также теория диффузии инноваций Э. Роджерса [5,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[5,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719"/>
        <w:gridCol w:w="3137"/>
        <w:gridCol w:w="3137"/>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7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 / кластер пробелов (по табл. 2.3.6)</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(канальный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Недостаточная узнаваемость на федеральном уровне; pull-каналы фрагментарны</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количество входящих обращений и доверие новых клиентов</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(сегментный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гостиничному сегменту и возрастной верификации в ритейле нет публичных кейсов при заявленной продуктовой линейке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продукты не подтверждены коммуникативно; сегментный охват уже продуктового</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(географический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Республике Татарстан; банковская экосистема и Карта жителя РТ как ресурсы распространения вне региона задействованы слабо</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активность отражает географию операций, а не потенциал рынка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(контентный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ФСБ, ФСТЭК, реестр отечественного ПО, стаж в ЕБС с 2018 г.) подаётся языком специалистов и не переведён в массовое сообщение «доверие»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воронки недогружен по охвату</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(доказательный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 недостаточно отраслевых кейсов с расчётом экономического эффекта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принятие решений B2B-клиентами и снижает конкурентоспособность относительно VisionLabs и OVISION</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(пробел People)</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Ограничивает экспертное позиционирование и работу с B2B/B2G-аудиторией</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(конверсионный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пробное использование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(лояльностный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этап «Лояльность» воронки;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1"/>
        <w:gridCol w:w="4072"/>
        <w:gridCol w:w="3393"/>
      </w:tblGrid>
      <w:tr>
        <w:trPr>
          <w:tblHeader/>
          <w:cantSplit/>
        </w:trPr>
        <w:tc>
          <w:tcPr>
            <w:tcW w:w="21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0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3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кластер пробелов / подраздел реализации</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сформировать доверие со стороны B2B-, B2G- и B2C-аудиторий; на горизонте 2026–2028 гг. увеличить число подтверждённых внешних внедрений не менее чем в три раза к базе 2025 г. и довести долю pull-канала до уровня, сопоставимого с push</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параграфы 3.2 и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регуляторный капитал в массовое сообщение «доверие» и усилить экспертное позиционирование</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Разработать отраслевые офферы под шесть приоритетных сегментов с учётом двух уровней продаж и расширить присутствие в цифровых и PR-каналах</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Увеличить количество входящих заявок, пилотных проектов и коммерческих внедрений по обоим уровням продаж</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воронки / 3.2.1,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биометрическую платформу с банковской экспертизой</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Ввести KPI продвижения, систему регулярной оценки эффективности мероприятий и программу референсной работы</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3.2.5,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публичную базу отраслевых кейсов с расчётом экономического эффекта и линейку спикеров (CISO, юрист по 572-ФЗ, продакт-менеджер)</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Развернуть на face2.ru CTA-механику (заявка на пилот, демо-доступ, ROI-калькулятор) и автоматическую воронку</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9, с. 412; 11,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[9, с. 314; 11,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[5,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5"/>
        <w:gridCol w:w="2241"/>
        <w:gridCol w:w="2091"/>
        <w:gridCol w:w="1867"/>
        <w:gridCol w:w="2241"/>
      </w:tblGrid>
      <w:tr>
        <w:trPr>
          <w:tblHeader/>
          <w:cantSplit/>
        </w:trPr>
        <w:tc>
          <w:tcPr>
            <w:tcW w:w="11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сегмент</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(по табл. 2.1.4)</w:t>
            </w:r>
          </w:p>
        </w:tc>
        <w:tc>
          <w:tcPr>
            <w:tcW w:w="20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Подходящий продукт Face2</w:t>
            </w:r>
          </w:p>
        </w:tc>
        <w:tc>
          <w:tcPr>
            <w:tcW w:w="18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потребитель</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Отраслевое ценностное предложение</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аккредитованному оператору)</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Кредитные организации — операторы биометрии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снижение рисков мошенничества, KYC по ЕБС, банковская экспертиза партнёра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Уровень 2 (через банк-партнёра)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Микрофинансовые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сервис дистанционной идентификации заёмщиков на базе инфраструктуры аккредитованного банка; снижение операционных и регуляторных рисков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 КБС Ак Барс Банка)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 точки продаж</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снижение очередей, автоматизация продажи товаров с возрастными ограничениями, новый клиентский опыт</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вендинговых сетей</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оплаты и продаж товаров с возрастными ограничениями без участия продавца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и отдельные средства размещения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регистрации, заселение без предъявления паспорта, повышение клиентского опыта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в кампус, учёт посещаемости, снижение рисков передачи пропусков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 доступ к ПК по биометрии</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и режимные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рабочего времени, снижение рисков передачи пропусков, защита периметра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учреждения и МФЦ</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государственной структуре с правом регистрации в ЕБС) / Уровень 2 (отдельные точки обслуживания)</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органы, многофункциональные центры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процессов идентификации граждан, повышение доступности услуг, соответствие требованиям регулирования</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пригородные перевозчики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снижение очередей, биоэквайринг по модели Казанского метрополитена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арены, концертные площадки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управление потоками посетителей, контроль прохода без передачи билетов и пропусков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1"/>
        <w:gridCol w:w="4015"/>
        <w:gridCol w:w="3480"/>
      </w:tblGrid>
      <w:tr>
        <w:trPr>
          <w:tblHeader/>
          <w:cantSplit/>
        </w:trPr>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требованиям регулирования биометрии (572-ФЗ, аккредитация Минцифры, ЕБС, КБС)</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Защита биометрических данных, криптозащита, сертификация ФСБ и ФСТЭК, защищённая инфраструктура</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доверия к продукту</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подтверждение возраста, доступ к ПК, SDK</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закрыть несколько задач одним поставщиком</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Ак Барс Банком и внутренний кейс внедрения (5 тыс. сотрудников, около 200 биотерминалов)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надёжности и доверия</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программное обеспечение и терминалы, реестр Минцифры</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курсу на импортозамещение</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процессов, контроль доступа, снижение рисков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и организационная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9, с. 412; 11,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[5,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583"/>
        <w:gridCol w:w="2065"/>
        <w:gridCol w:w="963"/>
        <w:gridCol w:w="1239"/>
        <w:gridCol w:w="2065"/>
        <w:gridCol w:w="826"/>
      </w:tblGrid>
      <w:tr>
        <w:trPr>
          <w:tblHeader/>
          <w:cantSplit/>
        </w:trPr>
        <w:tc>
          <w:tcPr>
            <w:tcW w:w="8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58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 сделки</w:t>
            </w:r>
          </w:p>
        </w:tc>
        <w:tc>
          <w:tcPr>
            <w:tcW w:w="12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коммуникации</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 в воронку</w:t>
            </w:r>
          </w:p>
        </w:tc>
        <w:tc>
          <w:tcPr>
            <w:tcW w:w="8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задачи 3.1.2</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федерального и регионального уровня, крупные корпорации</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Персональные продажи, отраслевые конференции, экспертные публикации, демо-зона АББ</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Face2Pass, Face2Check-in)</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спортивные объекты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партнёрские маркетплейсы, CTA-механика на face2.ru</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 Face2Check-in, Face2Pass</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 (секунды — минуты)</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приложение АБО, «Карта жителя РТ», массовые СМИ</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[12, с. 567; 16, с. 48; 24, с. 106; 7, с. 87; 9, с. 567; 11, с. 198; 5,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[6, с. 124; 9,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9"/>
        <w:gridCol w:w="2080"/>
        <w:gridCol w:w="2010"/>
        <w:gridCol w:w="2080"/>
        <w:gridCol w:w="1525"/>
        <w:gridCol w:w="832"/>
      </w:tblGrid>
      <w:tr>
        <w:trPr>
          <w:tblHeader/>
          <w:cantSplit/>
        </w:trPr>
        <w:tc>
          <w:tcPr>
            <w:tcW w:w="1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01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Количественные аргументы</w:t>
            </w:r>
          </w:p>
        </w:tc>
        <w:tc>
          <w:tcPr>
            <w:tcW w:w="15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83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регионального банка с банковской экспертизой</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соответствие 572-ФЗ»</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Одна из 16 аккредитованных КБС в РФ; стаж в ЕБС с 2018 г.; 5 тыс. сотрудников и 200 биотерминалов; № 101 в перечне Банка России</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встреча + RFP + демо + ТЭО</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возрастная верификация без аккредитации заказчика</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чем картой и QR»</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среднего чека; 145,9 млн платежей в РФ за 9 мес. 2025 г.</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Партнёрство с Минцифры, Минтрансом, ЦБТ, НСПК; 145,9 млн платежей</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региональным оператором и Минтрансом</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массовые объекты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и проход без паспорта по вектору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ГИС ЕБС на 31.12.2025; полезная база &gt; 50 млн; десятикратный рост за 2024–2025 гг.; сокращение времени заселения</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снижение операционных рисков</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граждан без документов</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регуляторный контур</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тиражирование</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[6, с. 124; 9,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[7, с. 87; 8;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4"/>
        <w:gridCol w:w="2387"/>
        <w:gridCol w:w="1856"/>
        <w:gridCol w:w="1503"/>
        <w:gridCol w:w="1414"/>
        <w:gridCol w:w="1061"/>
      </w:tblGrid>
      <w:tr>
        <w:trPr>
          <w:tblHeader/>
          <w:cantSplit/>
        </w:trPr>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3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Конкретное мероприятие</w:t>
            </w:r>
          </w:p>
        </w:tc>
        <w:tc>
          <w:tcPr>
            <w:tcW w:w="18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50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10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420-ФЗ, 421-ФЗ)</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публикации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 + амбассадор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публикация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мере выхода обновлений</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 на конференциях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в год</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7, с. 87; 8;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1"/>
        <w:gridCol w:w="811"/>
        <w:gridCol w:w="3043"/>
        <w:gridCol w:w="1217"/>
        <w:gridCol w:w="3043"/>
      </w:tblGrid>
      <w:tr>
        <w:trPr>
          <w:tblHeader/>
          <w:cantSplit/>
        </w:trPr>
        <w:tc>
          <w:tcPr>
            <w:tcW w:w="15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1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готово к выходу</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линейка спикеров, заявки на NIST/iBeta, бренд в соцсетях, типовые КП</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привлечения лидов и доказательная база в работе</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трёх сегментах, экосистема как канал, размещения в СМИ</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закрепление в B2G</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9, с. 412; 11,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9, с. 412; 11,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11,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[7, с. 64; 8, с. 64; 9, с. 412; 11,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[7, с. 64; 8,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[7; 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4"/>
        <w:gridCol w:w="3109"/>
        <w:gridCol w:w="1139"/>
        <w:gridCol w:w="725"/>
        <w:gridCol w:w="3109"/>
      </w:tblGrid>
      <w:tr>
        <w:trPr>
          <w:tblHeader/>
          <w:cantSplit/>
        </w:trPr>
        <w:tc>
          <w:tcPr>
            <w:tcW w:w="15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на сайт, контентную студию, брендинг)</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KPI-контроль по 3.3.1; перенос статей между фазами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OPEX-расходов на контекстную рекламу и SMM</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по итогам мес. 3 и 6; A/B-тестирование креативов; перенос бюджета между статьями OPEX</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1,5 %)</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страниц; пересборка офферов 3.2.2; уточнение CTA-механики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пилотных проектов фазы 2 у внешних клиентов</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внутренний кейс АББ (5 тыс. сотрудников, 200 биотерминалов) как референс; стандартизованные технические требования к пилотам [27; 28]</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объектов уровня 2</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подключений; sandbox-тестирование; готовая документация Face2 [28; 29]</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контентного конвейера и PR-сопровождения</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Планирование штата маркетинговой службы уже в фазе 1; альтернатива — внешнее агентство с фиксированным KPI</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Ускоренное расширение ПАО «Сбербанк» в B2G и в регионах за пределами Москвы и Санкт-Петербурга</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регуляторный капитал и партнёрства с Минцифры РФ, Минтрансом РФ и НСПК как защитное преимущество [26, с. 30–31; 38]</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 продуктовое расширение)</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заявок на NIST FRTE и iBeta Level 2 в фазе 1; закрепление продуктового лидерства Face2 в сегменте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3177"/>
        <w:gridCol w:w="1165"/>
        <w:gridCol w:w="741"/>
        <w:gridCol w:w="3177"/>
      </w:tblGrid>
      <w:tr>
        <w:trPr>
          <w:tblHeader/>
          <w:cantSplit/>
        </w:trPr>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Банка России и Минцифры РФ ([2; 3; 4])</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координация с ЦБТ [37]; гибкая архитектура КБС, позволяющая адаптировать схему сбора и обработки векторов</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граждан на сдачу биометрии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 или приостановление аккредитации одного из участников рынка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Жёсткое соблюдение пятиуровневой регуляторной конструкции (КБС, ЕБС, ФСБ, ФСТЭК, реестр Минцифры); внутренний регуляторный аудит</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биометрических данных у любого оператора рынка (даже не у Ак Барс Банка)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кризисного PR-плана; проактивная коммуникация о криптозащите векторов; явная демонстрация архитектуры безопасности в материалах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медиа-кейс по теме «биометрия как инструмент слежки»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регуляторный контент-конвейер 3.2.4; работа с лидерами мнений в IT-сообществе</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инфраструктуру ЕБС или КБС</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 резервирование; внешний аудит кибербезопасности</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 на фоне общественной дискуссии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образовательная коммуникация в направлении В; партнёрства с экспертным сообществом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Герман, Е. А. Теоретическая инноватика : учебное пособие / Е. А. Герман. — Санкт-Петербург : Издательство Политехнического университета, 2018. — 148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Управление инновациями : учебник для академического бакалавриата / под редакцией Е. А. Мальцевой. — Москва : Издательство Юрайт, 2022. — 256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