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wpc="http://schemas.microsoft.com/office/word/2010/wordprocessingCanvas" xmlns:wpg="http://schemas.microsoft.com/office/word/2010/wordprocessingGroup" xmlns:mc="http://schemas.openxmlformats.org/markup-compatibility/2006">
  <w:body>
    <w:p>
      <w:pPr>
        <w:keepNext/>
        <w:keepLines/>
        <w:spacing w:before="240" w:after="120" w:line="360" w:lineRule="auto"/>
        <w:jc w:val="center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b/>
          <w:bCs/>
          <w:color w:val="000000"/>
          <w:sz w:val="28"/>
          <w:szCs w:val="28"/>
          <w:lang w:val="ru-RU"/>
        </w:rPr>
        <w:t xml:space="preserve">ВКР ГОТОВОЕ</w:t>
      </w:r>
    </w:p>
    <w:p>
      <w:pPr>
        <w:spacing w:before="60" w:after="60" w:line="360" w:lineRule="auto"/>
        <w:ind w:left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Тема: «Разработка стратегии продвижения инновационного продукта Face2 Ак Барс Банка»</w:t>
      </w:r>
    </w:p>
    <w:p>
      <w:pPr>
        <w:spacing w:before="60" w:after="60" w:line="360" w:lineRule="auto"/>
        <w:ind w:left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/>
      </w:r>
    </w:p>
    <w:p>
      <w:pPr>
        <w:spacing w:before="60" w:after="60" w:line="360" w:lineRule="auto"/>
        <w:ind w:left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Документ собирает готовые фрагменты ВКР по мере их написания. Источники — по списку </w:t>
      </w:r>
      <w:r>
        <w:rPr>
          <w:rFonts w:ascii="Courier New" w:hAnsi="Courier New" w:cs="Courier New" w:eastAsia="Courier New"/>
          <w:color w:val="000000"/>
          <w:sz w:val="28"/>
          <w:szCs w:val="28"/>
          <w:lang w:val="ru-RU"/>
        </w:rPr>
        <w:t xml:space="preserve">источники/sources_VKR.md</w:t>
      </w: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.</w:t>
      </w:r>
    </w:p>
    <w:p>
      <w:pPr>
        <w:spacing w:before="0" w:after="0" w:line="240" w:lineRule="auto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</w:p>
    <w:p>
      <w:pPr>
        <w:keepNext/>
        <w:keepLines/>
        <w:spacing w:before="200" w:after="120" w:line="360" w:lineRule="auto"/>
        <w:jc w:val="center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b/>
          <w:bCs/>
          <w:color w:val="000000"/>
          <w:sz w:val="28"/>
          <w:szCs w:val="28"/>
          <w:lang w:val="ru-RU"/>
        </w:rPr>
        <w:t xml:space="preserve">Структура работы</w:t>
      </w:r>
    </w:p>
    <w:p>
      <w:pPr>
        <w:spacing w:before="0" w:after="0" w:line="360" w:lineRule="auto"/>
        <w:ind w:left="425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— </w:t>
      </w: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Введение</w:t>
      </w:r>
    </w:p>
    <w:p>
      <w:pPr>
        <w:spacing w:before="0" w:after="0" w:line="360" w:lineRule="auto"/>
        <w:ind w:left="425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— </w:t>
      </w: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Глава 1. Теоретические основы стратегического продвижения инновационных продуктов</w:t>
      </w:r>
    </w:p>
    <w:p>
      <w:pPr>
        <w:spacing w:before="0" w:after="0" w:line="360" w:lineRule="auto"/>
        <w:ind w:left="425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— </w:t>
      </w: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1.1. Сущность и особенности инновационных продуктов</w:t>
      </w:r>
    </w:p>
    <w:p>
      <w:pPr>
        <w:spacing w:before="0" w:after="0" w:line="360" w:lineRule="auto"/>
        <w:ind w:left="425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— </w:t>
      </w: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1.2. Маркетинговые стратегии продвижения</w:t>
      </w:r>
    </w:p>
    <w:p>
      <w:pPr>
        <w:spacing w:before="0" w:after="0" w:line="360" w:lineRule="auto"/>
        <w:ind w:left="425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— </w:t>
      </w: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1.3. Особенности продвижения биометрических технологий</w:t>
      </w:r>
    </w:p>
    <w:p>
      <w:pPr>
        <w:spacing w:before="0" w:after="0" w:line="360" w:lineRule="auto"/>
        <w:ind w:left="425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— </w:t>
      </w: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Вывод по главе 1</w:t>
      </w:r>
    </w:p>
    <w:p>
      <w:pPr>
        <w:spacing w:before="0" w:after="0" w:line="360" w:lineRule="auto"/>
        <w:ind w:left="425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— </w:t>
      </w: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Глава 2. Анализ деятельности Ак Барс Банка в контексте разработки стратегии продвижения инновационного продукта</w:t>
      </w:r>
    </w:p>
    <w:p>
      <w:pPr>
        <w:spacing w:before="0" w:after="0" w:line="360" w:lineRule="auto"/>
        <w:ind w:left="425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— </w:t>
      </w: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2.1. Характеристика Ак Барс Банка и продукта Face2</w:t>
      </w:r>
    </w:p>
    <w:p>
      <w:pPr>
        <w:spacing w:before="0" w:after="0" w:line="360" w:lineRule="auto"/>
        <w:ind w:left="425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— </w:t>
      </w: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2.2. Анализ рынка биометрии и конкурентной среды</w:t>
      </w:r>
    </w:p>
    <w:p>
      <w:pPr>
        <w:spacing w:before="0" w:after="0" w:line="360" w:lineRule="auto"/>
        <w:ind w:left="425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— </w:t>
      </w: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2.3. Анализ текущего продвижения продукта и его позиции на рынке</w:t>
      </w:r>
    </w:p>
    <w:p>
      <w:pPr>
        <w:spacing w:before="0" w:after="0" w:line="360" w:lineRule="auto"/>
        <w:ind w:left="425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— </w:t>
      </w: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Вывод по главе 2</w:t>
      </w:r>
    </w:p>
    <w:p>
      <w:pPr>
        <w:spacing w:before="0" w:after="0" w:line="360" w:lineRule="auto"/>
        <w:ind w:left="425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— </w:t>
      </w: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Глава 3. Разработка стратегии продвижения инновационного продукта Face2</w:t>
      </w:r>
    </w:p>
    <w:p>
      <w:pPr>
        <w:spacing w:before="0" w:after="0" w:line="360" w:lineRule="auto"/>
        <w:ind w:left="425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— </w:t>
      </w: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3.1. Обоснование стратегии продвижения продукта Face2</w:t>
      </w:r>
    </w:p>
    <w:p>
      <w:pPr>
        <w:spacing w:before="0" w:after="0" w:line="360" w:lineRule="auto"/>
        <w:ind w:left="425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— </w:t>
      </w: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3.2. Разработка комплекса маркетинговых мероприятий по продвижению Face2</w:t>
      </w:r>
    </w:p>
    <w:p>
      <w:pPr>
        <w:spacing w:before="0" w:after="0" w:line="360" w:lineRule="auto"/>
        <w:ind w:left="425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— </w:t>
      </w: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3.3. Оценка эффективности предложенной стратегии продвижения Face2</w:t>
      </w:r>
    </w:p>
    <w:p>
      <w:pPr>
        <w:spacing w:before="0" w:after="0" w:line="360" w:lineRule="auto"/>
        <w:ind w:left="425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— </w:t>
      </w: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Вывод по главе 3</w:t>
      </w:r>
    </w:p>
    <w:p>
      <w:pPr>
        <w:spacing w:before="0" w:after="0" w:line="360" w:lineRule="auto"/>
        <w:ind w:left="425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— </w:t>
      </w: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Заключение</w:t>
      </w:r>
    </w:p>
    <w:p>
      <w:pPr>
        <w:spacing w:before="0" w:after="0" w:line="360" w:lineRule="auto"/>
        <w:ind w:left="425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— </w:t>
      </w: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Список использованных источников</w:t>
      </w:r>
    </w:p>
    <w:p>
      <w:pPr>
        <w:spacing w:before="0" w:after="0" w:line="360" w:lineRule="auto"/>
        <w:ind w:left="425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— </w:t>
      </w: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Приложения</w:t>
      </w:r>
    </w:p>
    <w:p>
      <w:pPr>
        <w:spacing w:before="0" w:after="0" w:line="360" w:lineRule="auto"/>
        <w:ind w:left="425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— </w:t>
      </w: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Приложение А. Система KPI стратегии продвижения Face2</w:t>
      </w:r>
    </w:p>
    <w:p>
      <w:pPr>
        <w:spacing w:before="0" w:after="0" w:line="360" w:lineRule="auto"/>
        <w:ind w:left="425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— </w:t>
      </w: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Приложение Б. RACI-матрица распределения ответственности</w:t>
      </w:r>
    </w:p>
    <w:p>
      <w:pPr>
        <w:spacing w:before="0" w:after="0" w:line="360" w:lineRule="auto"/>
        <w:ind w:left="425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— </w:t>
      </w: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Приложение В. Календарный план реализации стратегии</w:t>
      </w:r>
    </w:p>
    <w:p>
      <w:pPr>
        <w:spacing w:before="0" w:after="0" w:line="240" w:lineRule="auto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</w:p>
    <w:p>
      <w:pPr>
        <w:spacing w:before="60" w:after="60" w:line="360" w:lineRule="auto"/>
        <w:ind w:left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Рабочее замечание по оформлению (для последующей вёрстки в Word).</w:t>
      </w:r>
    </w:p>
    <w:p>
      <w:pPr>
        <w:spacing w:before="60" w:after="60" w:line="360" w:lineRule="auto"/>
        <w:ind w:left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Шапки таблиц записаны в две строки: первая — «Таблица N.N.N» (в Word выравнивается по правому краю), вторая — название таблицы (центрируется). Подписи рисунков — «Рис. N.N.N. Название» (точка после номера, без точки в конце), строка «Источник:» — над подписью. Шрифт основного текста — Times New Roman 14 пт, междустрочный интервал 1,5; в таблицах допустимо TNR 12 пт с одинарным интервалом. ASCII-схемы заменяются на векторную графику, гистограмма — на диаграмму в Excel.</w:t>
      </w:r>
    </w:p>
    <w:p>
      <w:pPr>
        <w:spacing w:before="0" w:after="0" w:line="240" w:lineRule="auto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</w:p>
    <w:p>
      <w:pPr>
        <w:spacing w:before="0" w:after="0" w:line="360" w:lineRule="auto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br w:type="page"/>
      </w:r>
    </w:p>
    <w:p>
      <w:pPr>
        <w:keepNext/>
        <w:keepLines/>
        <w:spacing w:before="240" w:after="120" w:line="360" w:lineRule="auto"/>
        <w:jc w:val="center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b/>
          <w:bCs/>
          <w:color w:val="000000"/>
          <w:sz w:val="28"/>
          <w:szCs w:val="28"/>
          <w:lang w:val="ru-RU"/>
        </w:rPr>
        <w:t xml:space="preserve">ВВЕДЕНИЕ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Актуальность темы выпускной квалификационной работы обусловлена переходом российского рынка биометрических технологий в стадию массовой коммерциализации при одновременном ужесточении регуляторного контура обработки биометрических персональных данных. По данным Банка России, за девять месяцев 2025 года в Российской Федерации совершено 145,9 млн биометрических платежей с оборотом 112,5 млрд рублей, а число зарегистрированных в Единой биометрической системе пользователей превысило десять миллионов. Темп прироста биометрических операций за II квартал 2025 года в годовом сопоставлении составил одиннадцать раз, что выводит биометрию из стадии пилотных проектов в стадию массового платёжного канала, сопоставимого по динамике с QR-эквайрингом.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Параллельно происходит ужесточение нормативной базы. Федеральный закон от 29 декабря 2022 года № 572-ФЗ отнёс биометрические векторы к специальной категории персональных данных, обязал хранить их в государственной информационной системе ЕБС и ограничил круг участников рынка аккредитованными операторами коммерческих биометрических систем (КБС). Федеральные законы № 420-ФЗ и № 421-ФЗ от 30 ноября 2024 года повысили ответственность за неправомерное обращение с биометрией до уголовной (до пяти лет лишения свободы) и установили административные штрафы до 20 млн рублей и до 1–3 % годового дохода компании при повторных нарушениях. Это превращает регуляторный статус из формальности в основной защитный «ров» для аккредитованного оператора и одновременно — в главное условие участия в массовом рынке.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В этих условиях для ПАО «Ак Барс Банк», получившего статус оператора КБС по решению Минцифры России № 4-А от 15 ноября 2023 года и работающего с ЕБС с 10 июля 2018 года, разработка стратегии продвижения биометрического продукта Face2 становится самостоятельной управленческой задачей. Решение этой задачи определяет возможности масштабирования продукта за пределы Республики Татарстан, активизации банковской экосистемы как канала продвижения и достройки конверсионной инфраструктуры. Без формализованной стратегии накопленный регуляторно-правовой капитал банка не конвертируется в коммерческое присутствие на федеральном рынке, что и обусловливает прикладную актуальность настоящей работы.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Степень разработанности проблемы характеризуется неравномерностью научного освоения смежных областей. Теоретические основы маркетинга инноваций и стратегического управления продвижением новых продуктов раскрыты в работах Ф. Котлера, Й. Шумпетера, Э. Роджерса, Г. Л. Багиева, Р. А. Фатхутдинова, П. Н. Завлина, А. А. Трифиловой и других авторов; модели STP, 7P и маркетинговой воронки традиционно применяются к технологическим продуктам и подробно описаны в учебной и научной литературе. Вопросы банковского маркетинга и цифровой трансформации финансовых организаций представлены в современных публикациях по финансовому сектору. Правовое регулирование биометрии в банковской сфере и проблемы её охраны исследованы в работах по банковскому и информационному праву. Вместе с тем продвижение биометрических технологий рассматривается преимущественно в правовом и техническом аспектах, тогда как комплексные маркетинговые модели, учитывающие двухуровневую структуру продаж (поставка КБС под ключ и подключение конечных объектов), привязку продукта к государственной инфраструктуре ЕБС, асимметрию push- и pull-каналов и необходимость преодоления психологических барьеров аудитории, в опубликованных источниках остаются недостаточно проработанными. Это формирует научный пробел, восполнение которого возможно через адаптацию классических маркетинговых моделей к специфике биометрии и через эмпирический анализ конкретного продукта, что и составляет содержание настоящей работы.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Целью выпускной квалификационной работы является разработка стратегии продвижения инновационного биометрического продукта Face2 ПАО «Ак Барс Банк» на основе анализа теоретических подходов к маркетингу инноваций, состояния российского рынка биометрии и конкурентной позиции продукта.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Для достижения поставленной цели сформулированы следующие задачи: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— раскрыть сущность инновационных продуктов и систематизировать маркетинговые стратегии их продвижения;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— выявить специфику продвижения биометрических технологий в банковском секторе и условия её успешной коммерциализации;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— дать организационно-экономическую характеристику ПАО «Ак Барс Банк» и продукта Face2;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— проанализировать российский рынок биометрии, конкурентную среду и определить позицию Face2;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— оценить текущее состояние продвижения продукта и выявить пробелы коммуникационной архитектуры;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— разработать комплекс мероприятий стратегии продвижения Face2 и обосновать её экономическую эффективность.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Объектом исследования выступает ПАО «Ак Барс Банк» как разработчик и аккредитованный оператор коммерческой биометрической системы Face2.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Предметом исследования являются управленческие и маркетинговые отношения, возникающие в процессе формирования и реализации стратегии продвижения биометрического продукта на российском рынке.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Методологическую основу исследования составил системный подход, дополненный общенаучными методами анализа, синтеза и сравнения, а также прикладными методами стратегического и маркетингового анализа: PESTEL-анализом, SWOT-анализом, моделью пяти сил М. Портера, концепцией STP, расширенной моделью комплекса маркетинга 7P, сравнительной балльной экспертной оценкой по ключевым факторам успеха, маркетинговой воронкой с этапом «Доверие», сценарным анализом экономического эффекта (пессимистический, реалистический, оптимистический сценарии), а также графическим и табличным методами представления данных. Численный расчёт бюджета и выручки построен на отраслевых бенчмарках B2B-маркетинга и публичных данных Банка России о среднем чеке и динамике биометрических платежей.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Информационной базой исследования послужили: годовая отчётность ПАО «Ак Барс Банк» за 2023–2025 годы и финансовая отчётность по российским стандартам учёта; статистические материалы и пресс-релизы Банка России о биометрических и QR-операциях; нормативно-правовые акты Российской Федерации (572-ФЗ, 420-ФЗ, 421-ФЗ, 115-ФЗ, Указание Банка России № 6541-У, методические рекомендации Банка России); публикации Минцифры России и АО «Центр биометрических технологий»; специализированные научные источники по маркетингу инноваций, банковскому маркетингу и правовому регулированию биометрии; материалы преддипломной практики автора в ПАО «Ак Барс Банк» (внутренние презентационные материалы по продукту Face2 и техническая документация на информационную систему Face2 АО «Социальная Карта», использованная с разрешения банка); открытые материалы конкурентов — ПАО «Сбербанк», VisionLabs, OVISION — и проектная карточка TAdviser о подключении банка к ЕБС в 2018 году.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Научная новизна работы заключается в трёх результатах. Во-первых, классические маркетинговые модели (STP, 7P, маркетинговая воронка) адаптированы к специфике биометрических продуктов в банковском секторе путём перераспределения веса элементов 7P в пользу People, Process и Physical evidence и встраивания обязательного этапа «Доверие» между интересом и пробным использованием. Во-вторых, для Face2 выполнена сравнительная балльная экспертная оценка по восьми ключевым факторам успеха, настроенным под целевой сегмент B2B и B2G со сценариями работы с физическими лицами через ЕБС в банковской экосистеме; результат проверен на чувствительность к выбору весов. В-третьих, разработана интегрированная push-pull-стратегия с асимметричным усилением pull-контура на втором уровне продаж, в которой банковская экосистема (мобильное приложение, «Карта жителя Республики Татарстан», офисная сеть) включается в качестве самостоятельного канала продвижения биометрического продукта.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Положения, выносимые на защиту: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— продвижение биометрических банковских продуктов формируется не из стандартных инструментов общей рекламы, а из их перенастройки: расширения этапа «Доверие» в воронке, усиления элементов People, Process и Physical evidence в комплексе 7P и сочетания push-инструментов B2B/B2G с pull-инструментами B2C при первичности push;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— конкурентная позиция Face2 определяется не лидерством в массовом B2C-эквайринге, а сегментно-ориентированным сочетанием регуляторно-правового капитала, банковской экосистемы и продуктовой линейки под банковские сценарии, что подтверждается балльной оценкой по восьми ключевым факторам успеха;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— продвижение Face2 имеет структурную асимметрию push- и pull-контуров и восемь связанных пробелов, группирующихся в три кластера — охвата, аргументации и инфраструктуры воронки, — каждый из которых имеет адресное мероприятие в стратегии и адресный показатель в системе KPI;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— разработанная интегрированная push-pull-стратегия с асимметричным усилением pull-контура на втором уровне продаж экономически целесообразна в трёх сценариях с расчётным ROI от +36 % до +578 % и сроком окупаемости от шести до тридцати трёх месяцев при бюджете 112,7 млн рублей за тридцать шесть месяцев.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Теоретическая значимость работы заключается в адаптации классических маркетинговых моделей к специфике биометрических продуктов, функционирующих в условиях государственного регулирования обработки персональных данных, и в формализации трёхкластерной диагностики пробелов продвижения как самостоятельного методического приёма. Практическая значимость состоит в возможности применения разработанной стратегии и комплекса мероприятий в деятельности ПАО «Ак Барс Банк» для масштабирования продукта Face2 за пределы Республики Татарстан, активизации банковской экосистемы как канала продвижения и достройки конверсионной инфраструктуры; предложенные решения переносимы и на других аккредитованных операторов коммерческих биометрических систем.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Апробация результатов исследования. Промежуточные результаты работы обсуждены с маркетинговой и продуктовой службами ПАО «Ак Барс Банк» в ходе преддипломной практики автора; сделанные на основе представленной балльной оценки и матрицы пробелов выводы о приоритетах коммуникационной архитектуры использованы при подготовке внутренних материалов по продукту Face2.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Структура выпускной квалификационной работы определяется логикой решения поставленных задач и включает введение, три главы, выводы по главам, заключение, список из 41 использованного источника и три приложения. В первой главе раскрываются теоретические основы стратегического продвижения инновационных продуктов и формулируется методический инструментарий. Во второй главе проводится анализ деятельности ПАО «Ак Барс Банк», российского рынка биометрии и текущего продвижения продукта Face2 с диагностикой восьми пробелов коммуникационной архитектуры. В третьей главе на основе результатов диагностики разрабатывается стратегия продвижения Face2, формируется комплекс маркетинговых мероприятий и оценивается их эффективность через систему ключевых показателей, расчёт ROI и срока окупаемости в трёх сценариях, матрицу рисков и организационный план внедрения. Работа содержит 34 таблицы и 9 рисунков в основном тексте, а также три приложения с развёрнутыми материалами (система KPI, RACI-матрица, календарный план реализации).</w:t>
      </w:r>
    </w:p>
    <w:p>
      <w:pPr>
        <w:spacing w:before="0" w:after="0" w:line="240" w:lineRule="auto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</w:p>
    <w:p>
      <w:pPr>
        <w:keepNext/>
        <w:keepLines/>
        <w:spacing w:before="240" w:after="120" w:line="360" w:lineRule="auto"/>
        <w:jc w:val="center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b/>
          <w:bCs/>
          <w:color w:val="000000"/>
          <w:sz w:val="28"/>
          <w:szCs w:val="28"/>
          <w:lang w:val="ru-RU"/>
        </w:rPr>
        <w:t xml:space="preserve">ГЛАВА 1. ТЕОРЕТИЧЕСКИЕ ОСНОВЫ СТРАТЕГИЧЕСКОГО ПРОДВИЖЕНИЯ ИННОВАЦИОННЫХ ПРОДУКТОВ</w:t>
      </w:r>
    </w:p>
    <w:p>
      <w:pPr>
        <w:keepNext/>
        <w:keepLines/>
        <w:spacing w:before="200" w:after="120" w:line="360" w:lineRule="auto"/>
        <w:jc w:val="center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b/>
          <w:bCs/>
          <w:color w:val="000000"/>
          <w:sz w:val="28"/>
          <w:szCs w:val="28"/>
          <w:lang w:val="ru-RU"/>
        </w:rPr>
        <w:t xml:space="preserve">1.1. Сущность и особенности инновационных продуктов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Инновационный продукт — результат научно-технической и интеллектуальной деятельности с качественно новыми характеристиками, удовлетворяющий существующие или формирующий новые потребности рынка. Й. Шумпетер определял инновацию как коммерциализацию новых комбинаций производственных факторов [12, с. 33]; Ф. Котлер относит к инновационным товары и услуги с новыми или существенно улучшенными характеристиками, обеспечивающими дополнительную ценность для потребителя [8, с. 48]. Российская школа увязывает инновационную активность с конкурентоспособностью предприятия и национальной экономики [13, с. 14; 14, с. 9].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Инновационный продукт отличают пять взаимосвязанных признаков: новизна, технологичность, ценность для потребителя, конкурентоспособность и повышенный уровень риска [12, с. 132; 20, с. 5] (рисунок 1.1.1). Чем выше степень новизны и технологической сложности, тем больше ресурсов требуется на продвижение и тем выше цена ошибки маркетинговых решений [22, с. 51; 20, с. 9].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![Основные характеристики инновационного продукта](figures/fig_1_1_1_signs.svg)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Источник: построено автором по данным [12, с. 132; 8, с. 48; 20, с. 5]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Рис. 1.1.1. Основные характеристики инновационного продукта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По объекту изменений инновации делятся на продуктовые, процессные, маркетинговые и организационные; по степени новизны — на радикальные и инкрементальные [12, с. 165–169; 14, с. 41]. Биометрические решения одновременно являются продуктовой инновацией (новый цифровой сервис) и процессной (изменение способа идентификации и обслуживания), поэтому требуют двухуровневой коммуникации — с конечным пользователем и с организацией-заказчиком [15, с. 29; 24, с. 102].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Инновационный продукт характеризуется высоким уровнем неопределённости рыночного успеха [12, с. 178; 19, с. 4]: реакция потребителя плохо прогнозируется, а сам продукт часто требует изменения поведенческих паттернов. Поэтому в продвижение встраиваются образовательные программы, демонстрационные мероприятия и пробные версии, снижающие воспринимаемый риск покупки [22, с. 51; 20, с. 9]. Группы рисков, с которыми сталкивается организация при выводе продукта на рынок, систематизированы в таблице 1.1.1.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Таблица 1.1.1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Основные риски, связанные с внедрением инновационного продукта</w:t>
      </w:r>
    </w:p>
    <w:tbl>
      <w:tblPr>
        <w:tblW w:w="963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716"/>
        <w:gridCol w:w="3960"/>
        <w:gridCol w:w="3960"/>
      </w:tblGrid>
      <w:tr>
        <w:trPr>
          <w:tblHeader/>
          <w:cantSplit/>
        </w:trPr>
        <w:tc>
          <w:tcPr>
            <w:tcW w:w="1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Группа рисков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Содержание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Управленческий ответ</w:t>
            </w:r>
          </w:p>
        </w:tc>
      </w:tr>
      <w:tr>
        <w:trPr>
          <w:cantSplit/>
        </w:trPr>
        <w:tc>
          <w:tcPr>
            <w:tcW w:w="1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Технические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Сбои разработки, недостаточная зрелость технологии, проблемы интеграции с существующей инфраструктурой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Пилотные проекты, тестирование, поэтапное масштабирование</w:t>
            </w:r>
          </w:p>
        </w:tc>
      </w:tr>
      <w:tr>
        <w:trPr>
          <w:cantSplit/>
        </w:trPr>
        <w:tc>
          <w:tcPr>
            <w:tcW w:w="1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Рыночные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Низкая осведомлённость аудитории, недоверие к новой технологии, отсутствие сформированного спроса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Образовательная коммуникация, демонстрации, работа с ранними последователями</w:t>
            </w:r>
          </w:p>
        </w:tc>
      </w:tr>
      <w:tr>
        <w:trPr>
          <w:cantSplit/>
        </w:trPr>
        <w:tc>
          <w:tcPr>
            <w:tcW w:w="1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Финансовые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Высокая стоимость разработки, длительный срок окупаемости, сложность прогнозирования возврата инвестиций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Поэтапное финансирование, KPI-контроль, гибкая ценовая стратегия</w:t>
            </w:r>
          </w:p>
        </w:tc>
      </w:tr>
      <w:tr>
        <w:trPr>
          <w:cantSplit/>
        </w:trPr>
        <w:tc>
          <w:tcPr>
            <w:tcW w:w="1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Репутационные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Негативный опыт первых пользователей, формирование устойчивых предубеждений к продукту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Управление качеством, мониторинг отзывов, оперативное реагирование на инциденты</w:t>
            </w:r>
          </w:p>
        </w:tc>
      </w:tr>
      <w:tr>
        <w:trPr>
          <w:cantSplit/>
        </w:trPr>
        <w:tc>
          <w:tcPr>
            <w:tcW w:w="1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Регуляторные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Изменение нормативно-правовой базы, требования регуляторов к работе с данными, лицензирование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Юридическое сопровождение, аудит соответствия, соблюдение требований регулятора</w:t>
            </w:r>
          </w:p>
        </w:tc>
      </w:tr>
    </w:tbl>
    <w:p>
      <w:pPr>
        <w:spacing w:before="0" w:after="0" w:line="240" w:lineRule="auto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Источник: составлено автором по данным [12, с. 178; 13, с. 78; 19, с. 4]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Для биометрических продуктов этот набор рисков особенно значим: регуляторная и репутационная составляющие здесь имеют тот же вес, что и технические [13, с. 78].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Восприятие инновации потребителями неоднородно. Согласно теории диффузии Э. Роджерса, аудитория делится на пять групп — новаторов, ранних последователей, раннее большинство, позднее большинство и консерваторов (рисунок 1.1.2): для новаторов значима технологическая новизна, для раннего большинства — надёжность и доказательная база, для консерваторов — привычные сценарии использования [14, с. 156]. В фазе вывода целесообразно ориентироваться на новаторов и ранних последователей и через них собирать первичные доказательства надёжности для более консервативных сегментов [18, с. 6; 19, с. 5].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![Модель диффузии инноваций Э. Роджерса](figures/fig_1_1_2_rogers.svg)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Источник: построено автором по данным [14, с. 156]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Рис. 1.1.2. Модель диффузии инноваций Э. Роджерса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Жизненный цикл инновационного продукта включает разработку, внедрение, рост, зрелость и спад (рисунок 1.1.3). От традиционной модели его отличают короткая стадия зрелости и высокая динамика смены технологических поколений [12, с. 201; 14, с. 178]. На этапе внедрения основная нагрузка ложится на информационные и образовательные коммуникации, демонстрацию преимуществ, работу с возражениями и стимулирование пробного использования; без них даже технологически состоятельный продукт не доходит до массовой аудитории [20, с. 11; 12, с. 204].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![Жизненный цикл инновационного продукта](figures/fig_1_1_3_lifecycle.svg)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Источник: построено автором по данным [12, с. 201; 14, с. 178]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Рис. 1.1.3. Жизненный цикл инновационного продукта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Цифровые инновационные продукты — отдельная категория: виртуальны, распространяются через цифровые каналы, зависят от инфраструктуры и быстро устаревают [6, с. 14]. Банковские цифровые инновации (мобильный банкинг, бесконтактные платежи, удалённое открытие счёта, биометрическая идентификация) работают с чувствительными персональными и финансовыми данными и предъявляют повышенные требования к защите информации, нормативно-правовому соответствию и доверию пользователей [16, с. 38; 23, с. 91; 24, с. 105].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Биометрические системы — крайний случай этого подкласса с четырьмя усиливающими признаками: высокая технологическая сложность (компьютерное зрение, ИИ, криптозащита векторов) [15, с. 30]; работа с биометрическими векторами лица или голоса как со специальной категорией персональных данных [23, с. 92]; жёсткий нормативно-правовой контур (572-ФЗ, аккредитация Минцифры, сертификация ФСБ и ФСТЭК, уголовная ответственность за неправомерное обращение) [23, с. 93–95]; значительные психологические барьеры — страх утечки, несанкционированного использования и невозможности отозвать сданный образец [16, с. 41; 25, с. 112]. Сочетание этих факторов требует особой стратегии продвижения, в которой стандартное информирование и стимулирование спроса дополняются образовательной составляющей, систематической работой с возражениями, демонстрацией мер защиты данных и подтверждением правовой корректности технологии [16, с. 47; 24, с. 108; 25, с. 119]. В параграфе 1.2 рассматриваются базовые маркетинговые стратегии продвижения инновационных продуктов, а в параграфе 1.3 они адаптируются к специфике биометрических технологий в банковском секторе.</w:t>
      </w:r>
    </w:p>
    <w:p>
      <w:pPr>
        <w:keepNext/>
        <w:keepLines/>
        <w:spacing w:before="200" w:after="120" w:line="360" w:lineRule="auto"/>
        <w:jc w:val="center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b/>
          <w:bCs/>
          <w:color w:val="000000"/>
          <w:sz w:val="28"/>
          <w:szCs w:val="28"/>
          <w:lang w:val="ru-RU"/>
        </w:rPr>
        <w:t xml:space="preserve">1.2. Маркетинговые стратегии продвижения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Стратегия продвижения инновационного продукта — комплексный план маркетинговых коммуникаций, направленный на информирование целевой аудитории, формирование интереса, стимулирование пробных покупок и обеспечение долгосрочной лояльности [18, с. 4; 19, с. 3]. В отличие от традиционных товаров, продвижение инноваций требует преодоления психологических барьеров — недостаточной осведомлённости, опасений о надёжности, инерции потребительского поведения [22, с. 49; 20, с. 7]. Согласно учебным материалам по экономике инноваций, типовые проблемы при продвижении: отсутствие сформированного рынка сбыта, низкая осведомлённость покупателей, ограниченное число первых потребителей и необходимость образовательных форм коммуникации [12, с. 178–181]. Для технологических продуктов, ценность которых не очевидна на этапе первого знакомства, эти проблемы особенно значимы [20, с. 9].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Разработка стратегии продвижения нового продукта осуществляется поэтапно: анализ рынка и конкурентов; определение целевой аудитории; формирование ценностного предложения; выбор каналов продвижения; тестирование коммуникаций; оценка результатов и корректировка [18, с. 5; 8, с. 412; 10, с. 156].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Стратегические подходы делятся на проталкивание (push, через посредников и партнёров), вытягивание (pull, через прямое воздействие на конечных потребителей) [8, с. 567; 10, с. 198] и интегрированную стратегию, сочетающую оба подхода; партнёрская стратегия расширяет охват через совместные проекты с другими организациями [18, с. 7; 19, с. 7]. Для биометрических продуктов наиболее подходит интегрированная стратегия — нужна работа и с организациями-заказчиками, и с конечными пользователями [16, с. 48; 24, с. 106]. Линейка Face2 включает решения для контроля доступа, учёта рабочего времени, оплаты по лицу, подтверждения возраста, регистрации в гостинице и внедрения коммерческой биометрической системы [27], что требует сочетания B2C-, B2B- и внутренних корпоративных коммуникаций. Для цифровых банковских продуктов также важна стратегия прямого маркетинга, обеспечивающая обратную связь и персонализацию сообщений [6, с. 87; 8, с. 612].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Базовый инструмент разработки стратегии — модель STP: сегментация рынка, выбор целевых сегментов и позиционирование продукта (рисунок 1.2.1) [8, с. 314; 10, с. 175]. Логика STP делает продвижение управляемым процессом: компания работает только с сегментами, для которых ценностное предложение значимо, и формирует под каждый сегмент собственное позиционирование. Для биометрических банковских продуктов это особенно важно — аудитории и сценарии использования принципиально разные.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![Модель STP](figures/fig_1_2_1_stp.svg)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Источник: построено автором по данным [8, с. 314; 10, с. 175]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Рис. 1.2.1. Модель STP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В случае Face2 целевые аудитории различаются по характеру использования: сотрудники банка (важны удобство и скорость), корпоративные клиенты (безопасность и эффективность бизнес-процессов), партнёрские организации, конечные пользователи цифровых сервисов (простота, надёжность, защита персональных данных) [27]. Для биометрических банковских продуктов ключевые аспекты позиционирования — безопасность, удобство и технологическая инновационность [16, с. 49; 24, с. 107].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Расширенная модель комплекса маркетинга 7P включает продукт, цену, каналы, продвижение, персонал, процессы и доказательства надёжности [8, с. 354; 10, с. 215]. Для цифровых и банковских продуктов её ценность формируется не только функциональными характеристиками, но и качеством пользовательского опыта, уровнем доверия и прозрачностью процессов [6, с. 92] (таблица 1.2.1).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Таблица 1.2.1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Расширенный комплекс маркетинга 7P применительно к инновационному продукту</w:t>
      </w:r>
    </w:p>
    <w:tbl>
      <w:tblPr>
        <w:tblW w:w="9637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422"/>
        <w:gridCol w:w="3475"/>
        <w:gridCol w:w="4740"/>
      </w:tblGrid>
      <w:tr>
        <w:trPr>
          <w:tblHeader/>
          <w:cantSplit/>
        </w:trPr>
        <w:tc>
          <w:tcPr>
            <w:tcW w:w="1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Элемент 7P</w:t>
            </w:r>
          </w:p>
        </w:tc>
        <w:tc>
          <w:tcPr>
            <w:tcW w:w="3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Содержание</w:t>
            </w:r>
          </w:p>
        </w:tc>
        <w:tc>
          <w:tcPr>
            <w:tcW w:w="4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Значение для продвижения инновационного продукта</w:t>
            </w:r>
          </w:p>
        </w:tc>
      </w:tr>
      <w:tr>
        <w:trPr>
          <w:cantSplit/>
        </w:trPr>
        <w:tc>
          <w:tcPr>
            <w:tcW w:w="1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Product</w:t>
            </w:r>
          </w:p>
        </w:tc>
        <w:tc>
          <w:tcPr>
            <w:tcW w:w="3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Характеристики, функции и ценность продукта</w:t>
            </w:r>
          </w:p>
        </w:tc>
        <w:tc>
          <w:tcPr>
            <w:tcW w:w="4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Позволяет показать, какую проблему решает продукт и чем он отличается от существующих решений</w:t>
            </w:r>
          </w:p>
        </w:tc>
      </w:tr>
      <w:tr>
        <w:trPr>
          <w:cantSplit/>
        </w:trPr>
        <w:tc>
          <w:tcPr>
            <w:tcW w:w="1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Price</w:t>
            </w:r>
          </w:p>
        </w:tc>
        <w:tc>
          <w:tcPr>
            <w:tcW w:w="3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Стоимость использования или внедрения</w:t>
            </w:r>
          </w:p>
        </w:tc>
        <w:tc>
          <w:tcPr>
            <w:tcW w:w="4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Влияет на готовность потребителя попробовать продукт и оценить его выгоду</w:t>
            </w:r>
          </w:p>
        </w:tc>
      </w:tr>
      <w:tr>
        <w:trPr>
          <w:cantSplit/>
        </w:trPr>
        <w:tc>
          <w:tcPr>
            <w:tcW w:w="1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Place</w:t>
            </w:r>
          </w:p>
        </w:tc>
        <w:tc>
          <w:tcPr>
            <w:tcW w:w="3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Каналы распространения и доступность продукта</w:t>
            </w:r>
          </w:p>
        </w:tc>
        <w:tc>
          <w:tcPr>
            <w:tcW w:w="4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Определяет, через какие каналы продукт становится доступен целевой аудитории</w:t>
            </w:r>
          </w:p>
        </w:tc>
      </w:tr>
      <w:tr>
        <w:trPr>
          <w:cantSplit/>
        </w:trPr>
        <w:tc>
          <w:tcPr>
            <w:tcW w:w="1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Promotion</w:t>
            </w:r>
          </w:p>
        </w:tc>
        <w:tc>
          <w:tcPr>
            <w:tcW w:w="3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Инструменты продвижения и коммуникации</w:t>
            </w:r>
          </w:p>
        </w:tc>
        <w:tc>
          <w:tcPr>
            <w:tcW w:w="4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Формирует осведомлённость, интерес и доверие к новому продукту</w:t>
            </w:r>
          </w:p>
        </w:tc>
      </w:tr>
      <w:tr>
        <w:trPr>
          <w:cantSplit/>
        </w:trPr>
        <w:tc>
          <w:tcPr>
            <w:tcW w:w="1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People</w:t>
            </w:r>
          </w:p>
        </w:tc>
        <w:tc>
          <w:tcPr>
            <w:tcW w:w="3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Сотрудники и консультанты</w:t>
            </w:r>
          </w:p>
        </w:tc>
        <w:tc>
          <w:tcPr>
            <w:tcW w:w="4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Влияют на качество объяснения продукта и сопровождение пользователей</w:t>
            </w:r>
          </w:p>
        </w:tc>
      </w:tr>
      <w:tr>
        <w:trPr>
          <w:cantSplit/>
        </w:trPr>
        <w:tc>
          <w:tcPr>
            <w:tcW w:w="1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Process</w:t>
            </w:r>
          </w:p>
        </w:tc>
        <w:tc>
          <w:tcPr>
            <w:tcW w:w="3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Процесс использования продукта</w:t>
            </w:r>
          </w:p>
        </w:tc>
        <w:tc>
          <w:tcPr>
            <w:tcW w:w="4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Определяет удобство, простоту и скорость взаимодействия пользователя с продуктом</w:t>
            </w:r>
          </w:p>
        </w:tc>
      </w:tr>
      <w:tr>
        <w:trPr>
          <w:cantSplit/>
        </w:trPr>
        <w:tc>
          <w:tcPr>
            <w:tcW w:w="1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Physical evidence</w:t>
            </w:r>
          </w:p>
        </w:tc>
        <w:tc>
          <w:tcPr>
            <w:tcW w:w="3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Доказательства надёжности и качества</w:t>
            </w:r>
          </w:p>
        </w:tc>
        <w:tc>
          <w:tcPr>
            <w:tcW w:w="4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Помогают снизить недоверие к инновации через отзывы, кейсы, сертификаты, демонстрации</w:t>
            </w:r>
          </w:p>
        </w:tc>
      </w:tr>
    </w:tbl>
    <w:p>
      <w:pPr>
        <w:spacing w:before="0" w:after="0" w:line="240" w:lineRule="auto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Источник: составлено автором по данным [8, с. 354; 10, с. 215]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Для инновационных технологических продуктов особое значение имеют элементы People, Process и Physical evidence — именно они снижают недоверие потребителей и формируют положительный пользовательский опыт [16, с. 50; 24, с. 109].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Продвижение инновационного продукта рассматривается через шестиэтапную маркетинговую воронку — осведомлённость, интерес, доверие, пробное использование, принятие, лояльность [6, с. 64; 7, с. 64]. Ключевое отличие воронки инновационного продукта от традиционного товара — наличие отдельного этапа «Доверие» между интересом и пробным использованием. Без этого этапа потенциальный пользователь не переходит к практическому взаимодействию с технологией, поэтому именно на формирование доверия должна быть направлена основная часть коммуникационных усилий и бюджета на ранних стадиях [20, с. 11; 19, с. 6]. На начальном этапе вывода приоритетны информирование, разъяснение функций и преимуществ, снижение воспринимаемых рисков [18, с. 6; 20, с. 10]; по мере распространения акцент смещается на эмоциональную привязанность к бренду, повторные использования и сообщество лояльных пользователей [8, с. 478]. Цифровые каналы дают точное таргетирование, оперативную обратную связь, персонализацию и измеримость [6, с. 78; 7, с. 78]; интернет-маркетинг включает SEO, контекстную рекламу и контент-маркетинг [6, с. 102; 7, с. 102]. Социальные медиа эффективны за счёт вирусного распространения, дискуссий с пользователями, работы с лидерами мнений и сообществ [6, с. 134; 7, с. 134]. Каналы продвижения инновационного продукта систематизированы в таблице 1.2.2.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Таблица 1.2.2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Каналы продвижения инновационного продукта</w:t>
      </w:r>
    </w:p>
    <w:tbl>
      <w:tblPr>
        <w:tblW w:w="9637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09"/>
        <w:gridCol w:w="2976"/>
        <w:gridCol w:w="4252"/>
      </w:tblGrid>
      <w:tr>
        <w:trPr>
          <w:tblHeader/>
          <w:cantSplit/>
        </w:trPr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Канал продвижения</w:t>
            </w:r>
          </w:p>
        </w:tc>
        <w:tc>
          <w:tcPr>
            <w:tcW w:w="2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Цель использования</w:t>
            </w:r>
          </w:p>
        </w:tc>
        <w:tc>
          <w:tcPr>
            <w:tcW w:w="42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Особенности применения для инновационного продукта</w:t>
            </w:r>
          </w:p>
        </w:tc>
      </w:tr>
      <w:tr>
        <w:trPr>
          <w:cantSplit/>
        </w:trPr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Официальный сайт организации</w:t>
            </w:r>
          </w:p>
        </w:tc>
        <w:tc>
          <w:tcPr>
            <w:tcW w:w="2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Размещение основной информации о продукте</w:t>
            </w:r>
          </w:p>
        </w:tc>
        <w:tc>
          <w:tcPr>
            <w:tcW w:w="42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Позволяет представить описание продукта, преимущества, условия использования и ответы на частые вопросы</w:t>
            </w:r>
          </w:p>
        </w:tc>
      </w:tr>
      <w:tr>
        <w:trPr>
          <w:cantSplit/>
        </w:trPr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PR и деловые СМИ</w:t>
            </w:r>
          </w:p>
        </w:tc>
        <w:tc>
          <w:tcPr>
            <w:tcW w:w="2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Формирование доверия и экспертного имиджа</w:t>
            </w:r>
          </w:p>
        </w:tc>
        <w:tc>
          <w:tcPr>
            <w:tcW w:w="42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Помогает объяснить значимость инновации и повысить узнаваемость продукта</w:t>
            </w:r>
          </w:p>
        </w:tc>
      </w:tr>
      <w:tr>
        <w:trPr>
          <w:cantSplit/>
        </w:trPr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Социальные сети</w:t>
            </w:r>
          </w:p>
        </w:tc>
        <w:tc>
          <w:tcPr>
            <w:tcW w:w="2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Расширение охвата аудитории</w:t>
            </w:r>
          </w:p>
        </w:tc>
        <w:tc>
          <w:tcPr>
            <w:tcW w:w="42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Позволяют простым языком объяснить преимущества продукта и работать с возражениями пользователей</w:t>
            </w:r>
          </w:p>
        </w:tc>
      </w:tr>
      <w:tr>
        <w:trPr>
          <w:cantSplit/>
        </w:trPr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Демо-презентации</w:t>
            </w:r>
          </w:p>
        </w:tc>
        <w:tc>
          <w:tcPr>
            <w:tcW w:w="2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Показ продукта в действии</w:t>
            </w:r>
          </w:p>
        </w:tc>
        <w:tc>
          <w:tcPr>
            <w:tcW w:w="42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Позволяют потенциальным пользователям увидеть работу продукта и снизить недоверие к новой технологии</w:t>
            </w:r>
          </w:p>
        </w:tc>
      </w:tr>
      <w:tr>
        <w:trPr>
          <w:cantSplit/>
        </w:trPr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Контент-маркетинг</w:t>
            </w:r>
          </w:p>
        </w:tc>
        <w:tc>
          <w:tcPr>
            <w:tcW w:w="2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Обучение и информирование аудитории</w:t>
            </w:r>
          </w:p>
        </w:tc>
        <w:tc>
          <w:tcPr>
            <w:tcW w:w="42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Включает статьи, инструкции, обзоры, видеоматериалы, которые помогают снизить неопределённость</w:t>
            </w:r>
          </w:p>
        </w:tc>
      </w:tr>
      <w:tr>
        <w:trPr>
          <w:cantSplit/>
        </w:trPr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Пилотные проекты</w:t>
            </w:r>
          </w:p>
        </w:tc>
        <w:tc>
          <w:tcPr>
            <w:tcW w:w="2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Проверка продукта в ограниченном масштабе</w:t>
            </w:r>
          </w:p>
        </w:tc>
        <w:tc>
          <w:tcPr>
            <w:tcW w:w="42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Позволяют собрать обратную связь и подтвердить практическую ценность продукта</w:t>
            </w:r>
          </w:p>
        </w:tc>
      </w:tr>
      <w:tr>
        <w:trPr>
          <w:cantSplit/>
        </w:trPr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Партнёрские каналы</w:t>
            </w:r>
          </w:p>
        </w:tc>
        <w:tc>
          <w:tcPr>
            <w:tcW w:w="2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Расширение охвата через другие организации</w:t>
            </w:r>
          </w:p>
        </w:tc>
        <w:tc>
          <w:tcPr>
            <w:tcW w:w="42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Эффективны для продвижения сложных технологических решений на B2B-рынке</w:t>
            </w:r>
          </w:p>
        </w:tc>
      </w:tr>
      <w:tr>
        <w:trPr>
          <w:cantSplit/>
        </w:trPr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Отраслевые мероприятия</w:t>
            </w:r>
          </w:p>
        </w:tc>
        <w:tc>
          <w:tcPr>
            <w:tcW w:w="2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Выход на профессиональную аудиторию</w:t>
            </w:r>
          </w:p>
        </w:tc>
        <w:tc>
          <w:tcPr>
            <w:tcW w:w="42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Подходят для продвижения инноваций среди компаний, экспертов и потенциальных партнёров</w:t>
            </w:r>
          </w:p>
        </w:tc>
      </w:tr>
    </w:tbl>
    <w:p>
      <w:pPr>
        <w:spacing w:before="0" w:after="0" w:line="240" w:lineRule="auto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Источник: составлено автором по данным [6, с. 102–135; 7, с. 102–135; 20, с. 12]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Для инновационных продуктов особенно важны не только рекламные каналы, но и образовательные, экспертные и демонстрационные форматы [20, с. 12; 19, с. 7]. Стратегия работы с ранними последователями критична: они выполняют функцию «послов бренда», формируют первичные отзывы и влияют на решения более консервативных сегментов [14, с. 161; 17, с. 47]. Привлечение ранних последователей требует эксклюзивного раннего доступа, специальных ценовых условий, возможности участия в тестировании и доработке продукта [21, с. 15; 19, с. 8]; управление отзывами предполагает мониторинг обратной связи, оперативное реагирование и публичную демонстрацию учёта пользовательских предложений [18, с. 8; 21, с. 17]. Для Face2 ранние последователи — технологически ориентированные сотрудники банка, корпоративные клиенты, заинтересованные в цифровизации, и партнёрские организации, готовые участвовать в пилотах [27].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Ценовая стратегия определяет баланс между возвратом инвестиций, конкурентным позиционированием и доступностью [8, с. 392; 10, с. 224]: стратегия снятия сливок (высокая начальная цена для ранних последователей со снижением для массовых сегментов), стратегия проникновения (низкая цена для захвата доли рынка) [8, с. 396]. Для банковских инновационных продуктов характерна стратегия бесплатной базовой функциональности с монетизацией через дополнительные услуги — она минимизирует барьеры принятия [24, с. 110]. Партнёрская стратегия формирует альянсы с обладателями комплементарных продуктов, доступа к аудитории или релевантной экспертизы [18, с. 9; 19, с. 8]; для биометрических банковских продуктов потенциальные партнёры — производители оборудования, разработчики ОС, платёжные системы, ритейлеры [16, с. 51; 27]. Совместные кампании дают синергетический эффект и повышают эффективность инвестиций в продвижение [18, с. 9].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Измерение эффективности требует системы KPI, отражающих прогресс на разных этапах жизненного цикла [5, с. 198; 8, с. 524]: на стадии внедрения — осведомлённость, понимание функций, намерение попробовать; на этапе роста — число новых пользователей, частота использования, удовлетворённость, готовность рекомендовать [5, с. 201]; финансовые показатели — CAC, LTV, ROI, доля рынка [6, с. 156; 8, с. 528]. Аналитика цифровых каналов позволяет оперативно оптимизировать стратегию [7, с. 156]. Основные показатели систематизированы в таблице 1.2.3.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Таблица 1.2.3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Показатели эффективности продвижения инновационного продукта</w:t>
      </w:r>
    </w:p>
    <w:tbl>
      <w:tblPr>
        <w:tblW w:w="9637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212"/>
        <w:gridCol w:w="6425"/>
      </w:tblGrid>
      <w:tr>
        <w:trPr>
          <w:tblHeader/>
          <w:cantSplit/>
        </w:trPr>
        <w:tc>
          <w:tcPr>
            <w:tcW w:w="3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Цель продвижения</w:t>
            </w:r>
          </w:p>
        </w:tc>
        <w:tc>
          <w:tcPr>
            <w:tcW w:w="6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Показатель эффективности</w:t>
            </w:r>
          </w:p>
        </w:tc>
      </w:tr>
      <w:tr>
        <w:trPr>
          <w:cantSplit/>
        </w:trPr>
        <w:tc>
          <w:tcPr>
            <w:tcW w:w="3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Повышение осведомлённости</w:t>
            </w:r>
          </w:p>
        </w:tc>
        <w:tc>
          <w:tcPr>
            <w:tcW w:w="6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Охват аудитории, посещаемость сайта, количество упоминаний в СМИ</w:t>
            </w:r>
          </w:p>
        </w:tc>
      </w:tr>
      <w:tr>
        <w:trPr>
          <w:cantSplit/>
        </w:trPr>
        <w:tc>
          <w:tcPr>
            <w:tcW w:w="3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Формирование интереса</w:t>
            </w:r>
          </w:p>
        </w:tc>
        <w:tc>
          <w:tcPr>
            <w:tcW w:w="6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Количество заявок, просмотров презентаций, обращений за информацией</w:t>
            </w:r>
          </w:p>
        </w:tc>
      </w:tr>
      <w:tr>
        <w:trPr>
          <w:cantSplit/>
        </w:trPr>
        <w:tc>
          <w:tcPr>
            <w:tcW w:w="3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Снижение недоверия</w:t>
            </w:r>
          </w:p>
        </w:tc>
        <w:tc>
          <w:tcPr>
            <w:tcW w:w="6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Количество положительных отзывов, снижение отказов, результаты опросов</w:t>
            </w:r>
          </w:p>
        </w:tc>
      </w:tr>
      <w:tr>
        <w:trPr>
          <w:cantSplit/>
        </w:trPr>
        <w:tc>
          <w:tcPr>
            <w:tcW w:w="3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Привлечение пользователей</w:t>
            </w:r>
          </w:p>
        </w:tc>
        <w:tc>
          <w:tcPr>
            <w:tcW w:w="6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Количество регистраций, подключений пилотных внедрений</w:t>
            </w:r>
          </w:p>
        </w:tc>
      </w:tr>
      <w:tr>
        <w:trPr>
          <w:cantSplit/>
        </w:trPr>
        <w:tc>
          <w:tcPr>
            <w:tcW w:w="3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Удержание пользователей</w:t>
            </w:r>
          </w:p>
        </w:tc>
        <w:tc>
          <w:tcPr>
            <w:tcW w:w="6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Частота использования, повторные обращения, активность пользователей</w:t>
            </w:r>
          </w:p>
        </w:tc>
      </w:tr>
      <w:tr>
        <w:trPr>
          <w:cantSplit/>
        </w:trPr>
        <w:tc>
          <w:tcPr>
            <w:tcW w:w="3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Экономическая эффективность</w:t>
            </w:r>
          </w:p>
        </w:tc>
        <w:tc>
          <w:tcPr>
            <w:tcW w:w="6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Стоимость привлечения клиента, ROI, LTV, срок окупаемости</w:t>
            </w:r>
          </w:p>
        </w:tc>
      </w:tr>
      <w:tr>
        <w:trPr>
          <w:cantSplit/>
        </w:trPr>
        <w:tc>
          <w:tcPr>
            <w:tcW w:w="3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Репутационный эффект</w:t>
            </w:r>
          </w:p>
        </w:tc>
        <w:tc>
          <w:tcPr>
            <w:tcW w:w="6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Индекс удовлетворённости, NPS, экспертные публикации</w:t>
            </w:r>
          </w:p>
        </w:tc>
      </w:tr>
    </w:tbl>
    <w:p>
      <w:pPr>
        <w:spacing w:before="0" w:after="0" w:line="240" w:lineRule="auto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Источник: составлено автором по данным [5, с. 198–202; 6, с. 156; 8, с. 524–528]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Для Face2 система KPI должна включать не только маркетинговые показатели охвата и узнаваемости, но и метрики доверия, активности пользователей, количества внедрений и экономического эффекта: успешность продвижения биометрического продукта определяется не только интересом аудитории, но и фактическим принятием технологии [16, с. 53; 24, с. 111]. Развёрнутая система KPI стратегии Face2 разрабатывается в § 3.3.1 и Приложении А.</w:t>
      </w:r>
    </w:p>
    <w:p>
      <w:pPr>
        <w:keepNext/>
        <w:keepLines/>
        <w:spacing w:before="200" w:after="120" w:line="360" w:lineRule="auto"/>
        <w:jc w:val="center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b/>
          <w:bCs/>
          <w:color w:val="000000"/>
          <w:sz w:val="28"/>
          <w:szCs w:val="28"/>
          <w:lang w:val="ru-RU"/>
        </w:rPr>
        <w:t xml:space="preserve">1.3. Особенности продвижения биометрических технологий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Биометрические технологии в банковском секторе требуют не нового набора инструментов продвижения по сравнению с § 1.2, а особой их конфигурации: смещения акцентов в воронке, перераспределения веса между элементами 7P и изменения логики каналов. Настоящий параграф фиксирует особенности биометрии, барьеры её принятия и условия, при которых стандартные маркетинговые инструменты переходят в специфические для банковской биометрии формы.</w:t>
      </w:r>
    </w:p>
    <w:p>
      <w:pPr>
        <w:keepNext/>
        <w:keepLines/>
        <w:spacing w:before="200" w:after="120" w:line="360" w:lineRule="auto"/>
        <w:jc w:val="center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b/>
          <w:bCs/>
          <w:color w:val="000000"/>
          <w:sz w:val="28"/>
          <w:szCs w:val="28"/>
          <w:lang w:val="ru-RU"/>
        </w:rPr>
        <w:t xml:space="preserve">Биометрия в банковском секторе: краткая рамка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Биометрия — технология распознавания личности по уникальным физиологическим или поведенческим характеристикам: лицу, голосу, отпечаткам пальцев, рисунку радужной оболочки [15, с. 29; 24, с. 100]. В банковской сфере она решает безопасную идентификацию клиентов при дистанционном обслуживании, противодействие мошенничеству и упрощение доступа к продуктам [16, с. 38; 24, с. 104; 25, с. 115].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Регуляторный контур в России жёсткий и определяет рамки любых действий банка с биометрией. Федеральный закон от 29.12.2022 № 572-ФЗ относит биометрические векторы к специальной категории персональных данных, обязывает хранить их в Государственной информационной системе ЕБС и разрешает аутентификацию по биометрии только аккредитованным организациям и только при письменном согласии гражданина [23, с. 92–94]. Для банка аккредитация Минцифры России в качестве оператора коммерческой биометрической системы (КБС), сертификация ФСБ и ФСТЭК, включение в реестр отечественного ПО — не формальность, а условие существования продукта на рынке, а после введения 420-ФЗ и 421-ФЗ от 30 ноября 2024 года — ещё и условие защиты от штрафов до 1–3% годового дохода и уголовной ответственности за неправомерное обращение с биометрическими данными [23, с. 95; 27]. Сферы применения биометрии в банке и за его пределами показаны на рисунке 1.3.1.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![Области применения биометрии](figures/fig_1_3_1_biometry_areas.svg)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Источник: построено автором по данным [15, с. 31; 16, с. 39; 24, с. 102; 27]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Рис. 1.3.1. Области применения биометрии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Банковский сектор — лишь одно из применений, но самое требовательное по совокупности факторов: высокая чувствительность данных, прямая связь с финансами, регуляторное давление, ожидания пользователя по скорости и надёжности. Поэтому стратегия продвижения, отстроенная для биометрии в банке, потом легко переносится на другие отрасли, а обратное — нет. Дальнейший анализ ведётся именно в банковском контуре.</w:t>
      </w:r>
    </w:p>
    <w:p>
      <w:pPr>
        <w:keepNext/>
        <w:keepLines/>
        <w:spacing w:before="200" w:after="120" w:line="360" w:lineRule="auto"/>
        <w:jc w:val="center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b/>
          <w:bCs/>
          <w:color w:val="000000"/>
          <w:sz w:val="28"/>
          <w:szCs w:val="28"/>
          <w:lang w:val="ru-RU"/>
        </w:rPr>
        <w:t xml:space="preserve">Барьеры принятия как стартовая точка продвижения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Если для обычного банковского продукта продвижение начинается с информирования и стимулирования спроса, то для биометрии оно начинается с барьеров. Без их снятия информирование не работает: клиент слышит сообщение о новом сервисе, но не переходит к действию [16, с. 43; 25, с. 113]. Барьеры биометрии в банковском секторе делятся на четыре группы — психологические, поведенческие, организационные (для B2B-заказчиков) и регуляторно-репутационные. Каждая группа требует своего инструментария продвижения, и именно сопоставление барьеров с инструментами из параграфа 1.2 даёт работоспособную стратегию (таблица 1.3.1).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Таблица 1.3.1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Барьеры принятия биометрических технологий и инструменты их преодоления</w:t>
      </w:r>
    </w:p>
    <w:tbl>
      <w:tblPr>
        <w:tblW w:w="9637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095"/>
        <w:gridCol w:w="2514"/>
        <w:gridCol w:w="2514"/>
        <w:gridCol w:w="2514"/>
      </w:tblGrid>
      <w:tr>
        <w:trPr>
          <w:tblHeader/>
          <w:cantSplit/>
        </w:trPr>
        <w:tc>
          <w:tcPr>
            <w:tcW w:w="2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Группа барьеров</w:t>
            </w:r>
          </w:p>
        </w:tc>
        <w:tc>
          <w:tcPr>
            <w:tcW w:w="2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Содержание барьера</w:t>
            </w:r>
          </w:p>
        </w:tc>
        <w:tc>
          <w:tcPr>
            <w:tcW w:w="2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Инструмент продвижения (из 1.2)</w:t>
            </w:r>
          </w:p>
        </w:tc>
        <w:tc>
          <w:tcPr>
            <w:tcW w:w="2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Конкретная форма для биометрии</w:t>
            </w:r>
          </w:p>
        </w:tc>
      </w:tr>
      <w:tr>
        <w:trPr>
          <w:cantSplit/>
        </w:trPr>
        <w:tc>
          <w:tcPr>
            <w:tcW w:w="2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Психологические</w:t>
            </w:r>
          </w:p>
        </w:tc>
        <w:tc>
          <w:tcPr>
            <w:tcW w:w="2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Страх утечки биометрии, опасения злоупотреблений, ощущение невозможности «отозвать» сданный образец</w:t>
            </w:r>
          </w:p>
        </w:tc>
        <w:tc>
          <w:tcPr>
            <w:tcW w:w="2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Этап «Доверие» в воронке; элемент Physical evidence в 7P</w:t>
            </w:r>
          </w:p>
        </w:tc>
        <w:tc>
          <w:tcPr>
            <w:tcW w:w="2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Сертификаты ФСБ/ФСТЭК, объяснение архитектуры ГИС ЕБС, прозрачная политика обработки данных</w:t>
            </w:r>
          </w:p>
        </w:tc>
      </w:tr>
      <w:tr>
        <w:trPr>
          <w:cantSplit/>
        </w:trPr>
        <w:tc>
          <w:tcPr>
            <w:tcW w:w="2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Когнитивные</w:t>
            </w:r>
          </w:p>
        </w:tc>
        <w:tc>
          <w:tcPr>
            <w:tcW w:w="2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Непонимание принципа работы, мифы о «слежке», непрозрачность сценария использования</w:t>
            </w:r>
          </w:p>
        </w:tc>
        <w:tc>
          <w:tcPr>
            <w:tcW w:w="2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Образовательный контент-маркетинг; элемент People в 7P</w:t>
            </w:r>
          </w:p>
        </w:tc>
        <w:tc>
          <w:tcPr>
            <w:tcW w:w="2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Видеоинструкции, инфографика, FAQ, разъяснения от экспертов банка</w:t>
            </w:r>
          </w:p>
        </w:tc>
      </w:tr>
      <w:tr>
        <w:trPr>
          <w:cantSplit/>
        </w:trPr>
        <w:tc>
          <w:tcPr>
            <w:tcW w:w="2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Поведенческие</w:t>
            </w:r>
          </w:p>
        </w:tc>
        <w:tc>
          <w:tcPr>
            <w:tcW w:w="2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Привычка к картам, паролям и документам; инерция потребительского поведения</w:t>
            </w:r>
          </w:p>
        </w:tc>
        <w:tc>
          <w:tcPr>
            <w:tcW w:w="2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Демонстрационная стратегия; стратегия работы с ранними последователями</w:t>
            </w:r>
          </w:p>
        </w:tc>
        <w:tc>
          <w:tcPr>
            <w:tcW w:w="2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Демозоны в отделениях, пилоты на лояльной аудитории (сотрудники, корпоративные клиенты), геймификация регистрации</w:t>
            </w:r>
          </w:p>
        </w:tc>
      </w:tr>
      <w:tr>
        <w:trPr>
          <w:cantSplit/>
        </w:trPr>
        <w:tc>
          <w:tcPr>
            <w:tcW w:w="2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Организационные (B2B)</w:t>
            </w:r>
          </w:p>
        </w:tc>
        <w:tc>
          <w:tcPr>
            <w:tcW w:w="2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Стоимость внедрения, длительный срок окупаемости, сложность интеграции с существующей СКУД и ИТ-инфраструктурой</w:t>
            </w:r>
          </w:p>
        </w:tc>
        <w:tc>
          <w:tcPr>
            <w:tcW w:w="2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Расчёт ROI и LTV; партнёрская стратегия; пилотные проекты</w:t>
            </w:r>
          </w:p>
        </w:tc>
        <w:tc>
          <w:tcPr>
            <w:tcW w:w="2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Бизнес-кейсы с количественным эффектом, пилотные внедрения с минимальной инфраструктурой, партнёрства с интеграторами</w:t>
            </w:r>
          </w:p>
        </w:tc>
      </w:tr>
      <w:tr>
        <w:trPr>
          <w:cantSplit/>
        </w:trPr>
        <w:tc>
          <w:tcPr>
            <w:tcW w:w="2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Регуляторно-репутационные</w:t>
            </w:r>
          </w:p>
        </w:tc>
        <w:tc>
          <w:tcPr>
            <w:tcW w:w="2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Риск штрафов и уголовной ответственности при неправомерном обращении с биометрией; репутационный ущерб от инцидентов</w:t>
            </w:r>
          </w:p>
        </w:tc>
        <w:tc>
          <w:tcPr>
            <w:tcW w:w="2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PR и деловые СМИ; элемент Physical evidence в 7P</w:t>
            </w:r>
          </w:p>
        </w:tc>
        <w:tc>
          <w:tcPr>
            <w:tcW w:w="2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Демонстрация статуса аккредитованного оператора КБС, публикация ESG-отчётности, открытость к проверкам</w:t>
            </w:r>
          </w:p>
        </w:tc>
      </w:tr>
    </w:tbl>
    <w:p>
      <w:pPr>
        <w:spacing w:before="0" w:after="0" w:line="240" w:lineRule="auto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Источник: составлено автором по данным [16, с. 41–47; 24, с. 106–110; 25, с. 113–119; 8, с. 354; 19, с. 7–8; 27]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Главный практический вывод из этой раскладки в том, что бюджет продвижения биометрии распределяется иначе, чем для обычного банковского продукта. Если у массового потребительского сервиса основная часть приходится на этап осведомлённости и интереса, то у биометрии непропорционально большая доля уходит на этапы доверия и пробного использования: образовательный контент, демонстрации, пилоты, экспертные публикации, разъяснение мер защиты данных. На массовую рекламу до снятия барьеров доверия инвестиции окупаются плохо.</w:t>
      </w:r>
    </w:p>
    <w:p>
      <w:pPr>
        <w:keepNext/>
        <w:keepLines/>
        <w:spacing w:before="200" w:after="120" w:line="360" w:lineRule="auto"/>
        <w:jc w:val="center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b/>
          <w:bCs/>
          <w:color w:val="000000"/>
          <w:sz w:val="28"/>
          <w:szCs w:val="28"/>
          <w:lang w:val="ru-RU"/>
        </w:rPr>
        <w:t xml:space="preserve">Условия успешного продвижения биометрических технологий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Барьеры показывают, что нужно преодолеть; условия успеха — какие предпосылки должны выполняться, чтобы продвижение в принципе работало. Это четыре группы факторов, которые формируют верхнюю границу того, что вообще достижимо маркетингом (таблица 1.3.2).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Таблица 1.3.2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Условия успешного продвижения биометрических технологий в банковском секторе</w:t>
      </w:r>
    </w:p>
    <w:tbl>
      <w:tblPr>
        <w:tblW w:w="963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834"/>
        <w:gridCol w:w="3401"/>
        <w:gridCol w:w="3401"/>
      </w:tblGrid>
      <w:tr>
        <w:trPr>
          <w:tblHeader/>
          <w:cantSplit/>
        </w:trPr>
        <w:tc>
          <w:tcPr>
            <w:tcW w:w="2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Группа условий</w:t>
            </w:r>
          </w:p>
        </w:tc>
        <w:tc>
          <w:tcPr>
            <w:tcW w:w="3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Содержание</w:t>
            </w:r>
          </w:p>
        </w:tc>
        <w:tc>
          <w:tcPr>
            <w:tcW w:w="3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Что обеспечивает в продвижении</w:t>
            </w:r>
          </w:p>
        </w:tc>
      </w:tr>
      <w:tr>
        <w:trPr>
          <w:cantSplit/>
        </w:trPr>
        <w:tc>
          <w:tcPr>
            <w:tcW w:w="2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Правовые</w:t>
            </w:r>
          </w:p>
        </w:tc>
        <w:tc>
          <w:tcPr>
            <w:tcW w:w="3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Соответствие 572-ФЗ, аккредитация Минцифры в качестве оператора КБС, сертификация ФСБ и ФСТЭК, наличие письменного согласия пользователя</w:t>
            </w:r>
          </w:p>
        </w:tc>
        <w:tc>
          <w:tcPr>
            <w:tcW w:w="3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Право вообще выводить продукт на рынок и легально использовать его в коммуникации как «безопасный и законный»</w:t>
            </w:r>
          </w:p>
        </w:tc>
      </w:tr>
      <w:tr>
        <w:trPr>
          <w:cantSplit/>
        </w:trPr>
        <w:tc>
          <w:tcPr>
            <w:tcW w:w="2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Социально-психологические</w:t>
            </w:r>
          </w:p>
        </w:tc>
        <w:tc>
          <w:tcPr>
            <w:tcW w:w="3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Уровень доверия к технологии, готовность аудитории к освоению инноваций, отсутствие острых негативных кейсов в публичном поле</w:t>
            </w:r>
          </w:p>
        </w:tc>
        <w:tc>
          <w:tcPr>
            <w:tcW w:w="3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Восприимчивость аудитории к маркетинговым сообщениям; реалистичность сроков перехода от интереса к принятию</w:t>
            </w:r>
          </w:p>
        </w:tc>
      </w:tr>
      <w:tr>
        <w:trPr>
          <w:cantSplit/>
        </w:trPr>
        <w:tc>
          <w:tcPr>
            <w:tcW w:w="2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Технологические</w:t>
            </w:r>
          </w:p>
        </w:tc>
        <w:tc>
          <w:tcPr>
            <w:tcW w:w="3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Точность распознавания (FAR/FRR), надёжность оборудования, скорость работы, простота интеграции с существующими системами заказчика</w:t>
            </w:r>
          </w:p>
        </w:tc>
        <w:tc>
          <w:tcPr>
            <w:tcW w:w="3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Реальное соответствие продукта обещаниям маркетинга; возможность работы со статистикой точности и кейсами</w:t>
            </w:r>
          </w:p>
        </w:tc>
      </w:tr>
      <w:tr>
        <w:trPr>
          <w:cantSplit/>
        </w:trPr>
        <w:tc>
          <w:tcPr>
            <w:tcW w:w="2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Экономические</w:t>
            </w:r>
          </w:p>
        </w:tc>
        <w:tc>
          <w:tcPr>
            <w:tcW w:w="3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Понятный срок окупаемости для B2B-заказчика, обоснованная цена внедрения, измеримый эффект (сокращение очередей, снижение операционных рисков, ускорение обслуживания)</w:t>
            </w:r>
          </w:p>
        </w:tc>
        <w:tc>
          <w:tcPr>
            <w:tcW w:w="3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Аргументация продаж в B2B и B2G; возможность строить продвижение на ROI, а не только на эмоциях</w:t>
            </w:r>
          </w:p>
        </w:tc>
      </w:tr>
    </w:tbl>
    <w:p>
      <w:pPr>
        <w:spacing w:before="0" w:after="0" w:line="240" w:lineRule="auto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Источник: составлено автором по данным [16, с. 45; 23, с. 93; 24, с. 106; 27]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Эти четыре группы — не предмет маркетинга, а его рамка. Если правовое условие нарушено, никакое продвижение не спасёт продукт от регуляторных санкций. Если технологическое условие не выполняется (например, точность распознавания недостаточна для финансовых операций), любая реклама сработает в минус: первый же негативный пользовательский опыт уничтожит репутационный капитал. Если экономическое условие не обосновано для B2B-клиента, лучшая в мире коммуникация не приведёт к подписанию контракта. Поэтому стратегия продвижения биометрии в банке всегда строится после того, как зафиксированы эти четыре опоры, а не вместо них.</w:t>
      </w:r>
    </w:p>
    <w:p>
      <w:pPr>
        <w:keepNext/>
        <w:keepLines/>
        <w:spacing w:before="200" w:after="120" w:line="360" w:lineRule="auto"/>
        <w:jc w:val="center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b/>
          <w:bCs/>
          <w:color w:val="000000"/>
          <w:sz w:val="28"/>
          <w:szCs w:val="28"/>
          <w:lang w:val="ru-RU"/>
        </w:rPr>
        <w:t xml:space="preserve">Конфигурация инструментов из 1.2 под специфику биометрии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С учётом барьеров и условий стандартные инструменты продвижения, рассмотренные в параграфе 1.2, перенастраиваются для биометрии в банковском секторе следующим образом.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b/>
          <w:bCs/>
          <w:color w:val="000000"/>
          <w:sz w:val="28"/>
          <w:szCs w:val="28"/>
          <w:lang w:val="ru-RU"/>
        </w:rPr>
        <w:t xml:space="preserve">Интегрированная стратегия (push + pull) в банковской биометрии распадается по сегментам.</w:t>
      </w: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 Push-составляющая работает в B2B и B2G: банк через прямые продажи, отраслевые конференции, партнёрства с интеграторами и вендорами оборудования продвигает решение корпоративным заказчикам и государственным организациям. Pull-составляющая работает в B2C: формирование спроса со стороны конечных пользователей через рекламу, контент-маркетинг и социальные сети [16, с. 48; 24, с. 106]. Особенность в том, что pull в биометрии вторичен по отношению к push: B2B-заказчик принимает решение о внедрении только тогда, когда видит готовность своих клиентов пользоваться технологией, а готовность клиентов формируется через массовые сценарии (метро, библиотеки, магазины), которые сами по себе требуют B2B-партнёра.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b/>
          <w:bCs/>
          <w:color w:val="000000"/>
          <w:sz w:val="28"/>
          <w:szCs w:val="28"/>
          <w:lang w:val="ru-RU"/>
        </w:rPr>
        <w:t xml:space="preserve">Модель STP сегментирует рынок не по социально-демографическим признакам, а по типу заказчика и сценарию использования.</w:t>
      </w: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 Сегменты — банки, МФО, ритейл, гостиницы, транспорт, режимные объекты, государственные учреждения. Для каждого формируется собственное позиционирование: для банков — «соответствие 572-ФЗ и снижение рисков мошенничества», для ритейла — «ускорение обслуживания», для режимных объектов — «контроль доступа без передаваемых пропусков», для государственных учреждений — «цифровизация идентификации без документов» [5, с. 124; 8, с. 314].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b/>
          <w:bCs/>
          <w:color w:val="000000"/>
          <w:sz w:val="28"/>
          <w:szCs w:val="28"/>
          <w:lang w:val="ru-RU"/>
        </w:rPr>
        <w:t xml:space="preserve">В расширенном комплексе 7P для биометрии непропорционально вырастают три элемента — People, Process и Physical evidence.</w:t>
      </w: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 People — экспертиза сотрудников банка, выступающих публичными лицами продукта, и качество сопровождения внедрения у заказчика. Process — простота пользовательского пути регистрации и использования (минимизация шагов, скорость распознавания, понятный сценарий восстановления доступа). Physical evidence — сертификаты ФСБ и ФСТЭК, аккредитация Минцифры, кейсы внедрений, отзывы сотрудников банка как ранних пользователей [16, с. 50; 24, с. 109]. Эти три элемента закрывают психологический барьер сильнее, чем элементы Promotion и Price в их классической форме.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b/>
          <w:bCs/>
          <w:color w:val="000000"/>
          <w:sz w:val="28"/>
          <w:szCs w:val="28"/>
          <w:lang w:val="ru-RU"/>
        </w:rPr>
        <w:t xml:space="preserve">Маркетинговая воронка для биометрии вытягивается на этапе «Доверие».</w:t>
      </w: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 Между этапами «Интерес» и «Пробное использование» стандартной воронки в биометрии встраивается отдельный длинный этап работы с возражениями: разъяснение архитектуры хранения биометрии в ГИС ЕБС, демонстрация мер защиты, ответы на вопросы о конфиденциальности, публикация статистики точности. Без этого этапа большая часть аудитории, проявившей интерес, не доходит до пробного использования [6, с. 64; 20, с. 11; 19, с. 6].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b/>
          <w:bCs/>
          <w:color w:val="000000"/>
          <w:sz w:val="28"/>
          <w:szCs w:val="28"/>
          <w:lang w:val="ru-RU"/>
        </w:rPr>
        <w:t xml:space="preserve">Каналы продвижения смещаются в сторону экспертных и демонстрационных форматов.</w:t>
      </w: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 Удельный вес массовой рекламы снижается в пользу образовательного контент-маркетинга, отраслевых мероприятий, экспертных публикаций в деловых СМИ и физических демозон в офисах банка и партнёрских точках. Социальные сети используются не столько для прямого охвата, сколько для работы с возражениями и распространения отзывов «послов бренда» — технологически ориентированных сотрудников банка, корпоративных клиентов и пилотных пользователей [6, с. 102–135; 14, с. 161; 27].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b/>
          <w:bCs/>
          <w:color w:val="000000"/>
          <w:sz w:val="28"/>
          <w:szCs w:val="28"/>
          <w:lang w:val="ru-RU"/>
        </w:rPr>
        <w:t xml:space="preserve">Программы стимулирования и партнёрства образуют экосистемный слой продвижения.</w:t>
      </w: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 Геймификация регистрации, бонусные программы для ранних пользователей, эксклюзивный доступ к дополнительным функциям снижают психологические барьеры и повышают конверсию в пробное использование [18, с. 8; 6, с. 124; 19, с. 8]. Партнёрства с производителями турникетов и POS-терминалов, разработчиками СКУД, платёжными системами и государственными структурами расширяют каналы дистрибуции, а сама ассоциация с авторитетными партнёрами работает как дополнительный элемент Physical evidence в восприятии заказчиков [16, с. 51; 27].</w:t>
      </w:r>
    </w:p>
    <w:p>
      <w:pPr>
        <w:keepNext/>
        <w:keepLines/>
        <w:spacing w:before="200" w:after="120" w:line="360" w:lineRule="auto"/>
        <w:jc w:val="center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b/>
          <w:bCs/>
          <w:color w:val="000000"/>
          <w:sz w:val="28"/>
          <w:szCs w:val="28"/>
          <w:lang w:val="ru-RU"/>
        </w:rPr>
        <w:t xml:space="preserve">Переход к главе 2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Сформированная теоретическая рамка позволяет дальше анализировать продвижение биометрического продукта Face2 Ак Барс Банка не как набор разрозненных активностей, а как систему. В главе 2 проверяется, как эта рамка реализована на практике: какой барьерный набор реально стоит перед Face2 на российском рынке, какие из четырёх условий успеха закрыты у Ак Барс Банка институционально, как конфигурируются инструменты продвижения под продуктовую линейку (Face2Pay, Face2Pass, Face2Check-in, КБС под ключ), и какие сегменты B2B и B2G банк уже охватывает первыми коммерческими внедрениями. Параграф 2.1 описывает банк как разработчика и продукт как объект продвижения, параграф 2.2 — конкурентное окружение и рыночные условия, параграф 2.3 — текущее состояние продвижения и его пробелы. Глава 3 на этой основе формирует целевой комплекс мероприятий по продвижению Face2.</w:t>
      </w:r>
    </w:p>
    <w:p>
      <w:pPr>
        <w:spacing w:before="0" w:after="0" w:line="360" w:lineRule="auto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br w:type="page"/>
      </w:r>
    </w:p>
    <w:p>
      <w:pPr>
        <w:keepNext/>
        <w:keepLines/>
        <w:spacing w:before="240" w:after="120" w:line="360" w:lineRule="auto"/>
        <w:jc w:val="center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b/>
          <w:bCs/>
          <w:color w:val="000000"/>
          <w:sz w:val="28"/>
          <w:szCs w:val="28"/>
          <w:lang w:val="ru-RU"/>
        </w:rPr>
        <w:t xml:space="preserve">ВЫВОД ПО ГЛАВЕ 1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Инновационный продукт отличается от традиционного товара повышенным уровнем неопределённости рыночного успеха и необходимостью изменения поведенческих паттернов потребителя. Цифровые банковские инновации образуют подкласс с повышенными требованиями к защите данных и доверию пользователей; биометрические системы — крайний случай этого подкласса, сочетающий высокую технологическую сложность, работу с особо чувствительными персональными данными, жёсткий нормативно-правовой контур (№ 572-ФЗ, аккредитация Минцифры, сертификация ФСБ и ФСТЭК) и значительные психологические барьеры. Поэтому их продвижение не сводится к стандартному маркетингу и требует особой стратегии с образовательной составляющей, систематической работой с возражениями и демонстрацией мер защиты данных.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Инструментально такая стратегия опирается на интегрированный подход push + pull, модель STP, расширенный комплекс 7P с особым весом People, Process и Physical evidence, маркетинговую воронку с обязательным этапом «Доверие» и теорию диффузии инноваций Э. Роджерса. Эти универсальные инструменты перенастраиваются под пять групп барьеров принятия биометрии и опираются на четыре условия её успешного продвижения — правовое, социально-психологическое, технологическое и экономическое. Сформулированная теоретическая рамка задаёт аналитический контур главы 2 (характеристика банка и продукта, анализ рынка и текущего продвижения) и главы 3 (разработка стратегии).</w:t>
      </w:r>
    </w:p>
    <w:p>
      <w:pPr>
        <w:spacing w:before="0" w:after="0" w:line="240" w:lineRule="auto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</w:p>
    <w:p>
      <w:pPr>
        <w:keepNext/>
        <w:keepLines/>
        <w:spacing w:before="240" w:after="120" w:line="360" w:lineRule="auto"/>
        <w:jc w:val="center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b/>
          <w:bCs/>
          <w:color w:val="000000"/>
          <w:sz w:val="28"/>
          <w:szCs w:val="28"/>
          <w:lang w:val="ru-RU"/>
        </w:rPr>
        <w:t xml:space="preserve">ГЛАВА 2. АНАЛИЗ ДЕЯТЕЛЬНОСТИ АК БАРС БАНКА В КОНТЕКСТЕ РАЗРАБОТКИ СТРАТЕГИИ ПРОДВИЖЕНИЯ ИННОВАЦИОННОГО ПРОДУКТА</w:t>
      </w:r>
    </w:p>
    <w:p>
      <w:pPr>
        <w:keepNext/>
        <w:keepLines/>
        <w:spacing w:before="200" w:after="120" w:line="360" w:lineRule="auto"/>
        <w:jc w:val="center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b/>
          <w:bCs/>
          <w:color w:val="000000"/>
          <w:sz w:val="28"/>
          <w:szCs w:val="28"/>
          <w:lang w:val="ru-RU"/>
        </w:rPr>
        <w:t xml:space="preserve">2.1. Характеристика Ак Барс Банка и продукта Face2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Акционерный коммерческий банк «Ак Барс» — публичное акционерное общество со штаб-квартирой в Казани (ул. Декабристов, 1), работает по генеральной лицензии Банка России с 1993 года и входит в систему страхования вкладов [30, с. 6–7]. Основной регион присутствия — Республика Татарстан: на конец 2024 года доля местных поставщиков в бюджете закупок составила не менее 60% [26, с. 67]. Сводная динамика основных консолидированных показателей за 2023–2025 годы приведена в таблице 2.1.1.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Таблица 2.1.1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Ключевые финансовые показатели группы банка «Ак Барс» за 2023–2025 гг., млн руб.</w:t>
      </w:r>
    </w:p>
    <w:tbl>
      <w:tblPr>
        <w:tblW w:w="963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317"/>
        <w:gridCol w:w="1661"/>
        <w:gridCol w:w="1329"/>
        <w:gridCol w:w="1329"/>
      </w:tblGrid>
      <w:tr>
        <w:trPr>
          <w:tblHeader/>
          <w:cantSplit/>
        </w:trPr>
        <w:tc>
          <w:tcPr>
            <w:tcW w:w="53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Показатель</w:t>
            </w:r>
          </w:p>
        </w:tc>
        <w:tc>
          <w:tcPr>
            <w:tcW w:w="1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2023</w:t>
            </w:r>
          </w:p>
        </w:tc>
        <w:tc>
          <w:tcPr>
            <w:tcW w:w="1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2024</w:t>
            </w:r>
          </w:p>
        </w:tc>
        <w:tc>
          <w:tcPr>
            <w:tcW w:w="1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2025</w:t>
            </w:r>
          </w:p>
        </w:tc>
      </w:tr>
      <w:tr>
        <w:trPr>
          <w:cantSplit/>
        </w:trPr>
        <w:tc>
          <w:tcPr>
            <w:tcW w:w="53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Совокупные активы (на конец года)</w:t>
            </w:r>
          </w:p>
        </w:tc>
        <w:tc>
          <w:tcPr>
            <w:tcW w:w="1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н/д\*</w:t>
            </w:r>
          </w:p>
        </w:tc>
        <w:tc>
          <w:tcPr>
            <w:tcW w:w="1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946 923</w:t>
            </w:r>
          </w:p>
        </w:tc>
        <w:tc>
          <w:tcPr>
            <w:tcW w:w="1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1 157 340</w:t>
            </w:r>
          </w:p>
        </w:tc>
      </w:tr>
      <w:tr>
        <w:trPr>
          <w:cantSplit/>
        </w:trPr>
        <w:tc>
          <w:tcPr>
            <w:tcW w:w="53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Итого капитал (на конец года)</w:t>
            </w:r>
          </w:p>
        </w:tc>
        <w:tc>
          <w:tcPr>
            <w:tcW w:w="1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106 130</w:t>
            </w:r>
          </w:p>
        </w:tc>
        <w:tc>
          <w:tcPr>
            <w:tcW w:w="1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111 972</w:t>
            </w:r>
          </w:p>
        </w:tc>
        <w:tc>
          <w:tcPr>
            <w:tcW w:w="1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126 377</w:t>
            </w:r>
          </w:p>
        </w:tc>
      </w:tr>
      <w:tr>
        <w:trPr>
          <w:cantSplit/>
        </w:trPr>
        <w:tc>
          <w:tcPr>
            <w:tcW w:w="53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Чистые процентные доходы</w:t>
            </w:r>
          </w:p>
        </w:tc>
        <w:tc>
          <w:tcPr>
            <w:tcW w:w="1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31 824</w:t>
            </w:r>
          </w:p>
        </w:tc>
        <w:tc>
          <w:tcPr>
            <w:tcW w:w="1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46 590</w:t>
            </w:r>
          </w:p>
        </w:tc>
        <w:tc>
          <w:tcPr>
            <w:tcW w:w="1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58 135</w:t>
            </w:r>
          </w:p>
        </w:tc>
      </w:tr>
      <w:tr>
        <w:trPr>
          <w:cantSplit/>
        </w:trPr>
        <w:tc>
          <w:tcPr>
            <w:tcW w:w="53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Прибыль за период</w:t>
            </w:r>
          </w:p>
        </w:tc>
        <w:tc>
          <w:tcPr>
            <w:tcW w:w="1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14 195</w:t>
            </w:r>
          </w:p>
        </w:tc>
        <w:tc>
          <w:tcPr>
            <w:tcW w:w="1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7 269</w:t>
            </w:r>
          </w:p>
        </w:tc>
        <w:tc>
          <w:tcPr>
            <w:tcW w:w="1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15 708</w:t>
            </w:r>
          </w:p>
        </w:tc>
      </w:tr>
    </w:tbl>
    <w:p>
      <w:pPr>
        <w:spacing w:before="0" w:after="0" w:line="240" w:lineRule="auto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Источник: составлено автором по данным [31, с. 1–3; 30, с. 2–3]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\* В источнике [31] показатель совокупных активов на конец 2023 года не раскрывается.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Дивиденды по итогам отчётных периодов не выплачиваются, а основной финансовый результат концентрируется в корпоративном и инвестиционном сегментах [31, с. 66, 68; 30, с. 2–3]: ресурсы для продвижения нового продукта остаются внутри группы, а собственная B2B-база работает как готовый канал входа для Face2.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Действующая Стратегия развития Ак Барс Банка на 2022–2026 годы фиксирует три приоритета: эффективность, клиентоцентричность и гибкость [26, с. 16]. Биометрический продукт встаёт в этот контур естественно: «технологический суверенитет» закрывается у Face2 через сертификацию ФСБ, ФСТЭК и попадание в реестр отечественного ПО [27], «клиентоцентричность» — через сценарии оплаты и доступа без карт и документов, «гибкость» — через возможность быстро запускать сервисы на одной платформе для разных сегментов B2B. Face2 — не точечный эксперимент, а реализация трёх приоритетов одновременно. Клиентская база и розничный портфель банка задают канал, через который продукт может быть распространён во внешний рынок (таблица 2.1.2).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Таблица 2.1.2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Клиентская база и продуктовые показатели Ак Барс Банка по итогам 2024 года</w:t>
      </w:r>
    </w:p>
    <w:tbl>
      <w:tblPr>
        <w:tblW w:w="9637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052"/>
        <w:gridCol w:w="2585"/>
      </w:tblGrid>
      <w:tr>
        <w:trPr>
          <w:tblHeader/>
          <w:cantSplit/>
        </w:trPr>
        <w:tc>
          <w:tcPr>
            <w:tcW w:w="7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Показатель</w:t>
            </w:r>
          </w:p>
        </w:tc>
        <w:tc>
          <w:tcPr>
            <w:tcW w:w="25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Значение на 01.01.2025</w:t>
            </w:r>
          </w:p>
        </w:tc>
      </w:tr>
      <w:tr>
        <w:trPr>
          <w:cantSplit/>
        </w:trPr>
        <w:tc>
          <w:tcPr>
            <w:tcW w:w="7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Розничные клиенты, тыс. чел.</w:t>
            </w:r>
          </w:p>
        </w:tc>
        <w:tc>
          <w:tcPr>
            <w:tcW w:w="25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934</w:t>
            </w:r>
          </w:p>
        </w:tc>
      </w:tr>
      <w:tr>
        <w:trPr>
          <w:cantSplit/>
        </w:trPr>
        <w:tc>
          <w:tcPr>
            <w:tcW w:w="7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Корпоративные клиенты, тыс.</w:t>
            </w:r>
          </w:p>
        </w:tc>
        <w:tc>
          <w:tcPr>
            <w:tcW w:w="25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33,9</w:t>
            </w:r>
          </w:p>
        </w:tc>
      </w:tr>
      <w:tr>
        <w:trPr>
          <w:cantSplit/>
        </w:trPr>
        <w:tc>
          <w:tcPr>
            <w:tcW w:w="7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Активные пользователи Ак Барс Онлайн, тыс.</w:t>
            </w:r>
          </w:p>
        </w:tc>
        <w:tc>
          <w:tcPr>
            <w:tcW w:w="25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930</w:t>
            </w:r>
          </w:p>
        </w:tc>
      </w:tr>
      <w:tr>
        <w:trPr>
          <w:cantSplit/>
        </w:trPr>
        <w:tc>
          <w:tcPr>
            <w:tcW w:w="7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Действующие банковские карты, тыс. шт.</w:t>
            </w:r>
          </w:p>
        </w:tc>
        <w:tc>
          <w:tcPr>
            <w:tcW w:w="25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2 265</w:t>
            </w:r>
          </w:p>
        </w:tc>
      </w:tr>
      <w:tr>
        <w:trPr>
          <w:cantSplit/>
        </w:trPr>
        <w:tc>
          <w:tcPr>
            <w:tcW w:w="7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Карты жителя Республики Татарстан (всего, включая Детскую карту), шт.</w:t>
            </w:r>
          </w:p>
        </w:tc>
        <w:tc>
          <w:tcPr>
            <w:tcW w:w="25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450 131</w:t>
            </w:r>
          </w:p>
        </w:tc>
      </w:tr>
      <w:tr>
        <w:trPr>
          <w:cantSplit/>
        </w:trPr>
        <w:tc>
          <w:tcPr>
            <w:tcW w:w="7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Объём транзакций через Ак Барс Онлайн за год, млн</w:t>
            </w:r>
          </w:p>
        </w:tc>
        <w:tc>
          <w:tcPr>
            <w:tcW w:w="25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12</w:t>
            </w:r>
          </w:p>
        </w:tc>
      </w:tr>
      <w:tr>
        <w:trPr>
          <w:cantSplit/>
        </w:trPr>
        <w:tc>
          <w:tcPr>
            <w:tcW w:w="7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Розничный кредитный портфель, млрд руб.</w:t>
            </w:r>
          </w:p>
        </w:tc>
        <w:tc>
          <w:tcPr>
            <w:tcW w:w="25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199</w:t>
            </w:r>
          </w:p>
        </w:tc>
      </w:tr>
      <w:tr>
        <w:trPr>
          <w:cantSplit/>
        </w:trPr>
        <w:tc>
          <w:tcPr>
            <w:tcW w:w="7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Корпоративный кредитный портфель, млрд руб.</w:t>
            </w:r>
          </w:p>
        </w:tc>
        <w:tc>
          <w:tcPr>
            <w:tcW w:w="25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203</w:t>
            </w:r>
          </w:p>
        </w:tc>
      </w:tr>
    </w:tbl>
    <w:p>
      <w:pPr>
        <w:spacing w:before="0" w:after="0" w:line="240" w:lineRule="auto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Источник: составлено автором по данным [26, с. 17, 25, 28, 29, 33]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Банк одновременно работает с массовой розницей, корпоративным сегментом и социальной аудиторией Татарстана: «Карта жителя Республики Татарстан» охватывает 450 тыс. держателей, в том числе 115 тыс. школьников [26, с. 29]. Цифровая зрелость подтверждается 12 млн транзакций в «Ак Барс Онлайн» за год при сохранении активной аудитории около 930 тыс. человек после удаления приложения из AppStore в начале 2024 года и уже встроенным в приложение функционалом оплаты по биометрии [26, с. 33]. Запущен биоэквайринг через СБП в Казанском метрополитене — совместный проект с Минцифры России, Минтрансом России, Центром биометрических технологий и НСПК [26, с. 30–31]. Кредитные и ESG-рейтинги банка — уровня «A»/«BBB» по национальной шкале всех трёх профильных агентств (АКРА, «Эксперт РА», НКР) и Банка России [26, с. 4]: для B2B-заказчика Face2 это сигнал, что за продуктом стоит финансово устойчивый и аккредитованный банк, а не технологический стартап.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Команда Face2 много лет экспериментировала с разными методами обработки изображений и сосредоточилась на компьютерном зрении; точкой старта стал тестовый биометрический проект 2019 года в офисах самого банка [27]. Хронология развития проекта собрана в таблице 2.1.3.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Таблица 2.1.3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Хронология развития проекта Face2</w:t>
      </w:r>
    </w:p>
    <w:tbl>
      <w:tblPr>
        <w:tblW w:w="9637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133"/>
        <w:gridCol w:w="8504"/>
      </w:tblGrid>
      <w:tr>
        <w:trPr>
          <w:tblHeader/>
          <w:cantSplit/>
        </w:trPr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Год</w:t>
            </w:r>
          </w:p>
        </w:tc>
        <w:tc>
          <w:tcPr>
            <w:tcW w:w="8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Ключевое событие</w:t>
            </w:r>
          </w:p>
        </w:tc>
      </w:tr>
      <w:tr>
        <w:trPr>
          <w:cantSplit/>
        </w:trPr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2019</w:t>
            </w:r>
          </w:p>
        </w:tc>
        <w:tc>
          <w:tcPr>
            <w:tcW w:w="8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Тестовый биометрический проект в офисах Ак Барс Банка</w:t>
            </w:r>
          </w:p>
        </w:tc>
      </w:tr>
      <w:tr>
        <w:trPr>
          <w:cantSplit/>
        </w:trPr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2022</w:t>
            </w:r>
          </w:p>
        </w:tc>
        <w:tc>
          <w:tcPr>
            <w:tcW w:w="8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Создание бренда Face2; запуск сервисов доступа на территорию без карточек и выдачи книг в библиотеках без документов</w:t>
            </w:r>
          </w:p>
        </w:tc>
      </w:tr>
      <w:tr>
        <w:trPr>
          <w:cantSplit/>
        </w:trPr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2023</w:t>
            </w:r>
          </w:p>
        </w:tc>
        <w:tc>
          <w:tcPr>
            <w:tcW w:w="8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Создание коммерческой биометрической системы (КБС) и аккредитация Минцифры России (Решение № 4-А от 15.11.2023)</w:t>
            </w:r>
          </w:p>
        </w:tc>
      </w:tr>
      <w:tr>
        <w:trPr>
          <w:cantSplit/>
        </w:trPr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2024</w:t>
            </w:r>
          </w:p>
        </w:tc>
        <w:tc>
          <w:tcPr>
            <w:tcW w:w="8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Запуск оплаты по лицу, в том числе в Казанском метрополитене</w:t>
            </w:r>
          </w:p>
        </w:tc>
      </w:tr>
      <w:tr>
        <w:trPr>
          <w:cantSplit/>
        </w:trPr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2025</w:t>
            </w:r>
          </w:p>
        </w:tc>
        <w:tc>
          <w:tcPr>
            <w:tcW w:w="8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Запуск сервисов подтверждения возраста и регистрации в гостинице без паспорта</w:t>
            </w:r>
          </w:p>
        </w:tc>
      </w:tr>
    </w:tbl>
    <w:p>
      <w:pPr>
        <w:spacing w:before="0" w:after="0" w:line="240" w:lineRule="auto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Источник: составлено автором по данным [27]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Регуляторный контур Face2 определяет 572-ФЗ от 29 декабря 2022 года: сбор биометрии лица отдан только аккредитованным организациям, векторы хранятся в ГИС ЕБС, аутентификация — только при согласии гражданина [27]. Решение Минцифры России № 4-А от 15 ноября 2023 года вписало банк в число первых в стране операторов КБС [27]. Этот статус — главная разделительная линия между Face2 и локальными биометрическими системами на рынке: локальные решения нарушают 572-ФЗ, не сертифицированы ФСБ России и не обеспечивают защиты биометрических данных [27]. Подробный разбор нормативной базы и ужесточения ответственности по 420-ФЗ и 421-ФЗ от 30.11.2024 вынесен в подраздел 2.2 «Регуляторный и инфраструктурный контур рынка» и здесь не повторяется.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Технологическое ядро Face2 строится на компьютерном зрении и подчинено требованиям 572-ФЗ. Система Face2Pass прошла сертификацию ФСБ и ФСТЭК и попала в реестр отечественного программного обеспечения [27]. Заявленная точность распознавания — 99,5%, среднее время сканирования при благоприятных условиях — около двух секунд [27]. Архитектура работы с данными показана на рисунке 2.1.1.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![Архитектура взаимодействия Face2 с ГИС ЕБС](figures/fig_2_1_1_face2_ebs.svg)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Источник: построено автором по данным [27; 28; 29; 35; 39]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Рис. 2.1.1. Архитектура взаимодействия Face2 с ГИС ЕБС в контуре коммерческой биометрической системы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Схема снимает один из ключевых барьеров доверия к биометрии: клиент сдаёт упрощённую биометрию через приложение «Госуслуги Биометрия», вектор хранится в государственной системе, а банк получает обезличенный вектор только по явному согласию пользователя [27]. Криптозащита и сертификация ФСБ закрывают риски утечки и подделки.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Пользовательский путь подключения к Face2 укладывается в четыре шага: установка приложения «Госуслуги Биометрия», сдача упрощённой биометрии через приложение, согласие на использование биометрического вектора КБС Ак Барс Банка, проход в офис или оплата по лицу [27]. Каждый шаг — за пределами контура самого заказчика, что снимает с клиентского бизнеса нагрузку по сбору и хранению чувствительных данных. Со стороны заказчика для запуска требуется только турникет, совместимый с биотерминалами, стабильное интернет-соединение со скоростью не менее 10 Мбит/с и непрерывностью работы канала не менее 95%, а также доступ к базовой СКУД-системе [27]. Низкий порог входа по инфраструктуре — один из ключевых аргументов в продвижении.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Линейка Face2 собирается вокруг базовой системы КБС, а продажи распадаются на два экономически разных уровня. Уровень 1 — поставка полного программного контура КБС аккредитованной организации-оператору биометрии (банку-партнёру или госструктуре с правом регистрировать векторы в ЕБС) [28; 29]. Уровень 2 — подключение конечного объекта (магазина, турникета, бизнес-центра, спортивной арены, точки продажи алкоголя) к КБС, размещённой у Ак Барс Банка, по транзакционной или абонементной модели без аккредитации заказчика [27; 29]. Состав продуктов и целевые сегменты с разнесением по этим уровням показаны в таблице 2.1.4.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Таблица 2.1.4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Линейка продуктов Face2 в разрезе двух уровней продажи и экономики</w:t>
      </w:r>
    </w:p>
    <w:tbl>
      <w:tblPr>
        <w:tblW w:w="9637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661"/>
        <w:gridCol w:w="1994"/>
        <w:gridCol w:w="1994"/>
        <w:gridCol w:w="1994"/>
        <w:gridCol w:w="1994"/>
      </w:tblGrid>
      <w:tr>
        <w:trPr>
          <w:tblHeader/>
          <w:cantSplit/>
        </w:trPr>
        <w:tc>
          <w:tcPr>
            <w:tcW w:w="1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Уровень продажи</w:t>
            </w:r>
          </w:p>
        </w:tc>
        <w:tc>
          <w:tcPr>
            <w:tcW w:w="1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Продукт</w:t>
            </w:r>
          </w:p>
        </w:tc>
        <w:tc>
          <w:tcPr>
            <w:tcW w:w="1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Решаемая задача</w:t>
            </w:r>
          </w:p>
        </w:tc>
        <w:tc>
          <w:tcPr>
            <w:tcW w:w="1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Целевые сегменты</w:t>
            </w:r>
          </w:p>
        </w:tc>
        <w:tc>
          <w:tcPr>
            <w:tcW w:w="1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Экономическая модель</w:t>
            </w:r>
          </w:p>
        </w:tc>
      </w:tr>
      <w:tr>
        <w:trPr>
          <w:cantSplit/>
        </w:trPr>
        <w:tc>
          <w:tcPr>
            <w:tcW w:w="1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Уровень 1. КБС под ключ для оператора биометрии</w:t>
            </w:r>
          </w:p>
        </w:tc>
        <w:tc>
          <w:tcPr>
            <w:tcW w:w="1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Полный контур Face2 (КБС API, Face2Pay, пассивный liveness, Face2SDK) с интеграциями ЕСИА, ЕБС, СМЭВ, КриптоПро DSS</w:t>
            </w:r>
          </w:p>
        </w:tc>
        <w:tc>
          <w:tcPr>
            <w:tcW w:w="1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Передача аккредитованной организации программного контура КБС для самостоятельной работы оператором биометрии</w:t>
            </w:r>
          </w:p>
        </w:tc>
        <w:tc>
          <w:tcPr>
            <w:tcW w:w="1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Банки и МФО со статусом оператора по № 115-ФЗ; госструктуры федерального и регионального уровня; крупные корпорации с профильной аккредитацией</w:t>
            </w:r>
          </w:p>
        </w:tc>
        <w:tc>
          <w:tcPr>
            <w:tcW w:w="1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Единичные крупные сделки длительного цикла: лицензия + развёртывание + SLA. Выручка — десятки–сотни млн руб. за сделку</w:t>
            </w:r>
          </w:p>
        </w:tc>
      </w:tr>
      <w:tr>
        <w:trPr>
          <w:cantSplit/>
        </w:trPr>
        <w:tc>
          <w:tcPr>
            <w:tcW w:w="1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Уровень 2. Подключение конечного объекта к КБС АББ</w:t>
            </w:r>
          </w:p>
        </w:tc>
        <w:tc>
          <w:tcPr>
            <w:tcW w:w="1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Face2Pay (биоэквайринг)</w:t>
            </w:r>
          </w:p>
        </w:tc>
        <w:tc>
          <w:tcPr>
            <w:tcW w:w="1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Оплата по лицу через КБС АББ без биометрической инфраструктуры в контуре заказчика</w:t>
            </w:r>
          </w:p>
        </w:tc>
        <w:tc>
          <w:tcPr>
            <w:tcW w:w="1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Ритейл, транспорт, вендинг, маркетплейсы, киоски</w:t>
            </w:r>
          </w:p>
        </w:tc>
        <w:tc>
          <w:tcPr>
            <w:tcW w:w="1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Транзакционная модель, короткий цикл подключения; выручка — десятки–сотни тыс. руб./мес. с объекта</w:t>
            </w:r>
          </w:p>
        </w:tc>
      </w:tr>
      <w:tr>
        <w:trPr>
          <w:cantSplit/>
        </w:trPr>
        <w:tc>
          <w:tcPr>
            <w:tcW w:w="1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Уровень 2. Подключение конечного объекта к КБС АББ</w:t>
            </w:r>
          </w:p>
        </w:tc>
        <w:tc>
          <w:tcPr>
            <w:tcW w:w="1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Face2Pass / Face2Pass.Terminal</w:t>
            </w:r>
          </w:p>
        </w:tc>
        <w:tc>
          <w:tcPr>
            <w:tcW w:w="1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СКУД на распознавании лиц через ЕБС без аккредитации заказчика</w:t>
            </w:r>
          </w:p>
        </w:tc>
        <w:tc>
          <w:tcPr>
            <w:tcW w:w="1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Заводы, БЦ, вузы, площадки мероприятий, логистика</w:t>
            </w:r>
          </w:p>
        </w:tc>
        <w:tc>
          <w:tcPr>
            <w:tcW w:w="1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Лицензия на объект + поставка биотерминалов + абонементная плата</w:t>
            </w:r>
          </w:p>
        </w:tc>
      </w:tr>
      <w:tr>
        <w:trPr>
          <w:cantSplit/>
        </w:trPr>
        <w:tc>
          <w:tcPr>
            <w:tcW w:w="1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Уровень 2. Подключение конечного объекта к КБС АББ</w:t>
            </w:r>
          </w:p>
        </w:tc>
        <w:tc>
          <w:tcPr>
            <w:tcW w:w="1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Face2Check-in</w:t>
            </w:r>
          </w:p>
        </w:tc>
        <w:tc>
          <w:tcPr>
            <w:tcW w:w="1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Подтверждение возраста и личности по вектору из ЕБС</w:t>
            </w:r>
          </w:p>
        </w:tc>
        <w:tc>
          <w:tcPr>
            <w:tcW w:w="1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Аэропорты, спортивные объекты, гостиницы, точки продажи алкоголя и рецептурных лекарств</w:t>
            </w:r>
          </w:p>
        </w:tc>
        <w:tc>
          <w:tcPr>
            <w:tcW w:w="1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Транзакционная или абонементная модель; единица продажи — точка продаж / зона контроля</w:t>
            </w:r>
          </w:p>
        </w:tc>
      </w:tr>
    </w:tbl>
    <w:p>
      <w:pPr>
        <w:spacing w:before="0" w:after="0" w:line="240" w:lineRule="auto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Источник: составлено автором по данным [27; 28, разд. «Требования к окружению», «Системные требования», «Варианты развертывания»; 29, разд. «Описание функциональных возможностей продукта»]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Разделение на два уровня показывает, что один и тот же программный фундамент Face2 продаётся в двух экономически разных моделях. Первый уровень даёт банку единичные крупные сделки длительного цикла с аккредитованными контрагентами, второй — массу типовых подключений конечных объектов с быстрой выручкой по транзакционной или абонементной схеме. Это требует разной маркетинговой логики: длинной экспертной коммуникации с аккредитованной организацией на первом уровне и короткой продуктовой коммуникации с конечным объектом на втором.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Внешние партнёрства и пилотные внедрения 2024 года показывают, что Face2 уже вышел за пределы внутреннего контура группы. Биоэквайринг в Казанском метрополитене реализован совместно с Минцифры России, Минтрансом России, Центром биометрических технологий и НСПК [26, с. 30–31]. Проект «Электронный читательский билет» позволяет посещать Национальную библиотеку Республики Татарстан по биометрии, причём сдать её можно прямо в мобильном приложении «Карта жителя Республики Татарстан» [26, с. 29]. Совокупность партнёров федерального уровня и социальных сценариев в Татарстане формирует первую референтную базу для масштабирования продукта на другие регионы. Опорной площадкой для отладки остаётся сам банк: сеть из 166 офисов, около пяти тысяч сотрудников и порядка двухсот биотерминалов работают как постоянная внутренняя инсталляция Face2, через которую ведётся учёт рабочего времени; масштаб клиентских внедрений колеблется от 200 до 15 000 биометрических векторов на одну инсталляцию [30, с. 7; 27].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Получившаяся характеристика складывается из двух уровней. На верхнем — крупный региональный банк с рейтингами «A», утверждённой стратегией «эффективность — клиентоцентричность — гибкость», клиентской базой почти в миллион физических лиц и развитой цифровой инфраструктурой. На нижнем — собственный биометрический продукт с государственной аккредитацией, сертификацией ФСБ, отлаженной внутренней инсталляцией, понятной двухуровневой продуктовой линейкой и первой коммерческой референтной базой в проектах с Минцифры, Минтрансом и НСПК. Дальше нужно понять, в каком конкурентном окружении Face2 выходит на рынок и какие ограничения сдерживают спрос на коммерческую биометрию.</w:t>
      </w:r>
    </w:p>
    <w:p>
      <w:pPr>
        <w:keepNext/>
        <w:keepLines/>
        <w:spacing w:before="200" w:after="120" w:line="360" w:lineRule="auto"/>
        <w:jc w:val="center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b/>
          <w:bCs/>
          <w:color w:val="000000"/>
          <w:sz w:val="28"/>
          <w:szCs w:val="28"/>
          <w:lang w:val="ru-RU"/>
        </w:rPr>
        <w:t xml:space="preserve">2.2. Анализ рынка биометрии и конкурентной среды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Параграф 2.1 описал Face2 как объект продвижения и Ак Барс Банк как разработчика. Настоящий параграф достраивает картину со стороны внешнего контекста: фиксирует масштаб и сегментную структуру российского рынка биометрии, его регуляторно-инфраструктурный контур, выводит сводный PESTEL-анализ макросреды и переходит к анализу пяти сил М. Портера и сравнительной оценке Face2 относительно ключевых конкурентов. Финальная часть формулирует конкурентную позицию Face2, на которую опирается план продвижения в главе 3.</w:t>
      </w:r>
    </w:p>
    <w:p>
      <w:pPr>
        <w:keepNext/>
        <w:keepLines/>
        <w:spacing w:before="200" w:after="120" w:line="360" w:lineRule="auto"/>
        <w:jc w:val="center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b/>
          <w:bCs/>
          <w:color w:val="000000"/>
          <w:sz w:val="28"/>
          <w:szCs w:val="28"/>
          <w:lang w:val="ru-RU"/>
        </w:rPr>
        <w:t xml:space="preserve">Объём и динамика российского рынка биометрии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Российская инфраструктура биометрической идентификации прошла путь от запуска Единой биометрической системы Банком России и «Ростелекомом» в первом квартале 2018 года и коммерческого старта удалённой идентификации с 30 июня 2018 года [36] через перевод ЕБС в статус государственной информационной системы в конце 2021 года под управлением АО «Центр биометрических технологий» [32; 37] до вступления в силу 572-ФЗ с 1 января 2023 года, закрепившего обязательное хранение биометрических данных в ГИС ЕБС и аутентификацию только аккредитованными организациями при письменном согласии гражданина [1]. Эта последовательность нормативных и инфраструктурных шагов превратила биометрию из набора пилотных проектов в регулируемую государством рыночную инфраструктуру.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Современный российский рынок биометрических платежей перешёл в фазу массового коммерческого использования в 2024–2025 годах. По данным Банка России, за первые девять месяцев 2025 года в России совершено 145,9 млн биометрических платежей, что в девять раз больше, чем за аналогичный период 2024 года, а денежный оборот этих платежей вырос почти в пять раз и достиг 112,5 млрд рублей [32]. К началу 2026 года в Единой биометрической системе зарегистрировались более 10 млн пользователей [32]. Эти цифры разворачивают картину рынка, на которую выходит Face2: ёмкое окружение, девятикратный годовой рост числа транзакций, сформированная инфраструктура и аккредитованный круг операторов, в который банк успел войти одним из первых.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Поквартальная статистика Банка России (таблица 2.2.1) разворачивает динамику детальнее. Ключевой вывод сопоставления биоэквайринга с QR-эквайрингом за II квартал 2025 года: биоэквайринг растёт по темпам быстрее (+50% к I кв. 2025 года против +25% у QR), но в 16 раз отстаёт по абсолютному масштабу количества операций (60 млн против 990 млн) [34]. Оба канала встраиваются в общий тренд бесконтактной розницы и делят между собой нишу «оплата без карты», не вытесняя друг друга.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Таблица 2.2.1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Динамика российского рынка биометрических платежей по данным Банка России и оператора ЕБС</w:t>
      </w:r>
    </w:p>
    <w:tbl>
      <w:tblPr>
        <w:tblW w:w="963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419"/>
        <w:gridCol w:w="777"/>
        <w:gridCol w:w="777"/>
        <w:gridCol w:w="1709"/>
        <w:gridCol w:w="2953"/>
      </w:tblGrid>
      <w:tr>
        <w:trPr>
          <w:tblHeader/>
          <w:cantSplit/>
        </w:trPr>
        <w:tc>
          <w:tcPr>
            <w:tcW w:w="3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Показатель</w:t>
            </w:r>
          </w:p>
        </w:tc>
        <w:tc>
          <w:tcPr>
            <w:tcW w:w="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II кв. 2024</w:t>
            </w:r>
          </w:p>
        </w:tc>
        <w:tc>
          <w:tcPr>
            <w:tcW w:w="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I кв. 2025</w:t>
            </w:r>
          </w:p>
        </w:tc>
        <w:tc>
          <w:tcPr>
            <w:tcW w:w="1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II кв. 2025</w:t>
            </w:r>
          </w:p>
        </w:tc>
        <w:tc>
          <w:tcPr>
            <w:tcW w:w="2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Темп прироста II кв. 2025 / II кв. 2024</w:t>
            </w:r>
          </w:p>
        </w:tc>
      </w:tr>
      <w:tr>
        <w:trPr>
          <w:cantSplit/>
        </w:trPr>
        <w:tc>
          <w:tcPr>
            <w:tcW w:w="3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Количество биометрических платежей, млн</w:t>
            </w:r>
          </w:p>
        </w:tc>
        <w:tc>
          <w:tcPr>
            <w:tcW w:w="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около 5,5</w:t>
            </w:r>
          </w:p>
        </w:tc>
        <w:tc>
          <w:tcPr>
            <w:tcW w:w="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около 40</w:t>
            </w:r>
          </w:p>
        </w:tc>
        <w:tc>
          <w:tcPr>
            <w:tcW w:w="1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60</w:t>
            </w:r>
          </w:p>
        </w:tc>
        <w:tc>
          <w:tcPr>
            <w:tcW w:w="2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в 11 раз</w:t>
            </w:r>
          </w:p>
        </w:tc>
      </w:tr>
      <w:tr>
        <w:trPr>
          <w:cantSplit/>
        </w:trPr>
        <w:tc>
          <w:tcPr>
            <w:tcW w:w="3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Оборот по биометрическим платежам, млрд руб.</w:t>
            </w:r>
          </w:p>
        </w:tc>
        <w:tc>
          <w:tcPr>
            <w:tcW w:w="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н/д</w:t>
            </w:r>
          </w:p>
        </w:tc>
        <w:tc>
          <w:tcPr>
            <w:tcW w:w="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около 30</w:t>
            </w:r>
          </w:p>
        </w:tc>
        <w:tc>
          <w:tcPr>
            <w:tcW w:w="1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45</w:t>
            </w:r>
          </w:p>
        </w:tc>
        <w:tc>
          <w:tcPr>
            <w:tcW w:w="2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—</w:t>
            </w:r>
          </w:p>
        </w:tc>
      </w:tr>
      <w:tr>
        <w:trPr>
          <w:cantSplit/>
        </w:trPr>
        <w:tc>
          <w:tcPr>
            <w:tcW w:w="3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Средний чек, руб.</w:t>
            </w:r>
          </w:p>
        </w:tc>
        <w:tc>
          <w:tcPr>
            <w:tcW w:w="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н/д</w:t>
            </w:r>
          </w:p>
        </w:tc>
        <w:tc>
          <w:tcPr>
            <w:tcW w:w="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774</w:t>
            </w:r>
          </w:p>
        </w:tc>
        <w:tc>
          <w:tcPr>
            <w:tcW w:w="1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770</w:t>
            </w:r>
          </w:p>
        </w:tc>
        <w:tc>
          <w:tcPr>
            <w:tcW w:w="2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стабильно</w:t>
            </w:r>
          </w:p>
        </w:tc>
      </w:tr>
      <w:tr>
        <w:trPr>
          <w:cantSplit/>
        </w:trPr>
        <w:tc>
          <w:tcPr>
            <w:tcW w:w="3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Количество QR-операций, млн</w:t>
            </w:r>
          </w:p>
        </w:tc>
        <w:tc>
          <w:tcPr>
            <w:tcW w:w="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н/д</w:t>
            </w:r>
          </w:p>
        </w:tc>
        <w:tc>
          <w:tcPr>
            <w:tcW w:w="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около 790</w:t>
            </w:r>
          </w:p>
        </w:tc>
        <w:tc>
          <w:tcPr>
            <w:tcW w:w="1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990</w:t>
            </w:r>
          </w:p>
        </w:tc>
        <w:tc>
          <w:tcPr>
            <w:tcW w:w="2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—</w:t>
            </w:r>
          </w:p>
        </w:tc>
      </w:tr>
      <w:tr>
        <w:trPr>
          <w:cantSplit/>
        </w:trPr>
        <w:tc>
          <w:tcPr>
            <w:tcW w:w="3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Оборот по QR-операциям, трлн руб.</w:t>
            </w:r>
          </w:p>
        </w:tc>
        <w:tc>
          <w:tcPr>
            <w:tcW w:w="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н/д</w:t>
            </w:r>
          </w:p>
        </w:tc>
        <w:tc>
          <w:tcPr>
            <w:tcW w:w="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около 1,12</w:t>
            </w:r>
          </w:p>
        </w:tc>
        <w:tc>
          <w:tcPr>
            <w:tcW w:w="1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более 1,3</w:t>
            </w:r>
          </w:p>
        </w:tc>
        <w:tc>
          <w:tcPr>
            <w:tcW w:w="2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—</w:t>
            </w:r>
          </w:p>
        </w:tc>
      </w:tr>
      <w:tr>
        <w:trPr>
          <w:cantSplit/>
        </w:trPr>
        <w:tc>
          <w:tcPr>
            <w:tcW w:w="3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Зарегистрированных пользователей в ЕБС, млн</w:t>
            </w:r>
          </w:p>
        </w:tc>
        <w:tc>
          <w:tcPr>
            <w:tcW w:w="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менее 5</w:t>
            </w:r>
          </w:p>
        </w:tc>
        <w:tc>
          <w:tcPr>
            <w:tcW w:w="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около 7</w:t>
            </w:r>
          </w:p>
        </w:tc>
        <w:tc>
          <w:tcPr>
            <w:tcW w:w="1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более 10 (на нач. 2026)</w:t>
            </w:r>
          </w:p>
        </w:tc>
        <w:tc>
          <w:tcPr>
            <w:tcW w:w="2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+</w:t>
            </w:r>
          </w:p>
        </w:tc>
      </w:tr>
    </w:tbl>
    <w:p>
      <w:pPr>
        <w:spacing w:before="0" w:after="0" w:line="240" w:lineRule="auto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Источник: составлено автором по данным [36; 32; 34]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![Динамика биометрических и QR-операций в РФ](figures/fig_2_2_1_bio_vs_qr.svg)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Источник: построено автором по данным таблицы 2.2.1; [36; 32; 34]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Рис. 2.2.1. Динамика биометрических и QR-операций в РФ, II кв. 2024 — II кв. 2025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Соотношение цифр в таблице 2.2.1 и на рисунке 2.2.1 показывает, что рост рынка идёт прежде всего по числу транзакций при стабильном среднем чеке около 770 рублей: биометрия закрепляется в сценариях массовых небольших платежей, а не премиальных операций. Это смещает оптимальную стратегию продвижения биометрических продуктов с премиум-позиционирования на массовое использование в высокочастотных сценариях: транспорт, ритейл повседневного спроса, оплата услуг.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Лидер рынка биометрических платежей в Российской Федерации — ПАО Сбербанк со своим сервисом «Оплата улыбкой»: на август 2024 года — 2 млн биометрических транзакций в месяц, более 700 тыс. установленных терминалов и 30 млн зарегистрированных в собственной биометрической системе банка клиентов [38]. Этот масштаб задаёт верхнюю планку рынка и ориентир для всех остальных игроков.</w:t>
      </w:r>
    </w:p>
    <w:p>
      <w:pPr>
        <w:keepNext/>
        <w:keepLines/>
        <w:spacing w:before="200" w:after="120" w:line="360" w:lineRule="auto"/>
        <w:jc w:val="center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b/>
          <w:bCs/>
          <w:color w:val="000000"/>
          <w:sz w:val="28"/>
          <w:szCs w:val="28"/>
          <w:lang w:val="ru-RU"/>
        </w:rPr>
        <w:t xml:space="preserve">Сегментная структура рынка биометрии в России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К началу 2026 года биометрические сервисы покрывают шесть устойчивых сегментов российского рынка: государственная идентификация через ЕБС/ЕСИА, финансовый сектор (биоэквайринг и онлайн-обслуживание), транспорт, СКУД режимных объектов, ритейл с возрастной верификацией и гостиничный сегмент [36; 32]. Каждый сегмент закреплён за своим типом заказчика и имеет собственный драйвер спроса; их характеристики собраны в таблице 2.2.2.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Таблица 2.2.2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Сегменты применения биометрии на российском рынке и их характеристики</w:t>
      </w:r>
    </w:p>
    <w:tbl>
      <w:tblPr>
        <w:tblW w:w="963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94"/>
        <w:gridCol w:w="2753"/>
        <w:gridCol w:w="1835"/>
        <w:gridCol w:w="2753"/>
      </w:tblGrid>
      <w:tr>
        <w:trPr>
          <w:tblHeader/>
          <w:cantSplit/>
        </w:trPr>
        <w:tc>
          <w:tcPr>
            <w:tcW w:w="22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Сегмент</w:t>
            </w:r>
          </w:p>
        </w:tc>
        <w:tc>
          <w:tcPr>
            <w:tcW w:w="27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Типовой сценарий</w:t>
            </w:r>
          </w:p>
        </w:tc>
        <w:tc>
          <w:tcPr>
            <w:tcW w:w="1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Тип заказчика</w:t>
            </w:r>
          </w:p>
        </w:tc>
        <w:tc>
          <w:tcPr>
            <w:tcW w:w="27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Драйвер спроса</w:t>
            </w:r>
          </w:p>
        </w:tc>
      </w:tr>
      <w:tr>
        <w:trPr>
          <w:cantSplit/>
        </w:trPr>
        <w:tc>
          <w:tcPr>
            <w:tcW w:w="22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Государственная идентификация</w:t>
            </w:r>
          </w:p>
        </w:tc>
        <w:tc>
          <w:tcPr>
            <w:tcW w:w="27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Подтверждение личности при дистанционных услугах через ЕСИА и ЕБС</w:t>
            </w:r>
          </w:p>
        </w:tc>
        <w:tc>
          <w:tcPr>
            <w:tcW w:w="1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Граждане, госорганизации</w:t>
            </w:r>
          </w:p>
        </w:tc>
        <w:tc>
          <w:tcPr>
            <w:tcW w:w="27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Перевод госуслуг в цифру, ЕСИА как точка доступа</w:t>
            </w:r>
          </w:p>
        </w:tc>
      </w:tr>
      <w:tr>
        <w:trPr>
          <w:cantSplit/>
        </w:trPr>
        <w:tc>
          <w:tcPr>
            <w:tcW w:w="22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Финансовый сектор (эквайринг и онлайн-обслуживание)</w:t>
            </w:r>
          </w:p>
        </w:tc>
        <w:tc>
          <w:tcPr>
            <w:tcW w:w="27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Оплата лицом, удалённое открытие счёта, подтверждение операций</w:t>
            </w:r>
          </w:p>
        </w:tc>
        <w:tc>
          <w:tcPr>
            <w:tcW w:w="1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Банки, МФО, ритейл, маркетплейсы</w:t>
            </w:r>
          </w:p>
        </w:tc>
        <w:tc>
          <w:tcPr>
            <w:tcW w:w="27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Сокращение времени операции, антифрод, экономия на комиссии</w:t>
            </w:r>
          </w:p>
        </w:tc>
      </w:tr>
      <w:tr>
        <w:trPr>
          <w:cantSplit/>
        </w:trPr>
        <w:tc>
          <w:tcPr>
            <w:tcW w:w="22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Транспорт</w:t>
            </w:r>
          </w:p>
        </w:tc>
        <w:tc>
          <w:tcPr>
            <w:tcW w:w="27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Биометрический проход и оплата проезда; бизнес-залы аэропортов</w:t>
            </w:r>
          </w:p>
        </w:tc>
        <w:tc>
          <w:tcPr>
            <w:tcW w:w="1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Метрополитены, авиакомпании, аэропорты</w:t>
            </w:r>
          </w:p>
        </w:tc>
        <w:tc>
          <w:tcPr>
            <w:tcW w:w="27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Массовый высокочастотный сценарий, привычка пассажира</w:t>
            </w:r>
          </w:p>
        </w:tc>
      </w:tr>
      <w:tr>
        <w:trPr>
          <w:cantSplit/>
        </w:trPr>
        <w:tc>
          <w:tcPr>
            <w:tcW w:w="22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Контроль доступа (СКУД)</w:t>
            </w:r>
          </w:p>
        </w:tc>
        <w:tc>
          <w:tcPr>
            <w:tcW w:w="27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Биометрический проход сотрудников, учёт рабочего времени</w:t>
            </w:r>
          </w:p>
        </w:tc>
        <w:tc>
          <w:tcPr>
            <w:tcW w:w="1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Промпредприятия, БЦ, госучреждения, вузы</w:t>
            </w:r>
          </w:p>
        </w:tc>
        <w:tc>
          <w:tcPr>
            <w:tcW w:w="27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Безопасность, исключение передачи карт, точный учёт времени</w:t>
            </w:r>
          </w:p>
        </w:tc>
      </w:tr>
      <w:tr>
        <w:trPr>
          <w:cantSplit/>
        </w:trPr>
        <w:tc>
          <w:tcPr>
            <w:tcW w:w="22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Ритейл и общественные пространства</w:t>
            </w:r>
          </w:p>
        </w:tc>
        <w:tc>
          <w:tcPr>
            <w:tcW w:w="27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Возрастная верификация (алкоголь, рецептурные лекарства); биометрическая лояльность</w:t>
            </w:r>
          </w:p>
        </w:tc>
        <w:tc>
          <w:tcPr>
            <w:tcW w:w="1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Сетевой ритейл, аптеки, общепит</w:t>
            </w:r>
          </w:p>
        </w:tc>
        <w:tc>
          <w:tcPr>
            <w:tcW w:w="27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Регуляторные требования возрастной верификации, разгрузка кассира</w:t>
            </w:r>
          </w:p>
        </w:tc>
      </w:tr>
      <w:tr>
        <w:trPr>
          <w:cantSplit/>
        </w:trPr>
        <w:tc>
          <w:tcPr>
            <w:tcW w:w="22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Гостеприимство</w:t>
            </w:r>
          </w:p>
        </w:tc>
        <w:tc>
          <w:tcPr>
            <w:tcW w:w="27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Заселение без паспорта, доступ в номер по лицу</w:t>
            </w:r>
          </w:p>
        </w:tc>
        <w:tc>
          <w:tcPr>
            <w:tcW w:w="1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Гостиничные сети, апарт-отели, БЦ</w:t>
            </w:r>
          </w:p>
        </w:tc>
        <w:tc>
          <w:tcPr>
            <w:tcW w:w="27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Сокращение времени заселения, новый клиентский опыт</w:t>
            </w:r>
          </w:p>
        </w:tc>
      </w:tr>
    </w:tbl>
    <w:p>
      <w:pPr>
        <w:spacing w:before="0" w:after="0" w:line="240" w:lineRule="auto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Источник: составлено автором по данным [27; 26, с. 30–31; 36; 32]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Распределение драйверов в таблице 2.2.2 показывает, что один и тот же биометрический продукт продвигается в разных сегментах через разные ключевые сообщения: транзакционная скорость в финансовом и транспортном секторах, безопасность и точность учёта в СКУД, регуляторные требования в ритейле и гостиничном секторе. Для Face2 это уже учтено в продуктовой линейке (Face2Pay для эквайринга, Face2Pass для СКУД, Face2Check-in для гостиничного сегмента и подтверждения возраста, КБС под ключ для крупных заказчиков из государственного и корпоративного сегмента) [27]: каждый продукт линейки соответствует устойчивому рыночному сегменту со сформированным спросом.</w:t>
      </w:r>
    </w:p>
    <w:p>
      <w:pPr>
        <w:keepNext/>
        <w:keepLines/>
        <w:spacing w:before="200" w:after="120" w:line="360" w:lineRule="auto"/>
        <w:jc w:val="center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b/>
          <w:bCs/>
          <w:color w:val="000000"/>
          <w:sz w:val="28"/>
          <w:szCs w:val="28"/>
          <w:lang w:val="ru-RU"/>
        </w:rPr>
        <w:t xml:space="preserve">Регуляторный и инфраструктурный контур рынка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Рынок биометрической идентификации в Российской Федерации работает в одном из самых жёстких регуляторных контуров среди мировых юрисдикций. Базой регулирования служит Федеральный закон от 29 декабря 2022 года № 572-ФЗ, относящий биометрические данные к специальной категории персональных данных, обязывающий хранить их в ГИС ЕБС и разрешающий аутентификацию по биометрии только аккредитованным организациям при наличии письменного согласия гражданина [1]. Архитектура работы пользователя с ЕБС строится на связке ЕСИА и ЕБС: первичная регистрация с явкой в уполномоченный банк, последующее использование биометрии через сайты или мобильные приложения подключённых организаций; регистрация для гражданина добровольна и бесплатна, что одновременно расширяет потенциальный круг пользователей и ограничивает массовые инструменты стимулирования сдачи биометрии [36].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Регуляторный контур ужесточился в конце 2024 года. Федеральные законы от 30 ноября 2024 года № 420-ФЗ и № 421-ФЗ ввели крупные административные штрафы и уголовную ответственность за неправомерное обращение с биометрическими персональными данными: лишение свободы до пяти лет, штрафы до 20 млн рублей и до 1–3% годового дохода компании при повторных нарушениях [27]. Этот сдвиг превратил аккредитацию КБС и сертификацию ФСБ из формального статуса в жёсткий барьер входа на рынок. В сумме 572-ФЗ, законы об ужесточении ответственности от 30.11.2024 и подзаконный блок Банка России образуют пятиуровневую регуляторную конструкцию (федеральный закон, подзаконные акты ЦБ, сертификации ФСБ и ФСТЭК, реестр отечественного ПО, отраслевая аккредитация Минцифры), повышающую капиталоёмкость входа для нового игрока [2; 3; 4].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Круг банков-операторов рынка количественно ограничен: по данным Банка России на 4 мая 2026 года, в перечень банков, имеющих право проводить идентификацию клиента в ЕБС по п. 5.7 ст. 7 № 115-ФЗ, входят 194 кредитные организации; ПАО «АК БАРС» БАНК числится в нём под номером 101 [35]. В сочетании с аккредитацией Минцифры (Решение № 4-А от 15 ноября 2023 года), сертификациями ФСБ и ФСТЭК и присутствием в реестре отечественного ПО это образует регуляторный фундамент, на который опирается весь дальнейший анализ конкурентной среды [27].</w:t>
      </w:r>
    </w:p>
    <w:p>
      <w:pPr>
        <w:keepNext/>
        <w:keepLines/>
        <w:spacing w:before="200" w:after="120" w:line="360" w:lineRule="auto"/>
        <w:jc w:val="center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b/>
          <w:bCs/>
          <w:color w:val="000000"/>
          <w:sz w:val="28"/>
          <w:szCs w:val="28"/>
          <w:lang w:val="ru-RU"/>
        </w:rPr>
        <w:t xml:space="preserve">PESTEL-анализ российского рынка биометрии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Предыдущие три подраздела зафиксировали разные проекции внешней среды: масштаб и динамику рынка, сегментную структуру и регуляторно-инфраструктурный контур. Чтобы перевести эти проекции в управленческий вход для стратегии продвижения, разрозненные факторы целесообразно собрать в единую рамку макроанализа. PESTEL не дублирует регуляторный подраздел: правовое поле в нём представлено сжато и сопоставлено с пятью другими измерениями макросреды, что позволяет оценить относительный вес регуляторных факторов рядом с экономическими, технологическими и социальными — детальный разбор нормативной базы при этом сохраняется в подразделе «Регуляторный и инфраструктурный контур рынка». Методологически выбор PESTEL обусловлен тем, что продукт Face2 одновременно находится на пересечении шести крупных полей — государственного курса на цифровой суверенитет, банковской экономики высокочастотных микроплатежей, поколенческих сдвигов в потребительском поведении, быстро развивающихся алгоритмов компьютерного зрения, ESG-повестки крупного банка и особого режима оборота биометрических персональных данных. Эти шесть полей чисто соотносятся с шестью измерениями PESTEL и позволяют построить однородную карту факторов, влияющих на коммерциализацию Face2. Сводный анализ собран в таблице 2.2.3.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Таблица 2.2.3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Сводный PESTEL-анализ российского рынка биометрии (на начало 2026 года)</w:t>
      </w:r>
    </w:p>
    <w:tbl>
      <w:tblPr>
        <w:tblW w:w="9637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927"/>
        <w:gridCol w:w="3855"/>
        <w:gridCol w:w="3855"/>
      </w:tblGrid>
      <w:tr>
        <w:trPr>
          <w:tblHeader/>
          <w:cantSplit/>
        </w:trPr>
        <w:tc>
          <w:tcPr>
            <w:tcW w:w="1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Фактор</w:t>
            </w:r>
          </w:p>
        </w:tc>
        <w:tc>
          <w:tcPr>
            <w:tcW w:w="3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Содержание фактора</w:t>
            </w:r>
          </w:p>
        </w:tc>
        <w:tc>
          <w:tcPr>
            <w:tcW w:w="3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Влияние на продвижение Face2</w:t>
            </w:r>
          </w:p>
        </w:tc>
      </w:tr>
      <w:tr>
        <w:trPr>
          <w:cantSplit/>
        </w:trPr>
        <w:tc>
          <w:tcPr>
            <w:tcW w:w="1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P — политические</w:t>
            </w:r>
          </w:p>
        </w:tc>
        <w:tc>
          <w:tcPr>
            <w:tcW w:w="3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Курс на технологический суверенитет и импортозамещение; ЕБС как ГИС под управлением АО «ЦБТ»; Минцифры — регулятор аккредитации операторов КБС; вытеснение иностранных вендоров после 2022 г.; реестр отечественного ПО как условие участия в госзакупках [27; 1; 36; 37].</w:t>
            </w:r>
          </w:p>
        </w:tc>
        <w:tc>
          <w:tcPr>
            <w:tcW w:w="3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Положительное. Аккредитация Минцифры (Решение № 4-А от 15.11.2023) и реестр отечественного ПО открывают B2G-сегмент, закрытый для иностранных вендоров [27].</w:t>
            </w:r>
          </w:p>
        </w:tc>
      </w:tr>
      <w:tr>
        <w:trPr>
          <w:cantSplit/>
        </w:trPr>
        <w:tc>
          <w:tcPr>
            <w:tcW w:w="1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E — экономические</w:t>
            </w:r>
          </w:p>
        </w:tc>
        <w:tc>
          <w:tcPr>
            <w:tcW w:w="3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Девятикратный рост числа биометрических платежей за 9 мес. 2025 г. (145,9 млн транзакций, оборот 112,5 млрд руб.); средний чек ≈ 770 руб. — массовый розничный сценарий; пониженная эквайринговая комиссия; финансовый сектор — 15% мирового рынка биометрии при CAGR 18,6% [33, с. 3, 6; 32; 34].</w:t>
            </w:r>
          </w:p>
        </w:tc>
        <w:tc>
          <w:tcPr>
            <w:tcW w:w="3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Положительное по динамике. Биоэквайринг экономически выгоден торговой рознице за счёт пониженной комиссии; крупные B2B/B2G-заказчики ориентируются на регуляторный статус, а не на цену.</w:t>
            </w:r>
          </w:p>
        </w:tc>
      </w:tr>
      <w:tr>
        <w:trPr>
          <w:cantSplit/>
        </w:trPr>
        <w:tc>
          <w:tcPr>
            <w:tcW w:w="1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S — социальные</w:t>
            </w:r>
          </w:p>
        </w:tc>
        <w:tc>
          <w:tcPr>
            <w:tcW w:w="3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Свыше 10 млн пользователей ЕБС к началу 2026 г.; привычка оплачивать проезд и покупки лицом в Московском и Казанском метро; устойчивые барьеры доверия — страх утечки, невозможность отозвать образец; поколенческая поляризация принятия [16, с. 41; 25, с. 112; 32; 37].</w:t>
            </w:r>
          </w:p>
        </w:tc>
        <w:tc>
          <w:tcPr>
            <w:tcW w:w="3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Двойное. Привычка к оплате лицом в массовых сценариях работает в пользу Face2Pay; барьеры доверия требуют большой доли бюджета на образовательный контент и демонстрацию защиты данных.</w:t>
            </w:r>
          </w:p>
        </w:tc>
      </w:tr>
      <w:tr>
        <w:trPr>
          <w:cantSplit/>
        </w:trPr>
        <w:tc>
          <w:tcPr>
            <w:tcW w:w="1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T — технологические</w:t>
            </w:r>
          </w:p>
        </w:tc>
        <w:tc>
          <w:tcPr>
            <w:tcW w:w="3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Зрелость алгоритмов: точность 99,5%, сканирование ≈ 2 с; антиспуфинг и детекция дипфейков; объединение биометрии с QR и СБП; рост требований к обработке векторов в реальном времени [27; 38; 40; 34].</w:t>
            </w:r>
          </w:p>
        </w:tc>
        <w:tc>
          <w:tcPr>
            <w:tcW w:w="3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Положительное по уровню зрелости. Критическая зона для Face2 — публично не зафиксирована независимая верификация точности (NIST FRTE) и не заявлено отдельное решение по дипфейкам.</w:t>
            </w:r>
          </w:p>
        </w:tc>
      </w:tr>
      <w:tr>
        <w:trPr>
          <w:cantSplit/>
        </w:trPr>
        <w:tc>
          <w:tcPr>
            <w:tcW w:w="1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E — экологические</w:t>
            </w:r>
          </w:p>
        </w:tc>
        <w:tc>
          <w:tcPr>
            <w:tcW w:w="3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Снижение оборота пластиковых карт в массовой рознице за счёт перехода на биометрию и QR; безбумажная удалённая идентификация; энергоёмкость дата-центров; ESG-повестка как требование к корпоративному поставщику [26, с. 17, 33; 32].</w:t>
            </w:r>
          </w:p>
        </w:tc>
        <w:tc>
          <w:tcPr>
            <w:tcW w:w="3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Слабо положительное. ESG-статус АББ снимает часть барьеров входа в B2G-закупки; самостоятельного маркетингового плеча у фактора нет — работает фоном.</w:t>
            </w:r>
          </w:p>
        </w:tc>
      </w:tr>
      <w:tr>
        <w:trPr>
          <w:cantSplit/>
        </w:trPr>
        <w:tc>
          <w:tcPr>
            <w:tcW w:w="1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L — правовые</w:t>
            </w:r>
          </w:p>
        </w:tc>
        <w:tc>
          <w:tcPr>
            <w:tcW w:w="3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572-ФЗ — биометрия как спецкатегория ПДн, хранение в ГИС ЕБС; 420-ФЗ и 421-ФЗ от 30.11.2024 — штрафы до 20 млн руб. и 1–3% годового дохода, уголовная ответственность до 5 лет; обязательное письменное согласие на каждое использование; статус оператора по № 115-ФЗ — 194 банка; аккредитация Минцифры; сертификация ФСБ и ФСТЭК [27; 1; 36; 35].</w:t>
            </w:r>
          </w:p>
        </w:tc>
        <w:tc>
          <w:tcPr>
            <w:tcW w:w="3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Двойное. Положительное — жёсткая рамка превращает аккредитацию КБС, статус по № 115-ФЗ и сертификации в защитный «ров» для Face2. Отрицательное — обязательное согласие на каждое использование исключает массовые B2C-стимулы (кешбэки, промокоды) и переводит продвижение в формат экспертного контента.</w:t>
            </w:r>
          </w:p>
        </w:tc>
      </w:tr>
    </w:tbl>
    <w:p>
      <w:pPr>
        <w:spacing w:before="0" w:after="0" w:line="240" w:lineRule="auto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Источник: составлено автором по данным [16, с. 41; 25, с. 112; 27; 26, с. 17, 33; 38; 1; 36; 33, с. 3, 6; 35; 40; 32; 37; 34]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Сопоставление шести факторов даёт макрорамку для последующего конкурентного анализа. Три фактора (P, T, L) работают преимущественно в плюс: государственный курс на технологический суверенитет вместе с жёсткой регуляторной рамкой создаёт защищённый рынок аккредитованных операторов, в который Face2 уже встроен, а зрелость алгоритмов обеспечивает технологическую состоятельность продукта. Экономический и социальный факторы (E, S) двойственны: динамика рынка положительна, но ценовое преимущество биоэквайринга вторично для целевого B2B/B2G-сегмента, а массовая привычка к оплате лицом сосуществует с устойчивым психологическим барьером недоверия. Правовой фактор одновременно открывает рынок для аккредитованных игроков и закрывает каналы массового стимулирования (запрет акций по сдаче биометрии, обязательное согласие на каждое использование), переводя продвижение в формат экспертного контента, пилотных проектов и B2B-референсов; экологический фактор работает фоном через ESG-статус банка. Регуляторно-политический фактор работает фильтром входа и оставляет в качестве реальных конкурентов Face2 ограниченный круг аккредитованных операторов и банков-операторов биометрии — состав этого круга и силы, действующие внутри него, разбираются ниже через рамку пяти сил М. Портера.</w:t>
      </w:r>
    </w:p>
    <w:p>
      <w:pPr>
        <w:keepNext/>
        <w:keepLines/>
        <w:spacing w:before="200" w:after="120" w:line="360" w:lineRule="auto"/>
        <w:jc w:val="center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b/>
          <w:bCs/>
          <w:color w:val="000000"/>
          <w:sz w:val="28"/>
          <w:szCs w:val="28"/>
          <w:lang w:val="ru-RU"/>
        </w:rPr>
        <w:t xml:space="preserve">Конкурентная среда и пять сил Портера на российском рынке биометрии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Российский рынок биометрии организован в три различающихся по типу деятельности слоя. Первый — банки-разработчики собственных биометрических сервисов: ПАО Сбербанк с сервисом «Оплата улыбкой» (СберPay Smile) и ПАО «АК БАРС» БАНК с линейкой Face2; для них биометрия одновременно работает внутренним средством обслуживания и самостоятельным коммерческим продуктом. Второй — технологические вендоры алгоритмов и платформ: VisionLabs (с декабря 2021 года в структуре ПАО МТС) и NtechLab с системой FindFace [40; 32]. Третий — производители полного цикла СКУД, объединяющие в одном предложении ПО, собственное оборудование и сервис: OVISION (Ханты-Мансийск) и BioSmart (Прософт-Биометрикс) [41]. Над этими тремя слоями работает государственная инфраструктура — оператор ЕБС АО «Центр биометрических технологий», обеспечивающий централизованное хранение биометрических векторов и подтверждение личности [36; 32]. Каждый слой отвечает на свой тип спроса и предъявляет свой набор аккредитаций, поэтому Face2 не пересекается с лидерами других слоёв напрямую: со Сбером — по объёму массового B2C-биоэквайринга, с VisionLabs — по горизонтальным алгоритмическим платформам, с OVISION — по аппаратному стеку.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Чтобы оценить, насколько привлекателен этот рынок для Face2 и какие силы определяют интенсивность конкуренции внутри него, многослойная карта дополняется рамкой пяти конкурентных сил М. Портера. Согласно его методике, средний уровень прибыльности отрасли и устойчивость позиции отдельной фирмы определяются балансом пяти структурных факторов: угрозы со стороны новых участников, рыночной силы поставщиков, рыночной силы покупателей, угрозы товаров-заменителей и интенсивности соперничества между действующими конкурентами [11, с. 39]. Сводная оценка приведена в таблице 2.2.4.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Таблица 2.2.4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Анализ пяти конкурентных сил М. Портера на российском рынке биометрии применительно к продукту Face2</w:t>
      </w:r>
    </w:p>
    <w:tbl>
      <w:tblPr>
        <w:tblW w:w="9637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969"/>
        <w:gridCol w:w="1450"/>
        <w:gridCol w:w="3109"/>
        <w:gridCol w:w="3109"/>
      </w:tblGrid>
      <w:tr>
        <w:trPr>
          <w:tblHeader/>
          <w:cantSplit/>
        </w:trPr>
        <w:tc>
          <w:tcPr>
            <w:tcW w:w="1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Сила</w:t>
            </w:r>
          </w:p>
        </w:tc>
        <w:tc>
          <w:tcPr>
            <w:tcW w:w="1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Уровень</w:t>
            </w:r>
          </w:p>
        </w:tc>
        <w:tc>
          <w:tcPr>
            <w:tcW w:w="3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Ключевые факторы</w:t>
            </w:r>
          </w:p>
        </w:tc>
        <w:tc>
          <w:tcPr>
            <w:tcW w:w="3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Влияние на Face2</w:t>
            </w:r>
          </w:p>
        </w:tc>
      </w:tr>
      <w:tr>
        <w:trPr>
          <w:cantSplit/>
        </w:trPr>
        <w:tc>
          <w:tcPr>
            <w:tcW w:w="1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1. Угроза новых участников</w:t>
            </w:r>
          </w:p>
        </w:tc>
        <w:tc>
          <w:tcPr>
            <w:tcW w:w="1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низкий</w:t>
            </w:r>
          </w:p>
        </w:tc>
        <w:tc>
          <w:tcPr>
            <w:tcW w:w="3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Регуляторные барьеры: 572-ФЗ, аккредитация Минцифры по правилам КБС, статус оператора по № 115-ФЗ, сертификация ФСБ и ФСТЭК, реестр отечественного ПО, подзаконный блок Банка России (Указание № 6541-У; МР № 18-МР, № 19-МР) [27; 1; 35; 2; 3; 4]. Ужесточение по 420-ФЗ и 421-ФЗ от 30.11.2024 (штрафы до 1–3% дохода, уголовная ответственность) [27]. Высокая капиталоёмкость алгоритмической базы и многолетняя наработка референсной базы.</w:t>
            </w:r>
          </w:p>
        </w:tc>
        <w:tc>
          <w:tcPr>
            <w:tcW w:w="3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Защищает позицию Face2: набор статусов (аккредитация № 4-А от 15.11.2023, № 101 в перечне по № 115-ФЗ, ФСБ и ФСТЭК) недоступен новым игрокам без многолетней подготовки [27; 35].</w:t>
            </w:r>
          </w:p>
        </w:tc>
      </w:tr>
      <w:tr>
        <w:trPr>
          <w:cantSplit/>
        </w:trPr>
        <w:tc>
          <w:tcPr>
            <w:tcW w:w="1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2. Рыночная сила поставщиков</w:t>
            </w:r>
          </w:p>
        </w:tc>
        <w:tc>
          <w:tcPr>
            <w:tcW w:w="1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средний</w:t>
            </w:r>
          </w:p>
        </w:tc>
        <w:tc>
          <w:tcPr>
            <w:tcW w:w="3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Производители биотерминалов; внешние алгоритмические вендоры; АО «ЦБТ» — монополист хранения векторов в ГИС ЕБС [36; 37]. Тарифы и регламент работы с ЕБС задаются 572-ФЗ [1].</w:t>
            </w:r>
          </w:p>
        </w:tc>
        <w:tc>
          <w:tcPr>
            <w:tcW w:w="3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Смешанная: собственные алгоритмы (99,5%) снимают зависимость от VisionLabs и NtechLab; сохраняется зависимость от партнёра по терминалам (в отличие от OVISION) и от ЦБТ как единственного оператора ЕБС [27; 41; 37].</w:t>
            </w:r>
          </w:p>
        </w:tc>
      </w:tr>
      <w:tr>
        <w:trPr>
          <w:cantSplit/>
        </w:trPr>
        <w:tc>
          <w:tcPr>
            <w:tcW w:w="1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3. Рыночная сила покупателей</w:t>
            </w:r>
          </w:p>
        </w:tc>
        <w:tc>
          <w:tcPr>
            <w:tcW w:w="1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средне-высокий</w:t>
            </w:r>
          </w:p>
        </w:tc>
        <w:tc>
          <w:tcPr>
            <w:tcW w:w="3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В B2B/B2G заказчики крупны и концентрированы — сильная переговорная позиция. В технологическом слое издержки переключения низкие; в нише «банк + биометрия + ЕБС» — высокие из-за зависимости от регуляторного статуса банка-партнёра.</w:t>
            </w:r>
          </w:p>
        </w:tc>
        <w:tc>
          <w:tcPr>
            <w:tcW w:w="3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В технологическом слое Face2 конкурирует с VisionLabs и OVISION по цене и функционалу; в нише «банк + ЕБС» сила покупателей снижается — аналоги предлагает узкий круг банков-операторов [27; 35].</w:t>
            </w:r>
          </w:p>
        </w:tc>
      </w:tr>
      <w:tr>
        <w:trPr>
          <w:cantSplit/>
        </w:trPr>
        <w:tc>
          <w:tcPr>
            <w:tcW w:w="1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4. Угроза товаров-заменителей</w:t>
            </w:r>
          </w:p>
        </w:tc>
        <w:tc>
          <w:tcPr>
            <w:tcW w:w="1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средний</w:t>
            </w:r>
          </w:p>
        </w:tc>
        <w:tc>
          <w:tcPr>
            <w:tcW w:w="3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Заменители: пластиковые карты, NFC, QR-эквайринг, push, SMS-OTP, голосовая биометрия. Во II кв. 2025 QR превысил биометрию по числу операций в 16 раз (≈ 990 млн против ≈ 60 млн), но темпы роста биометрии выше (+50% против +25%) [34]. В СКУД — карточные пропуска и мобильные ключи.</w:t>
            </w:r>
          </w:p>
        </w:tc>
        <w:tc>
          <w:tcPr>
            <w:tcW w:w="3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В регулируемых сценариях (открытие счёта, возрастная верификация, транспорт) субституты ограничены законом. В массовом эквайринге QR доминирует по обороту, но не вытесняет биометрию: оба канала растут параллельно [32; 34].</w:t>
            </w:r>
          </w:p>
        </w:tc>
      </w:tr>
      <w:tr>
        <w:trPr>
          <w:cantSplit/>
        </w:trPr>
        <w:tc>
          <w:tcPr>
            <w:tcW w:w="1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5. Внутриотраслевая конкуренция</w:t>
            </w:r>
          </w:p>
        </w:tc>
        <w:tc>
          <w:tcPr>
            <w:tcW w:w="1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средне-высокий</w:t>
            </w:r>
          </w:p>
        </w:tc>
        <w:tc>
          <w:tcPr>
            <w:tcW w:w="3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Лидеры по слоям: Сбер в B2C-биоэквайринге (700+ тыс. терминалов, 30 млн зарегистрированных, 116 млрд руб. за 2025 г.); VisionLabs в технологическом слое (1,7 млн камер, 38 стран); OVISION в полном цикле СКУД (OGATE, референсы РЖД, Мосэнергосбыт) [38; 40; 41]. Девятикратный рост платежей и пятикратный рост оборота снижают остроту ценовой конкуренции [32].</w:t>
            </w:r>
          </w:p>
        </w:tc>
        <w:tc>
          <w:tcPr>
            <w:tcW w:w="3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Прямой лобовой конкуренции в нише Face2 мало: банк не пересекается со Сбером по объёму, с VisionLabs по верификации алгоритмов, с OVISION по аппаратному стеку. Конкуренция идёт на узком пересечении — B2B/B2G со сценариями работы с физлицами через ЕБС в банковской экосистеме.</w:t>
            </w:r>
          </w:p>
        </w:tc>
      </w:tr>
    </w:tbl>
    <w:p>
      <w:pPr>
        <w:spacing w:before="0" w:after="0" w:line="240" w:lineRule="auto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Источник: составлено автором по данным [11, с. 39; 27; 26, с. 17, 30–31, 33; 38; 1; 36; 35; 40; 32; 41; 37; 34]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Из таблицы 2.2.4 складывается единая структурная картина. Угроза новых участников и рыночная сила поставщиков (в части алгоритмов) оказывают на Face2 ослабленное давление: жёсткая регуляторная рамка отсекает несертифицированных игроков, а собственная алгоритмическая база банка снимает зависимость от внешних вендоров [27; 1; 35]. Сила покупателей и угроза заменителей расщепляются по сегментам — высоки в технологическом слое и снижаются в нише «банк + ЕБС» из-за недоступности эквивалентов у вендоров [32; 34]. Внутриотраслевая конкуренция остаётся средне-высокой, но смягчается многослойностью рынка и кратным ростом спроса, позволяющим нескольким игрокам одновременно расширять долю без прямого вытеснения [38; 40; 32; 41]. Совокупно российский рынок биометрии относится к структурно привлекательным отраслям с высокими барьерами входа и умеренной интенсивностью соперничества внутри отдельных слоёв; стратегия продвижения Face2 рационально опирается на регуляторный капитал и банковскую экосистему, а две силы задают пробелы для главы 3 — необходимость партнёрского или собственного аппаратного стека и бесперспективность лобовой конкуренции с QR-эквайрингом по числу операций.</w:t>
      </w:r>
    </w:p>
    <w:p>
      <w:pPr>
        <w:keepNext/>
        <w:keepLines/>
        <w:spacing w:before="200" w:after="120" w:line="360" w:lineRule="auto"/>
        <w:jc w:val="center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b/>
          <w:bCs/>
          <w:color w:val="000000"/>
          <w:sz w:val="28"/>
          <w:szCs w:val="28"/>
          <w:lang w:val="ru-RU"/>
        </w:rPr>
        <w:t xml:space="preserve">Сравнительный анализ Face2 и ключевых конкурентов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Сравнительный анализ строится по семи параметрам, существенным для выбора биометрического решения корпоративным и розничным заказчиком: тип игрока, продуктовая линейка по форм-факторам и сценариям, формальные регуляторные статусы, независимая верификация точности, географический охват, типовая бизнес-модель и наличие банковской/инфраструктурной экосистемы. Результаты сравнения собраны в таблице 2.2.5.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Таблица 2.2.5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Сравнение Face2 и ключевых конкурентов на российском рынке биометрии</w:t>
      </w:r>
    </w:p>
    <w:tbl>
      <w:tblPr>
        <w:tblW w:w="963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7"/>
        <w:gridCol w:w="2258"/>
        <w:gridCol w:w="1957"/>
        <w:gridCol w:w="2258"/>
        <w:gridCol w:w="1355"/>
      </w:tblGrid>
      <w:tr>
        <w:trPr>
          <w:tblHeader/>
          <w:cantSplit/>
        </w:trPr>
        <w:tc>
          <w:tcPr>
            <w:tcW w:w="1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Параметр</w:t>
            </w:r>
          </w:p>
        </w:tc>
        <w:tc>
          <w:tcPr>
            <w:tcW w:w="22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Face2 (АК БАРС БАНК)</w:t>
            </w:r>
          </w:p>
        </w:tc>
        <w:tc>
          <w:tcPr>
            <w:tcW w:w="1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Сбер</w:t>
            </w:r>
          </w:p>
        </w:tc>
        <w:tc>
          <w:tcPr>
            <w:tcW w:w="22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VisionLabs</w:t>
            </w:r>
          </w:p>
        </w:tc>
        <w:tc>
          <w:tcPr>
            <w:tcW w:w="1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OVISION</w:t>
            </w:r>
          </w:p>
        </w:tc>
      </w:tr>
      <w:tr>
        <w:trPr>
          <w:cantSplit/>
        </w:trPr>
        <w:tc>
          <w:tcPr>
            <w:tcW w:w="1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Тип игрока</w:t>
            </w:r>
          </w:p>
        </w:tc>
        <w:tc>
          <w:tcPr>
            <w:tcW w:w="22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Банк-разработчик</w:t>
            </w:r>
          </w:p>
        </w:tc>
        <w:tc>
          <w:tcPr>
            <w:tcW w:w="1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Банк-разработчик</w:t>
            </w:r>
          </w:p>
        </w:tc>
        <w:tc>
          <w:tcPr>
            <w:tcW w:w="22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Технологический вендор</w:t>
            </w:r>
          </w:p>
        </w:tc>
        <w:tc>
          <w:tcPr>
            <w:tcW w:w="1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Производитель полного цикла</w:t>
            </w:r>
          </w:p>
        </w:tc>
      </w:tr>
      <w:tr>
        <w:trPr>
          <w:cantSplit/>
        </w:trPr>
        <w:tc>
          <w:tcPr>
            <w:tcW w:w="1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Аккредитация Минцифры (КБС)</w:t>
            </w:r>
          </w:p>
        </w:tc>
        <w:tc>
          <w:tcPr>
            <w:tcW w:w="22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Решение № 4-А от 15.11.2023 [27]</w:t>
            </w:r>
          </w:p>
        </w:tc>
        <w:tc>
          <w:tcPr>
            <w:tcW w:w="1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Через дочерние структуры</w:t>
            </w:r>
          </w:p>
        </w:tc>
        <w:tc>
          <w:tcPr>
            <w:tcW w:w="22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Партнёр ЦБТ [40]</w:t>
            </w:r>
          </w:p>
        </w:tc>
        <w:tc>
          <w:tcPr>
            <w:tcW w:w="1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Есть [41]</w:t>
            </w:r>
          </w:p>
        </w:tc>
      </w:tr>
      <w:tr>
        <w:trPr>
          <w:cantSplit/>
        </w:trPr>
        <w:tc>
          <w:tcPr>
            <w:tcW w:w="1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Право регистрации БПд граждан в ЕБС (по № 115-ФЗ)</w:t>
            </w:r>
          </w:p>
        </w:tc>
        <w:tc>
          <w:tcPr>
            <w:tcW w:w="22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№ 101 в перечне [35]</w:t>
            </w:r>
          </w:p>
        </w:tc>
        <w:tc>
          <w:tcPr>
            <w:tcW w:w="1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Есть</w:t>
            </w:r>
          </w:p>
        </w:tc>
        <w:tc>
          <w:tcPr>
            <w:tcW w:w="22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Нет (B2B-вендор)</w:t>
            </w:r>
          </w:p>
        </w:tc>
        <w:tc>
          <w:tcPr>
            <w:tcW w:w="1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Нет (B2B-вендор)</w:t>
            </w:r>
          </w:p>
        </w:tc>
      </w:tr>
      <w:tr>
        <w:trPr>
          <w:cantSplit/>
        </w:trPr>
        <w:tc>
          <w:tcPr>
            <w:tcW w:w="1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Реестр отечественного ПО</w:t>
            </w:r>
          </w:p>
        </w:tc>
        <w:tc>
          <w:tcPr>
            <w:tcW w:w="22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Есть [27]</w:t>
            </w:r>
          </w:p>
        </w:tc>
        <w:tc>
          <w:tcPr>
            <w:tcW w:w="1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Есть</w:t>
            </w:r>
          </w:p>
        </w:tc>
        <w:tc>
          <w:tcPr>
            <w:tcW w:w="22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Есть [40]</w:t>
            </w:r>
          </w:p>
        </w:tc>
        <w:tc>
          <w:tcPr>
            <w:tcW w:w="1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Есть [41]</w:t>
            </w:r>
          </w:p>
        </w:tc>
      </w:tr>
      <w:tr>
        <w:trPr>
          <w:cantSplit/>
        </w:trPr>
        <w:tc>
          <w:tcPr>
            <w:tcW w:w="1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Сертификация ФСБ и ФСТЭК</w:t>
            </w:r>
          </w:p>
        </w:tc>
        <w:tc>
          <w:tcPr>
            <w:tcW w:w="22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Есть [27]</w:t>
            </w:r>
          </w:p>
        </w:tc>
        <w:tc>
          <w:tcPr>
            <w:tcW w:w="1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Есть</w:t>
            </w:r>
          </w:p>
        </w:tc>
        <w:tc>
          <w:tcPr>
            <w:tcW w:w="22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Через ПАК «ВЛ-БИО» [40]</w:t>
            </w:r>
          </w:p>
        </w:tc>
        <w:tc>
          <w:tcPr>
            <w:tcW w:w="1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Есть, право установки СКЗИ [41]</w:t>
            </w:r>
          </w:p>
        </w:tc>
      </w:tr>
      <w:tr>
        <w:trPr>
          <w:cantSplit/>
        </w:trPr>
        <w:tc>
          <w:tcPr>
            <w:tcW w:w="1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Независимая верификация (NIST FRTE, iBeta, CVPR)</w:t>
            </w:r>
          </w:p>
        </w:tc>
        <w:tc>
          <w:tcPr>
            <w:tcW w:w="22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Публично не зафиксирована</w:t>
            </w:r>
          </w:p>
        </w:tc>
        <w:tc>
          <w:tcPr>
            <w:tcW w:w="1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Публично не зафиксирована</w:t>
            </w:r>
          </w:p>
        </w:tc>
        <w:tc>
          <w:tcPr>
            <w:tcW w:w="22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Подтверждена [40]</w:t>
            </w:r>
          </w:p>
        </w:tc>
        <w:tc>
          <w:tcPr>
            <w:tcW w:w="1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Публично не зафиксирована</w:t>
            </w:r>
          </w:p>
        </w:tc>
      </w:tr>
      <w:tr>
        <w:trPr>
          <w:cantSplit/>
        </w:trPr>
        <w:tc>
          <w:tcPr>
            <w:tcW w:w="1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Заявленная точность</w:t>
            </w:r>
          </w:p>
        </w:tc>
        <w:tc>
          <w:tcPr>
            <w:tcW w:w="22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99,5% [27]</w:t>
            </w:r>
          </w:p>
        </w:tc>
        <w:tc>
          <w:tcPr>
            <w:tcW w:w="1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Косвенно через VisionLabs</w:t>
            </w:r>
          </w:p>
        </w:tc>
        <w:tc>
          <w:tcPr>
            <w:tcW w:w="22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Лидерство в NIST FRTE [40]</w:t>
            </w:r>
          </w:p>
        </w:tc>
        <w:tc>
          <w:tcPr>
            <w:tcW w:w="1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≈ 99,9% [41]</w:t>
            </w:r>
          </w:p>
        </w:tc>
      </w:tr>
      <w:tr>
        <w:trPr>
          <w:cantSplit/>
        </w:trPr>
        <w:tc>
          <w:tcPr>
            <w:tcW w:w="1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Время сканирования</w:t>
            </w:r>
          </w:p>
        </w:tc>
        <w:tc>
          <w:tcPr>
            <w:tcW w:w="22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≈ 2 с [27]</w:t>
            </w:r>
          </w:p>
        </w:tc>
        <w:tc>
          <w:tcPr>
            <w:tcW w:w="1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6 с (цель — 2 с к 2025) [38]</w:t>
            </w:r>
          </w:p>
        </w:tc>
        <w:tc>
          <w:tcPr>
            <w:tcW w:w="22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≈ 2,5 с (LUNA)</w:t>
            </w:r>
          </w:p>
        </w:tc>
        <w:tc>
          <w:tcPr>
            <w:tcW w:w="1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≈ 0,3 с [41]</w:t>
            </w:r>
          </w:p>
        </w:tc>
      </w:tr>
      <w:tr>
        <w:trPr>
          <w:cantSplit/>
        </w:trPr>
        <w:tc>
          <w:tcPr>
            <w:tcW w:w="1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Собственное производство терминалов</w:t>
            </w:r>
          </w:p>
        </w:tc>
        <w:tc>
          <w:tcPr>
            <w:tcW w:w="22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Нет (партнёрское)</w:t>
            </w:r>
          </w:p>
        </w:tc>
        <w:tc>
          <w:tcPr>
            <w:tcW w:w="1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Нет</w:t>
            </w:r>
          </w:p>
        </w:tc>
        <w:tc>
          <w:tcPr>
            <w:tcW w:w="22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Нет (модуль ПАК «ВЛ-БИО»)</w:t>
            </w:r>
          </w:p>
        </w:tc>
        <w:tc>
          <w:tcPr>
            <w:tcW w:w="1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Есть (OGATE One/Mini/Thermo) [41]</w:t>
            </w:r>
          </w:p>
        </w:tc>
      </w:tr>
      <w:tr>
        <w:trPr>
          <w:cantSplit/>
        </w:trPr>
        <w:tc>
          <w:tcPr>
            <w:tcW w:w="1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Продуктовая линейка</w:t>
            </w:r>
          </w:p>
        </w:tc>
        <w:tc>
          <w:tcPr>
            <w:tcW w:w="22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Face2Pay, Face2Pass, Face2Check-in, КБС под ключ — по сценариям банковской вертикали</w:t>
            </w:r>
          </w:p>
        </w:tc>
        <w:tc>
          <w:tcPr>
            <w:tcW w:w="1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СберPay Smile — преимущественно эквайринг</w:t>
            </w:r>
          </w:p>
        </w:tc>
        <w:tc>
          <w:tcPr>
            <w:tcW w:w="22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LUNA Platform/Cars/ID/Pass/Kiosk + Deepfake Detection — по форм-факторам</w:t>
            </w:r>
          </w:p>
        </w:tc>
        <w:tc>
          <w:tcPr>
            <w:tcW w:w="1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OGATE + OGATE Control + КБС OVISION</w:t>
            </w:r>
          </w:p>
        </w:tc>
      </w:tr>
      <w:tr>
        <w:trPr>
          <w:cantSplit/>
        </w:trPr>
        <w:tc>
          <w:tcPr>
            <w:tcW w:w="1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География</w:t>
            </w:r>
          </w:p>
        </w:tc>
        <w:tc>
          <w:tcPr>
            <w:tcW w:w="22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Татарстан + федеральные пилоты (Минцифры, Минтранс, НСПК)</w:t>
            </w:r>
          </w:p>
        </w:tc>
        <w:tc>
          <w:tcPr>
            <w:tcW w:w="1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Вся РФ и новые территории [38]</w:t>
            </w:r>
          </w:p>
        </w:tc>
        <w:tc>
          <w:tcPr>
            <w:tcW w:w="22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38 стран, 9 представительств [40]</w:t>
            </w:r>
          </w:p>
        </w:tc>
        <w:tc>
          <w:tcPr>
            <w:tcW w:w="1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Вся РФ</w:t>
            </w:r>
          </w:p>
        </w:tc>
      </w:tr>
      <w:tr>
        <w:trPr>
          <w:cantSplit/>
        </w:trPr>
        <w:tc>
          <w:tcPr>
            <w:tcW w:w="1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Антифрод (детекция дипфейков)</w:t>
            </w:r>
          </w:p>
        </w:tc>
        <w:tc>
          <w:tcPr>
            <w:tcW w:w="22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В публичной линейке отдельное решение не зафиксировано</w:t>
            </w:r>
          </w:p>
        </w:tc>
        <w:tc>
          <w:tcPr>
            <w:tcW w:w="1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Многоконтурная защита: liveness + AI-фрод + ПИН [38]</w:t>
            </w:r>
          </w:p>
        </w:tc>
        <w:tc>
          <w:tcPr>
            <w:tcW w:w="22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Отдельный продукт Deepfake Detection [40]</w:t>
            </w:r>
          </w:p>
        </w:tc>
        <w:tc>
          <w:tcPr>
            <w:tcW w:w="1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Антиспуфинг и детекция дипфейков [41]</w:t>
            </w:r>
          </w:p>
        </w:tc>
      </w:tr>
      <w:tr>
        <w:trPr>
          <w:cantSplit/>
        </w:trPr>
        <w:tc>
          <w:tcPr>
            <w:tcW w:w="1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Банковская / инфраструктурная экосистема</w:t>
            </w:r>
          </w:p>
        </w:tc>
        <w:tc>
          <w:tcPr>
            <w:tcW w:w="22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АББ, Карта жителя РТ, СБП, мобильное приложение [26, с. 17, 33]</w:t>
            </w:r>
          </w:p>
        </w:tc>
        <w:tc>
          <w:tcPr>
            <w:tcW w:w="1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Сбер, СберPay, СберID</w:t>
            </w:r>
          </w:p>
        </w:tc>
        <w:tc>
          <w:tcPr>
            <w:tcW w:w="22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ЦБТ, ЦРТ, Нетрис, ITV, ВК ИТС, Macroscop [40]</w:t>
            </w:r>
          </w:p>
        </w:tc>
        <w:tc>
          <w:tcPr>
            <w:tcW w:w="1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Без банковской экосистемы</w:t>
            </w:r>
          </w:p>
        </w:tc>
      </w:tr>
    </w:tbl>
    <w:p>
      <w:pPr>
        <w:spacing w:before="0" w:after="0" w:line="240" w:lineRule="auto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Источник: составлено автором по данным [27; 26, с. 17, 33; 38; 35; 40; 41]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Сравнение в таблице 2.2.5 фиксирует четыре чётко различимые позиции на рынке. Сбер закрывает массовый B2C-биоэквайринг масштабом и инфраструктурой; VisionLabs закрывает технологический слой и сильнее всех по независимой верификации точности через NIST FRTE и iBeta; OVISION закрывает рынок полного цикла СКУД (собственное оборудование плюс программное ядро плюс полный набор регуляторных статусов) и силён в государственном сегменте за счёт референсов федерального уровня (РЖД, Мосэнергосбыт, Правительство Тульской области). Face2 не вступает в эти три позиции лоб в лоб, а занимает четвёртую — банковский сервисный игрок с правом регистрации биометрических данных граждан в ЕБС через статус по № 115-ФЗ и с продуктовой линейкой, выстроенной не по форм-факторам, а по банковским сценариям.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Конкурентные преимущества Face2 складываются из пяти позиций: (1) статус банка-оператора по № 115-ФЗ с правом регистрации биометрических векторов граждан в ЕБС, недоступный технологическим вендорам и производителям СКУД; (2) аккредитация Минцифры как оператора КБС (Решение № 4-А от 15 ноября 2023 года), особенно ценная после ужесточения ответственности по 420-ФЗ и 421-ФЗ [27]; (3) институциональный стаж работы с ЕБС с июля 2018 года и положение первого банка ПФО, подключённого к этой инфраструктуре, снимающий риск восприятия Face2 как «нового и непроверенного» сервиса [39]; (4) банковская экосистема (934 тыс. розничных и 33,9 тыс. корпоративных клиентов, 930 тыс. в АБО, 450 тыс. Карт жителя РТ, рейтинги «A» и подтверждённый ESG-статус) [26, с. 17, 33]; (5) продуктовая вертикаль под банковский сценарий, закрывающая оплату, проход и подтверждение возраста внутри одной экосистемы клиента, что отличает Face2 от горизонтальных платформ технологических вендоров.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Пробелы — четыре: (1) публично не зафиксированная независимая международная верификация точности (NIST FRTE, iBeta, CVPR), на которой VisionLabs строит значимую часть позиционирования [40]; (2) отсутствие собственного производства биометрических терминалов и частичная зависимость от партнёрского оборудования при том, что OVISION предлагает полный аппаратный стек одного производителя со всеми статусами (Минпромторг, реестр радиоэлектронной продукции, СКЗИ) [41]; (3) локальный масштаб — ядро коммерческой базы Face2 в Татарстане при федеральном охвате Сбера и международном — VisionLabs (38 стран); (4) в публичной линейке Face2 не зафиксировано отдельное решение по детекции дипфейков, представленное у VisionLabs (Deepfake Detection), у OVISION (антиспуфинг и детекция дипфейков) и в виде многоконтурной защиты у Сбера [38; 40; 41].</w:t>
      </w:r>
    </w:p>
    <w:p>
      <w:pPr>
        <w:keepNext/>
        <w:keepLines/>
        <w:spacing w:before="200" w:after="120" w:line="360" w:lineRule="auto"/>
        <w:jc w:val="center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b/>
          <w:bCs/>
          <w:color w:val="000000"/>
          <w:sz w:val="28"/>
          <w:szCs w:val="28"/>
          <w:lang w:val="ru-RU"/>
        </w:rPr>
        <w:t xml:space="preserve">Балльная экспертная оценка решений на основе сравнительной матрицы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Сравнительная матрица в таблице 2.2.5 фиксирует, по каким параметрам игроки различаются, но не отвечает на вопрос, какие из этих параметров критичны для победы в отрасли, а какие — второстепенны. Этот разрыв снимается через ключевые факторы успеха (КФУ) — управляемые ресурсы и характеристики продукта, владение которыми обеспечивает устойчивое конкурентное преимущество и без которых даже технологически сильное решение не выходит на коммерческий контур заказчика [11, с. 39; 25, с. 112]. На основании трёх рамок предыдущих подразделов (регуляторного контура, PESTEL-анализа и пяти сил Портера) и сравнительной матрицы выделяются восемь КФУ российского рынка биометрии: регуляторно-правовой капитал, технологическая зрелость алгоритмов, доказательная база точности, продуктовая полнота под B2B/B2G, географический охват и референсная база, экосистемная интеграция, контроль аппаратного стека и антифрод-функциональность. Эти восемь факторов одновременно служат критериями балльной оценки в таблице 2.2.6.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КФУ не равноправны: для типового заказчика биометрии регуляторный статус важнее аппаратного стека, а банковская экосистема — важнее географии присутствия вендора. Восемь критериев переведены в шкалу от 1 до 5 баллов: 5 — лидерство, подтверждённое внешними источниками; 4 — устойчивая позиция с публично заявленными подтверждениями; 3 — позиция выше средней без независимой верификации; 2 — отдельные элементы реализованы, но не образуют системы; 1 — параметр публично не подтверждён. Веса критериев настроены под целевой сегмент Face2 — заказчиков B2B и B2G со сценариями работы с физическими лицами через ЕБС внутри банковской экосистемы: регуляторный статус и банковская экосистема выходят на первый план (вес 0,30 и 0,25), а второстепенные для этого сегмента критерии — географический охват, собственный аппаратный стек, заявленные технические характеристики и независимая верификация точности — понижаются до 0,05.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Таблица 2.2.6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Балльная экспертная оценка под целевой сегмент Face2 — B2B и B2G-заказчики со сценариями работы с физическими лицами через ЕБС в банковской экосистеме</w:t>
      </w:r>
    </w:p>
    <w:tbl>
      <w:tblPr>
        <w:tblW w:w="963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637"/>
        <w:gridCol w:w="4046"/>
        <w:gridCol w:w="1348"/>
        <w:gridCol w:w="674"/>
        <w:gridCol w:w="637"/>
        <w:gridCol w:w="1348"/>
        <w:gridCol w:w="944"/>
      </w:tblGrid>
      <w:tr>
        <w:trPr>
          <w:tblHeader/>
          <w:cantSplit/>
        </w:trPr>
        <w:tc>
          <w:tcPr>
            <w:tcW w:w="6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№</w:t>
            </w:r>
          </w:p>
        </w:tc>
        <w:tc>
          <w:tcPr>
            <w:tcW w:w="4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Критерий (КФУ)</w:t>
            </w:r>
          </w:p>
        </w:tc>
        <w:tc>
          <w:tcPr>
            <w:tcW w:w="1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Сегментный вес</w:t>
            </w:r>
          </w:p>
        </w:tc>
        <w:tc>
          <w:tcPr>
            <w:tcW w:w="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Face2</w:t>
            </w:r>
          </w:p>
        </w:tc>
        <w:tc>
          <w:tcPr>
            <w:tcW w:w="6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Сбер</w:t>
            </w:r>
          </w:p>
        </w:tc>
        <w:tc>
          <w:tcPr>
            <w:tcW w:w="1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VisionLabs</w:t>
            </w:r>
          </w:p>
        </w:tc>
        <w:tc>
          <w:tcPr>
            <w:tcW w:w="9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OVISION</w:t>
            </w:r>
          </w:p>
        </w:tc>
      </w:tr>
      <w:tr>
        <w:trPr>
          <w:cantSplit/>
        </w:trPr>
        <w:tc>
          <w:tcPr>
            <w:tcW w:w="6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1</w:t>
            </w:r>
          </w:p>
        </w:tc>
        <w:tc>
          <w:tcPr>
            <w:tcW w:w="4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Регуляторный статус: аккредитация КБС, статус оператора биометрии, право регистрации в ЕБС</w:t>
            </w:r>
          </w:p>
        </w:tc>
        <w:tc>
          <w:tcPr>
            <w:tcW w:w="1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0,30</w:t>
            </w:r>
          </w:p>
        </w:tc>
        <w:tc>
          <w:tcPr>
            <w:tcW w:w="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5</w:t>
            </w:r>
          </w:p>
        </w:tc>
        <w:tc>
          <w:tcPr>
            <w:tcW w:w="6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5</w:t>
            </w:r>
          </w:p>
        </w:tc>
        <w:tc>
          <w:tcPr>
            <w:tcW w:w="1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4</w:t>
            </w:r>
          </w:p>
        </w:tc>
        <w:tc>
          <w:tcPr>
            <w:tcW w:w="9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4</w:t>
            </w:r>
          </w:p>
        </w:tc>
      </w:tr>
      <w:tr>
        <w:trPr>
          <w:cantSplit/>
        </w:trPr>
        <w:tc>
          <w:tcPr>
            <w:tcW w:w="6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2</w:t>
            </w:r>
          </w:p>
        </w:tc>
        <w:tc>
          <w:tcPr>
            <w:tcW w:w="4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Заявленные точность и скорость распознавания</w:t>
            </w:r>
          </w:p>
        </w:tc>
        <w:tc>
          <w:tcPr>
            <w:tcW w:w="1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0,05</w:t>
            </w:r>
          </w:p>
        </w:tc>
        <w:tc>
          <w:tcPr>
            <w:tcW w:w="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4</w:t>
            </w:r>
          </w:p>
        </w:tc>
        <w:tc>
          <w:tcPr>
            <w:tcW w:w="6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4</w:t>
            </w:r>
          </w:p>
        </w:tc>
        <w:tc>
          <w:tcPr>
            <w:tcW w:w="1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5</w:t>
            </w:r>
          </w:p>
        </w:tc>
        <w:tc>
          <w:tcPr>
            <w:tcW w:w="9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5</w:t>
            </w:r>
          </w:p>
        </w:tc>
      </w:tr>
      <w:tr>
        <w:trPr>
          <w:cantSplit/>
        </w:trPr>
        <w:tc>
          <w:tcPr>
            <w:tcW w:w="6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3</w:t>
            </w:r>
          </w:p>
        </w:tc>
        <w:tc>
          <w:tcPr>
            <w:tcW w:w="4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Независимая верификация точности (NIST FRTE, iBeta, CVPR)</w:t>
            </w:r>
          </w:p>
        </w:tc>
        <w:tc>
          <w:tcPr>
            <w:tcW w:w="1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0,05</w:t>
            </w:r>
          </w:p>
        </w:tc>
        <w:tc>
          <w:tcPr>
            <w:tcW w:w="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2</w:t>
            </w:r>
          </w:p>
        </w:tc>
        <w:tc>
          <w:tcPr>
            <w:tcW w:w="6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2</w:t>
            </w:r>
          </w:p>
        </w:tc>
        <w:tc>
          <w:tcPr>
            <w:tcW w:w="1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5</w:t>
            </w:r>
          </w:p>
        </w:tc>
        <w:tc>
          <w:tcPr>
            <w:tcW w:w="9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2</w:t>
            </w:r>
          </w:p>
        </w:tc>
      </w:tr>
      <w:tr>
        <w:trPr>
          <w:cantSplit/>
        </w:trPr>
        <w:tc>
          <w:tcPr>
            <w:tcW w:w="6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4</w:t>
            </w:r>
          </w:p>
        </w:tc>
        <w:tc>
          <w:tcPr>
            <w:tcW w:w="4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Продуктовая линейка под B2B и B2G сценарии</w:t>
            </w:r>
          </w:p>
        </w:tc>
        <w:tc>
          <w:tcPr>
            <w:tcW w:w="1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0,15</w:t>
            </w:r>
          </w:p>
        </w:tc>
        <w:tc>
          <w:tcPr>
            <w:tcW w:w="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4</w:t>
            </w:r>
          </w:p>
        </w:tc>
        <w:tc>
          <w:tcPr>
            <w:tcW w:w="6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3</w:t>
            </w:r>
          </w:p>
        </w:tc>
        <w:tc>
          <w:tcPr>
            <w:tcW w:w="1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5</w:t>
            </w:r>
          </w:p>
        </w:tc>
        <w:tc>
          <w:tcPr>
            <w:tcW w:w="9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4</w:t>
            </w:r>
          </w:p>
        </w:tc>
      </w:tr>
      <w:tr>
        <w:trPr>
          <w:cantSplit/>
        </w:trPr>
        <w:tc>
          <w:tcPr>
            <w:tcW w:w="6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5</w:t>
            </w:r>
          </w:p>
        </w:tc>
        <w:tc>
          <w:tcPr>
            <w:tcW w:w="4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Географический охват и референсная база</w:t>
            </w:r>
          </w:p>
        </w:tc>
        <w:tc>
          <w:tcPr>
            <w:tcW w:w="1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0,05</w:t>
            </w:r>
          </w:p>
        </w:tc>
        <w:tc>
          <w:tcPr>
            <w:tcW w:w="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3</w:t>
            </w:r>
          </w:p>
        </w:tc>
        <w:tc>
          <w:tcPr>
            <w:tcW w:w="6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5</w:t>
            </w:r>
          </w:p>
        </w:tc>
        <w:tc>
          <w:tcPr>
            <w:tcW w:w="1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5</w:t>
            </w:r>
          </w:p>
        </w:tc>
        <w:tc>
          <w:tcPr>
            <w:tcW w:w="9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4</w:t>
            </w:r>
          </w:p>
        </w:tc>
      </w:tr>
      <w:tr>
        <w:trPr>
          <w:cantSplit/>
        </w:trPr>
        <w:tc>
          <w:tcPr>
            <w:tcW w:w="6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6</w:t>
            </w:r>
          </w:p>
        </w:tc>
        <w:tc>
          <w:tcPr>
            <w:tcW w:w="4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Банковская и инфраструктурная экосистема</w:t>
            </w:r>
          </w:p>
        </w:tc>
        <w:tc>
          <w:tcPr>
            <w:tcW w:w="1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0,25</w:t>
            </w:r>
          </w:p>
        </w:tc>
        <w:tc>
          <w:tcPr>
            <w:tcW w:w="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5</w:t>
            </w:r>
          </w:p>
        </w:tc>
        <w:tc>
          <w:tcPr>
            <w:tcW w:w="6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5</w:t>
            </w:r>
          </w:p>
        </w:tc>
        <w:tc>
          <w:tcPr>
            <w:tcW w:w="1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3</w:t>
            </w:r>
          </w:p>
        </w:tc>
        <w:tc>
          <w:tcPr>
            <w:tcW w:w="9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2</w:t>
            </w:r>
          </w:p>
        </w:tc>
      </w:tr>
      <w:tr>
        <w:trPr>
          <w:cantSplit/>
        </w:trPr>
        <w:tc>
          <w:tcPr>
            <w:tcW w:w="6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7</w:t>
            </w:r>
          </w:p>
        </w:tc>
        <w:tc>
          <w:tcPr>
            <w:tcW w:w="4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Собственный аппаратный стек</w:t>
            </w:r>
          </w:p>
        </w:tc>
        <w:tc>
          <w:tcPr>
            <w:tcW w:w="1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0,05</w:t>
            </w:r>
          </w:p>
        </w:tc>
        <w:tc>
          <w:tcPr>
            <w:tcW w:w="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2</w:t>
            </w:r>
          </w:p>
        </w:tc>
        <w:tc>
          <w:tcPr>
            <w:tcW w:w="6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2</w:t>
            </w:r>
          </w:p>
        </w:tc>
        <w:tc>
          <w:tcPr>
            <w:tcW w:w="1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3</w:t>
            </w:r>
          </w:p>
        </w:tc>
        <w:tc>
          <w:tcPr>
            <w:tcW w:w="9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5</w:t>
            </w:r>
          </w:p>
        </w:tc>
      </w:tr>
      <w:tr>
        <w:trPr>
          <w:cantSplit/>
        </w:trPr>
        <w:tc>
          <w:tcPr>
            <w:tcW w:w="6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8</w:t>
            </w:r>
          </w:p>
        </w:tc>
        <w:tc>
          <w:tcPr>
            <w:tcW w:w="4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Антифрод-функциональность: детекция дипфейков, антиспуфинг</w:t>
            </w:r>
          </w:p>
        </w:tc>
        <w:tc>
          <w:tcPr>
            <w:tcW w:w="1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0,10</w:t>
            </w:r>
          </w:p>
        </w:tc>
        <w:tc>
          <w:tcPr>
            <w:tcW w:w="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2</w:t>
            </w:r>
          </w:p>
        </w:tc>
        <w:tc>
          <w:tcPr>
            <w:tcW w:w="6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4</w:t>
            </w:r>
          </w:p>
        </w:tc>
        <w:tc>
          <w:tcPr>
            <w:tcW w:w="1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5</w:t>
            </w:r>
          </w:p>
        </w:tc>
        <w:tc>
          <w:tcPr>
            <w:tcW w:w="9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4</w:t>
            </w:r>
          </w:p>
        </w:tc>
      </w:tr>
      <w:tr>
        <w:trPr>
          <w:cantSplit/>
        </w:trPr>
        <w:tc>
          <w:tcPr>
            <w:tcW w:w="6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4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Взвешенный итоговый балл</w:t>
            </w:r>
          </w:p>
        </w:tc>
        <w:tc>
          <w:tcPr>
            <w:tcW w:w="1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1,00</w:t>
            </w:r>
          </w:p>
        </w:tc>
        <w:tc>
          <w:tcPr>
            <w:tcW w:w="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4,10</w:t>
            </w:r>
          </w:p>
        </w:tc>
        <w:tc>
          <w:tcPr>
            <w:tcW w:w="6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4,25</w:t>
            </w:r>
          </w:p>
        </w:tc>
        <w:tc>
          <w:tcPr>
            <w:tcW w:w="1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4,10</w:t>
            </w:r>
          </w:p>
        </w:tc>
        <w:tc>
          <w:tcPr>
            <w:tcW w:w="9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3,50</w:t>
            </w:r>
          </w:p>
        </w:tc>
      </w:tr>
    </w:tbl>
    <w:p>
      <w:pPr>
        <w:spacing w:before="0" w:after="0" w:line="240" w:lineRule="auto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Источник: оценки автора по данным [11, с. 39; 25, с. 112; 27; 26, с. 17, 33; 38; 35; 40; 41]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Лидерство по целевому сегменту удерживает Сбер за счёт федерального охвата и многоконтурной антифрод-защиты [38]. Face2 разделяет вторую позицию с VisionLabs, опережая OVISION на 0,60 балла за счёт регуляторного статуса банка-оператора биометрии и собственной банковской экосистемы [27; 26, с. 17, 33; 35]. Балльный расчёт подтверждает качественный вывод параграфа: Face2 не претендует на универсальное лидерство, но входит в группу лидеров своего целевого сегмента — B2B и B2G-заказчиков со смешанными сценариями платежей, прохода и подтверждения возраста на биометрии физических лиц через ЕБС.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Полученный результат чувствителен к выбору весов: при равных весах (по 0,125 на каждый критерий) первое место занимает VisionLabs (≈ 4,38) за счёт независимой верификации точности, продуктовой полноты и антифрод-функциональности, второе — Сбер и OVISION с одинаковым средним (≈ 3,75), Face2 опускается на четвёртую позицию (≈ 3,38). Использованная в таблице 2.2.6 шкала весов настроена под целевой сегмент Face2 (B2B/B2G со сценариями работы с физическими лицами через ЕБС в банковской экосистеме) и поэтому даёт повышенную оценку именно для этого сегмента; для других сегментов рынка ранжирование изменится. Это не методологическая слабость, а свойство сегментно-ориентированной балльной оценки: она измеряет соответствие игрока заданному сегменту, а не универсальную «силу» решения.</w:t>
      </w:r>
    </w:p>
    <w:p>
      <w:pPr>
        <w:keepNext/>
        <w:keepLines/>
        <w:spacing w:before="200" w:after="120" w:line="360" w:lineRule="auto"/>
        <w:jc w:val="center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b/>
          <w:bCs/>
          <w:color w:val="000000"/>
          <w:sz w:val="28"/>
          <w:szCs w:val="28"/>
          <w:lang w:val="ru-RU"/>
        </w:rPr>
        <w:t xml:space="preserve">Конкурентная позиция Face2 на российском рынке биометрии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Жёсткая регуляторная рамка 572-ФЗ и закона № 115-ФЗ ограничивает круг операторов биометрии до организаций, аккредитованных Минцифры, и до банков, имеющих право регистрации векторов в ЕБС [1; 27; 35]; именно внутри этого ограниченного поля и формируется собственный конкурентный сегмент Face2 — B2B и B2G-заказчики со сценариями, где одновременно нужны работа с физическими лицами через ЕБС, банковская инфраструктура и продуктовая линейка под платежи, проход и подтверждение возраста. Face2 не конкурирует со Сбером по объёму, с VisionLabs — по верификации алгоритмов и международному охвату, с OVISION — по аппаратному стеку, но в собственном сегменте получает уникальную для рынка комбинацию преимуществ: статус оператора по № 115-ФЗ под № 101 в перечне Банка России, аккредитацию КБС № 4-А от 15.11.2023, шестилетний стаж работы с ЕБС, банковскую экосистему и первую референтную базу федерального уровня в проектах с Минцифры, Минтрансом, ЦБТ и НСПК [27; 26, с. 4, 17, 30–31, 33; 35]. Ограничения позиции — локальный географический охват и публично не зафиксированные независимая верификация точности и отдельное решение по детекции дипфейков. Драйверы спроса работают в пользу Face2 одновременно: ужесточение ответственности по 420-ФЗ и 421-ФЗ вытесняет неаккредитованные локальные решения, а девятикратный годовой рост биометрических платежей и 10+ млн зарегистрированных в ЕБС создают эффект повседневности и снимают часть барьера доверия [27; 32]. Управленческое следствие для главы 3 — анализ должен сосредоточиться не на технологических доработках, а на маркетинговых инструментах: насколько текущее продвижение продукта соответствует уже занятой банком конкурентной нише, какие каналы коммуникации задействованы и где находятся пробелы относительно сильных сторон, выявленных выше. Этому посвящён параграф 2.3.</w:t>
      </w:r>
    </w:p>
    <w:p>
      <w:pPr>
        <w:spacing w:before="0" w:after="0" w:line="240" w:lineRule="auto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</w:p>
    <w:p>
      <w:pPr>
        <w:keepNext/>
        <w:keepLines/>
        <w:spacing w:before="200" w:after="120" w:line="360" w:lineRule="auto"/>
        <w:jc w:val="center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b/>
          <w:bCs/>
          <w:color w:val="000000"/>
          <w:sz w:val="28"/>
          <w:szCs w:val="28"/>
          <w:lang w:val="ru-RU"/>
        </w:rPr>
        <w:t xml:space="preserve">2.3. Анализ текущего продвижения продукта и его позиции на рынке</w:t>
      </w:r>
    </w:p>
    <w:p>
      <w:pPr>
        <w:keepNext/>
        <w:keepLines/>
        <w:spacing w:before="200" w:after="120" w:line="360" w:lineRule="auto"/>
        <w:jc w:val="center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b/>
          <w:bCs/>
          <w:color w:val="000000"/>
          <w:sz w:val="28"/>
          <w:szCs w:val="28"/>
          <w:lang w:val="ru-RU"/>
        </w:rPr>
        <w:t xml:space="preserve">Постановка задачи и метод анализа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Опираясь на конкурентную позицию Face2, зафиксированную в параграфе 2.2, настоящий параграф проверяет, насколько текущая практика продвижения соответствует уже занятой банком нише, какие каналы и сегменты задействованы и где находятся пробелы. Текущее продвижение рассматривается через четыре аналитические рамки, введённые в параграфах 1.2 и 1.3: модель STP, расширенный комплекс маркетинга 7P (с особым весом People, Process и Physical evidence для биометрии), маркетинговая воронка с обязательным этапом «Доверие» и карта каналов из таблицы 1.2.2 в её биометрической конфигурации. Эмпирическая база — корпоративные материалы по продукту [27], годовой отчёт банка за 2024 год [26], проектная карточка TAdviser о подключении АББ к ЕБС в 2018 году [39], перечень банков по № 115-ФЗ [35] и рыночный фон по данным Банка России и деловой прессы [38; 32].</w:t>
      </w:r>
    </w:p>
    <w:p>
      <w:pPr>
        <w:keepNext/>
        <w:keepLines/>
        <w:spacing w:before="200" w:after="120" w:line="360" w:lineRule="auto"/>
        <w:jc w:val="center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b/>
          <w:bCs/>
          <w:color w:val="000000"/>
          <w:sz w:val="28"/>
          <w:szCs w:val="28"/>
          <w:lang w:val="ru-RU"/>
        </w:rPr>
        <w:t xml:space="preserve">Сегментация, таргетинг и позиционирование Face2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Продуктовая линейка Face2, описанная в параграфе 2.1, формирует адресный набор сегментов: каждое из четырёх продуктов закрывает собственный тип заказчика и сценарий использования. На уровне коммуникации между заявленным продуктовым сегментом и реальной публичной активностью банка возможен зазор — продукт может быть выведен на рынок продуктово, но не выведен коммуникативно. Сопоставление шести сегментов рынка из таблицы 2.2.2 с тем, как они отыграны в публичных коммуникациях Face2, дано в таблице 2.3.1.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Таблица 2.3.1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Сегментная карта продвижения Face2: продуктовая декларация и реальная коммуникативная активность</w:t>
      </w:r>
    </w:p>
    <w:tbl>
      <w:tblPr>
        <w:tblW w:w="9637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65"/>
        <w:gridCol w:w="2017"/>
        <w:gridCol w:w="3362"/>
        <w:gridCol w:w="1793"/>
      </w:tblGrid>
      <w:tr>
        <w:trPr>
          <w:tblHeader/>
          <w:cantSplit/>
        </w:trPr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Сегмент рынка (по табл. 2.2.2)</w:t>
            </w:r>
          </w:p>
        </w:tc>
        <w:tc>
          <w:tcPr>
            <w:tcW w:w="2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Продукт линейки</w:t>
            </w:r>
          </w:p>
        </w:tc>
        <w:tc>
          <w:tcPr>
            <w:tcW w:w="33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Реальная коммуникативная активность Face2</w:t>
            </w:r>
          </w:p>
        </w:tc>
        <w:tc>
          <w:tcPr>
            <w:tcW w:w="17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Тип активности</w:t>
            </w:r>
          </w:p>
        </w:tc>
      </w:tr>
      <w:tr>
        <w:trPr>
          <w:cantSplit/>
        </w:trPr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Финансовый сектор: B2C-биоэквайринг</w:t>
            </w:r>
          </w:p>
        </w:tc>
        <w:tc>
          <w:tcPr>
            <w:tcW w:w="2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Face2Pay</w:t>
            </w:r>
          </w:p>
        </w:tc>
        <w:tc>
          <w:tcPr>
            <w:tcW w:w="33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Оплата по биометрии в мобильном приложении АБО</w:t>
            </w:r>
          </w:p>
        </w:tc>
        <w:tc>
          <w:tcPr>
            <w:tcW w:w="17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Внутренний продукт</w:t>
            </w:r>
          </w:p>
        </w:tc>
      </w:tr>
      <w:tr>
        <w:trPr>
          <w:cantSplit/>
        </w:trPr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Финансовый сектор: B2B (КБС для банков и МФО)</w:t>
            </w:r>
          </w:p>
        </w:tc>
        <w:tc>
          <w:tcPr>
            <w:tcW w:w="2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КБС под ключ</w:t>
            </w:r>
          </w:p>
        </w:tc>
        <w:tc>
          <w:tcPr>
            <w:tcW w:w="33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Заявлена в линейке; публичных кейсов нет</w:t>
            </w:r>
          </w:p>
        </w:tc>
        <w:tc>
          <w:tcPr>
            <w:tcW w:w="17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Декларация</w:t>
            </w:r>
          </w:p>
        </w:tc>
      </w:tr>
      <w:tr>
        <w:trPr>
          <w:cantSplit/>
        </w:trPr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Транспорт</w:t>
            </w:r>
          </w:p>
        </w:tc>
        <w:tc>
          <w:tcPr>
            <w:tcW w:w="2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Face2Pay</w:t>
            </w:r>
          </w:p>
        </w:tc>
        <w:tc>
          <w:tcPr>
            <w:tcW w:w="33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Биоэквайринг через СБП в Казанском метро (с Минцифры, Минтрансом, ЦБТ, НСПК)</w:t>
            </w:r>
          </w:p>
        </w:tc>
        <w:tc>
          <w:tcPr>
            <w:tcW w:w="17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Действующий пилот</w:t>
            </w:r>
          </w:p>
        </w:tc>
      </w:tr>
      <w:tr>
        <w:trPr>
          <w:cantSplit/>
        </w:trPr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Государственная идентификация / B2G</w:t>
            </w:r>
          </w:p>
        </w:tc>
        <w:tc>
          <w:tcPr>
            <w:tcW w:w="2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КБС под ключ</w:t>
            </w:r>
          </w:p>
        </w:tc>
        <w:tc>
          <w:tcPr>
            <w:tcW w:w="33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Карта жителя РТ — 450 131 карта на 01.01.2025; биометрию можно сдать в приложении</w:t>
            </w:r>
          </w:p>
        </w:tc>
        <w:tc>
          <w:tcPr>
            <w:tcW w:w="17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Действующий пилот</w:t>
            </w:r>
          </w:p>
        </w:tc>
      </w:tr>
      <w:tr>
        <w:trPr>
          <w:cantSplit/>
        </w:trPr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СКУД: внутренний контур</w:t>
            </w:r>
          </w:p>
        </w:tc>
        <w:tc>
          <w:tcPr>
            <w:tcW w:w="2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Face2Pass + Face2Pass.Terminal</w:t>
            </w:r>
          </w:p>
        </w:tc>
        <w:tc>
          <w:tcPr>
            <w:tcW w:w="33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5 000+ сотрудников АББ; 200 биотерминалов; внешние внедрения 200/500/5 000/15 000 векторов</w:t>
            </w:r>
          </w:p>
        </w:tc>
        <w:tc>
          <w:tcPr>
            <w:tcW w:w="17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Производственный кейс</w:t>
            </w:r>
          </w:p>
        </w:tc>
      </w:tr>
      <w:tr>
        <w:trPr>
          <w:cantSplit/>
        </w:trPr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СКУД: внешние коммерческие</w:t>
            </w:r>
          </w:p>
        </w:tc>
        <w:tc>
          <w:tcPr>
            <w:tcW w:w="2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Face2Pass</w:t>
            </w:r>
          </w:p>
        </w:tc>
        <w:tc>
          <w:tcPr>
            <w:tcW w:w="33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Возможность заявлена, конкретные кейсы не названы</w:t>
            </w:r>
          </w:p>
        </w:tc>
        <w:tc>
          <w:tcPr>
            <w:tcW w:w="17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Декларация</w:t>
            </w:r>
          </w:p>
        </w:tc>
      </w:tr>
      <w:tr>
        <w:trPr>
          <w:cantSplit/>
        </w:trPr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Ритейл / возрастная верификация</w:t>
            </w:r>
          </w:p>
        </w:tc>
        <w:tc>
          <w:tcPr>
            <w:tcW w:w="2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Face2Check-in</w:t>
            </w:r>
          </w:p>
        </w:tc>
        <w:tc>
          <w:tcPr>
            <w:tcW w:w="33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Заявлен в 2025 году, кейсов нет</w:t>
            </w:r>
          </w:p>
        </w:tc>
        <w:tc>
          <w:tcPr>
            <w:tcW w:w="17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Декларация</w:t>
            </w:r>
          </w:p>
        </w:tc>
      </w:tr>
      <w:tr>
        <w:trPr>
          <w:cantSplit/>
        </w:trPr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Гостиничный сектор</w:t>
            </w:r>
          </w:p>
        </w:tc>
        <w:tc>
          <w:tcPr>
            <w:tcW w:w="2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Face2Check-in</w:t>
            </w:r>
          </w:p>
        </w:tc>
        <w:tc>
          <w:tcPr>
            <w:tcW w:w="33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Заявлено заселение без паспорта, кейсов нет</w:t>
            </w:r>
          </w:p>
        </w:tc>
        <w:tc>
          <w:tcPr>
            <w:tcW w:w="17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Декларация</w:t>
            </w:r>
          </w:p>
        </w:tc>
      </w:tr>
      <w:tr>
        <w:trPr>
          <w:cantSplit/>
        </w:trPr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Социально-культурный</w:t>
            </w:r>
          </w:p>
        </w:tc>
        <w:tc>
          <w:tcPr>
            <w:tcW w:w="2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Face2Pass</w:t>
            </w:r>
          </w:p>
        </w:tc>
        <w:tc>
          <w:tcPr>
            <w:tcW w:w="33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Электронный читательский билет — вход в Нацбиблиотеку РТ по биометрии</w:t>
            </w:r>
          </w:p>
        </w:tc>
        <w:tc>
          <w:tcPr>
            <w:tcW w:w="17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Действующий пилот</w:t>
            </w:r>
          </w:p>
        </w:tc>
      </w:tr>
      <w:tr>
        <w:trPr>
          <w:cantSplit/>
        </w:trPr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Биоэквайринг через СБП на POS</w:t>
            </w:r>
          </w:p>
        </w:tc>
        <w:tc>
          <w:tcPr>
            <w:tcW w:w="2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Face2Pay</w:t>
            </w:r>
          </w:p>
        </w:tc>
        <w:tc>
          <w:tcPr>
            <w:tcW w:w="33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Запущен пилот</w:t>
            </w:r>
          </w:p>
        </w:tc>
        <w:tc>
          <w:tcPr>
            <w:tcW w:w="17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Пилот</w:t>
            </w:r>
          </w:p>
        </w:tc>
      </w:tr>
    </w:tbl>
    <w:p>
      <w:pPr>
        <w:spacing w:before="0" w:after="0" w:line="240" w:lineRule="auto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Источник: составлено автором по данным [27; 26, с. 28–33]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Сопоставление в таблице 2.3.1 показывает, что из шести сегментов рынка коммуникативно активно охвачены четыре — финансовый, транспортный, государственный (через социальную инфраструктуру РТ) и СКУД (через внутренний контур банка). Сегменты «гостиничный» и «возрастная верификация в ритейле» заявлены в продуктовой линейке, но публичные референсные кейсы по ним отсутствуют. Это первый зафиксированный пробел продвижения — сегментный.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Таргетинг продвижения сосредоточен по двум осям. Географическая ось — Республика Татарстан плюс точечные федеральные пилоты в связке с Минцифры РФ, Минтрансом РФ, Центром биометрических технологий и Национальной системой платёжных карт [26, с. 30–31]. По оси типа заказчика основные ресурсы направлены на B2B и B2G, а массовый B2C-сегмент охвачен только через банковскую экосистему в пределах Татарстана — мобильное приложение АБО, приложение «Карта жителя РТ» и портал государственных услуг РТ через СБП (количественные показатели приведены в параграфе 2.1) [26, с. 17, 28–29, 33]. Эта концентрация одновременно использует региональное преимущество и ограничивает рыночный охват за пределами региона.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Позиционирование Face2 в открытых коммуникациях опирается на четыре содержательных оси: регуляторный статус (оператор КБС с аккредитацией Минцифры решением № 4-А от 15.11.2023, сертификация ФСБ и ФСТЭК, реестр отечественного ПО), архитектурная безопасность (хранение биометрических векторов в ГИС ЕБС, опора на государственную инфраструктуру), технологичность (заявленная точность 99,5%, время сканирования около двух секунд) и противопоставление локальным биометриям, нарушающим 572-ФЗ [27]. Дополнительная опорная ось — ассоциация с банковской инфраструктурой АББ: рейтинги «A» по национальной шкале, ESG-A, статус оператора по № 115-ФЗ под номером 101 в перечне Банка России [26, с. 4; 35]. Содержательно это позиционирование точно соответствует конкурентной нише, выявленной в параграфе 2.2.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Однако исходная маркетинговая гипотеза, на которой строилось продвижение, — гипотеза органического спроса 2018 года, рассчитывавшая на «рост интереса по мере планомерного перевода государственных услуг в систему ЕСИА» [39], — рынком 2025 года уже не подтверждается. Девятикратный рост числа биометрических платежей за 9 месяцев 2025 года к аналогичному периоду 2024 года, оборот 112,5 млрд рублей и более 10 млн пользователей ЕБС [32] показывают, что рынок перешёл в фазу зрелого спроса с активной конкурентной борьбой за долю, и пассивная стратегия органического притяжения проигрывает активной стратегии Сбера с парком в 700 тыс. терминалов и оборотом 116 млрд рублей за 2025 год [38]. Несоответствие между фазой рынка и исходной маркетинговой гипотезой банка — фундаментальная характеристика текущего продвижения Face2.</w:t>
      </w:r>
    </w:p>
    <w:p>
      <w:pPr>
        <w:keepNext/>
        <w:keepLines/>
        <w:spacing w:before="200" w:after="120" w:line="360" w:lineRule="auto"/>
        <w:jc w:val="center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b/>
          <w:bCs/>
          <w:color w:val="000000"/>
          <w:sz w:val="28"/>
          <w:szCs w:val="28"/>
          <w:lang w:val="ru-RU"/>
        </w:rPr>
        <w:t xml:space="preserve">Инвентаризация каналов продвижения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Сетка каналов из таблицы 1.2.2 в параграфе 1.3 переконфигурирована для биометрии: вес массовой рекламы снижен, удельный вес образовательно-демонстрационных и экспертных форматов повышен, push в B2B/B2G сочетается с pull в B2C при первичности push. Инвентаризация каналов Face2 по этой сетке дана в таблице 2.3.2.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Таблица 2.3.2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Инвентаризация каналов продвижения Face2</w:t>
      </w:r>
    </w:p>
    <w:tbl>
      <w:tblPr>
        <w:tblW w:w="963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09"/>
        <w:gridCol w:w="2409"/>
        <w:gridCol w:w="2409"/>
        <w:gridCol w:w="2409"/>
      </w:tblGrid>
      <w:tr>
        <w:trPr>
          <w:tblHeader/>
          <w:cantSplit/>
        </w:trPr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Канал из табл. 1.2.2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Реализация у Face2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Метрика / факт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Оценка</w:t>
            </w:r>
          </w:p>
        </w:tc>
      </w:tr>
      <w:tr>
        <w:trPr>
          <w:cantSplit/>
        </w:trPr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Внутренний контур банка как «послы бренда»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Сотрудники-пользователи продукта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5 000+ сотрудников АББ; 200 биотерминалов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сильный</w:t>
            </w:r>
          </w:p>
        </w:tc>
      </w:tr>
      <w:tr>
        <w:trPr>
          <w:cantSplit/>
        </w:trPr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Партнёрские каналы федерального уровня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Связка Минцифры + Минтранс + ЦБТ + НСПК в одном проекте; АО «Социальная карта» по Карте жителя РТ; Ростелеком (подключение к ЕБС в 2018 г.)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Биоэквайринг в Казанском метро как референс; 450 131 действующая Карта жителя РТ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сильный</w:t>
            </w:r>
          </w:p>
        </w:tc>
      </w:tr>
      <w:tr>
        <w:trPr>
          <w:cantSplit/>
        </w:trPr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Демонстрационные каналы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Пилоты в Казанском метро, Нацбиблиотеке РТ; биоэквайринг через СБП на POS, оплата в АБО, заселение в гостиницу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200 биотерминалов в офисах как постоянная демосеть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сильный</w:t>
            </w:r>
          </w:p>
        </w:tc>
      </w:tr>
      <w:tr>
        <w:trPr>
          <w:cantSplit/>
        </w:trPr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Цифровые каналы банка как носитель Face2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Оплата по биометрии в АБО; сдача биометрии в приложении «Карта жителя РТ»; портал госуслуг РТ через СБП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930 тыс. активных в АБО, 12 млн транзакций за 2024 г.; 1,2 млн транзакций через СБП на портале госуслуг РТ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средний — Face2 встроен как функционал, не как самостоятельный бренд</w:t>
            </w:r>
          </w:p>
        </w:tc>
      </w:tr>
      <w:tr>
        <w:trPr>
          <w:cantSplit/>
        </w:trPr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Сайт продукта (face2.ru) и сайт банка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Сайт-визитка с описанием продукта; контакт продаж — Салахов А. А.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Формы заявки, ROI-калькулятора и витрины кейсов в открытых данных не зафиксировано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средний</w:t>
            </w:r>
          </w:p>
        </w:tc>
      </w:tr>
      <w:tr>
        <w:trPr>
          <w:cantSplit/>
        </w:trPr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Прямые продажи (B2B/B2G)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Классическая B2B-модель через одного публичного контактного менеджера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Один публичный контакт продаж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средний — эффективен при исходящем поиске, не утилизирует входящий интерес</w:t>
            </w:r>
          </w:p>
        </w:tc>
      </w:tr>
      <w:tr>
        <w:trPr>
          <w:cantSplit/>
        </w:trPr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PR в деловых СМИ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Точечные релизы, преимущественно в татарстанских изданиях; в федеральной прессе АББ упомянут без отдельной редпрограммы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Один полнотекстовый материал федерального уровня — TAdviser (10.07.2018) [39]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средний</w:t>
            </w:r>
          </w:p>
        </w:tc>
      </w:tr>
      <w:tr>
        <w:trPr>
          <w:cantSplit/>
        </w:trPr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Отраслевые мероприятия (FINOPOLIS, конференции по биометрии)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Участие в форумах заявлено, программа выступлений по Face2 в открытых источниках не зафиксирована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Публичная программа выступлений по Face2 в открытых данных не зафиксирована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средний</w:t>
            </w:r>
          </w:p>
        </w:tc>
      </w:tr>
      <w:tr>
        <w:trPr>
          <w:cantSplit/>
        </w:trPr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Соцсети под отдельным брендом Face2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Отдельных сообществ под брендом не зафиксировано; продукт идёт «внутри» аккаунтов АББ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Соцсети АББ описаны как канал работы с обращениями розничных клиентов в целом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слабый</w:t>
            </w:r>
          </w:p>
        </w:tc>
      </w:tr>
      <w:tr>
        <w:trPr>
          <w:cantSplit/>
        </w:trPr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Контент-маркетинг и экспертная база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Разъяснения 572-ФЗ и схемы ГИС ЕБС → КБС → продукт точечно в корпматериалах; систематической рубрики нет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Для сравнения: VisionLabs ведёт блог на Habr [40], OVISION публикует кейсы РЖД, Мосэнергосбыта, Правительства Тульской области [41]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слабый</w:t>
            </w:r>
          </w:p>
        </w:tc>
      </w:tr>
    </w:tbl>
    <w:p>
      <w:pPr>
        <w:spacing w:before="0" w:after="0" w:line="240" w:lineRule="auto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Источник: составлено автором по данным [27; 26, с. 28–33; 40; 32; 41; 39]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Раскладка показывает, что у Face2 три канала развиты сильно, четыре — на среднем уровне, два — слабо или отсутствуют. Сильный push-контур образуют внутренний контур банка (5 000+ сотрудников × 200 биотерминалов как естественный «полигон» отладки клиентского опыта и сообщество ранних последователей), партнёрские каналы федерального уровня (одновременная связка с Минцифры, Минтрансом, ЦБТ и НСПК в одном проекте не имеет публично подтверждённых аналогов на рынке [40; 41]) и демонстрационные каналы внутри Татарстана.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Средняя группа каналов работает, но с интенсивностью значительно ниже, чем у конкурентов: канал прямых продаж замкнут на одного контактного менеджера [27] и не утилизирует входящий интерес, сайт face2.ru представляет продукт, но автоматическая лидогенерация (форма заявки, ROI-калькулятор, чат-бот) и публичная витрина коммерческих кейсов в открытых данных не зафиксированы. Третья группа — отсутствие отдельного бренда Face2 в социальных сетях и фрагментарность экспертного контента: работа с соцсетями описана в годовом отчёте 2024 года как канал работы с обращениями розничных клиентов в целом по банку [26, с. 33], систематических активностей под брендом Face2 публично не зафиксировано, тогда как у VisionLabs ведётся корпоративный блог на Habr [40], OVISION публикует кейсы внедрений [41], а Сбер транслирует свою биометрию в массовых СМИ как «оплата улыбкой» [38].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Главный вывод инвентаризации каналов: коммуникационная архитектура Face2 асимметрична — push-каналы (B2B/B2G, партнёрства, пилоты) работают сильно, pull-каналы (массовые СМИ за пределами Татарстана, отдельный бренд в социальных сетях, экспертный контент) фрагментарны. Эта асимметрия зеркально соответствует выводу параграфа 2.2 о локальном масштабе коммерческого присутствия: маркетинговая активность банка отражает географическую структуру его операций, а не потенциал рынка.</w:t>
      </w:r>
    </w:p>
    <w:p>
      <w:pPr>
        <w:keepNext/>
        <w:keepLines/>
        <w:spacing w:before="200" w:after="120" w:line="360" w:lineRule="auto"/>
        <w:jc w:val="center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b/>
          <w:bCs/>
          <w:color w:val="000000"/>
          <w:sz w:val="28"/>
          <w:szCs w:val="28"/>
          <w:lang w:val="ru-RU"/>
        </w:rPr>
        <w:t xml:space="preserve">Реализация комплекса маркетинга 7P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Конфигурация 7P для биометрии, выведенная в параграфе 1.3, предполагает непропорционально высокий вес элементов People, Process и Physical evidence — именно они закрывают психологический и регуляторно-репутационный барьеры сильнее, чем элементы Promotion и Price в их классической форме. Сопоставление этой конфигурации с реальной практикой Face2 дано в таблице 2.3.3.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Таблица 2.3.3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Реализация комплекса маркетинга 7P в продвижении Face2</w:t>
      </w:r>
    </w:p>
    <w:tbl>
      <w:tblPr>
        <w:tblW w:w="963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76"/>
        <w:gridCol w:w="2920"/>
        <w:gridCol w:w="2920"/>
        <w:gridCol w:w="2920"/>
      </w:tblGrid>
      <w:tr>
        <w:trPr>
          <w:tblHeader/>
          <w:cantSplit/>
        </w:trPr>
        <w:tc>
          <w:tcPr>
            <w:tcW w:w="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Элемент 7P</w:t>
            </w:r>
          </w:p>
        </w:tc>
        <w:tc>
          <w:tcPr>
            <w:tcW w:w="29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Что должно быть для биометрии (по 1.3)</w:t>
            </w:r>
          </w:p>
        </w:tc>
        <w:tc>
          <w:tcPr>
            <w:tcW w:w="29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Реализация у Face2</w:t>
            </w:r>
          </w:p>
        </w:tc>
        <w:tc>
          <w:tcPr>
            <w:tcW w:w="29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Оценка / пробел</w:t>
            </w:r>
          </w:p>
        </w:tc>
      </w:tr>
      <w:tr>
        <w:trPr>
          <w:cantSplit/>
        </w:trPr>
        <w:tc>
          <w:tcPr>
            <w:tcW w:w="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Product</w:t>
            </w:r>
          </w:p>
        </w:tc>
        <w:tc>
          <w:tcPr>
            <w:tcW w:w="29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Продуктовая вертикаль под банковский сценарий</w:t>
            </w:r>
          </w:p>
        </w:tc>
        <w:tc>
          <w:tcPr>
            <w:tcW w:w="29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Face2Pay, Face2Pass + Face2Pass.Terminal, Face2Check-in, КБС под ключ; видеоаналитика (драки, упавшие люди, оружие, автономера, подсчёт людей)</w:t>
            </w:r>
          </w:p>
        </w:tc>
        <w:tc>
          <w:tcPr>
            <w:tcW w:w="29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сильно; пробел — нет публичного решения по детекции дипфейков, тогда как у конкурентов антифрод вынесен в коммуникацию [38; 40; 41]</w:t>
            </w:r>
          </w:p>
        </w:tc>
      </w:tr>
      <w:tr>
        <w:trPr>
          <w:cantSplit/>
        </w:trPr>
        <w:tc>
          <w:tcPr>
            <w:tcW w:w="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Price</w:t>
            </w:r>
          </w:p>
        </w:tc>
        <w:tc>
          <w:tcPr>
            <w:tcW w:w="29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Прозрачные коммерческие условия для B2B</w:t>
            </w:r>
          </w:p>
        </w:tc>
        <w:tc>
          <w:tcPr>
            <w:tcW w:w="29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Цена не раскрывается; ROI-калькулятор отсутствует</w:t>
            </w:r>
          </w:p>
        </w:tc>
        <w:tc>
          <w:tcPr>
            <w:tcW w:w="29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слабо — каждое B2B-обращение начинается с нуля</w:t>
            </w:r>
          </w:p>
        </w:tc>
      </w:tr>
      <w:tr>
        <w:trPr>
          <w:cantSplit/>
        </w:trPr>
        <w:tc>
          <w:tcPr>
            <w:tcW w:w="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Place</w:t>
            </w:r>
          </w:p>
        </w:tc>
        <w:tc>
          <w:tcPr>
            <w:tcW w:w="29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География + интеграция в инфраструктуру заказчика</w:t>
            </w:r>
          </w:p>
        </w:tc>
        <w:tc>
          <w:tcPr>
            <w:tcW w:w="29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Татарстан + федеральные пилоты</w:t>
            </w:r>
          </w:p>
        </w:tc>
        <w:tc>
          <w:tcPr>
            <w:tcW w:w="29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средне — публичной витрины кейсов вне РТ нет</w:t>
            </w:r>
          </w:p>
        </w:tc>
      </w:tr>
      <w:tr>
        <w:trPr>
          <w:cantSplit/>
        </w:trPr>
        <w:tc>
          <w:tcPr>
            <w:tcW w:w="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Promotion</w:t>
            </w:r>
          </w:p>
        </w:tc>
        <w:tc>
          <w:tcPr>
            <w:tcW w:w="29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Образовательный контент, экспертные публикации, демонстрации</w:t>
            </w:r>
          </w:p>
        </w:tc>
        <w:tc>
          <w:tcPr>
            <w:tcW w:w="29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Пилоты, отдельные релизы, демозоны в офисах</w:t>
            </w:r>
          </w:p>
        </w:tc>
        <w:tc>
          <w:tcPr>
            <w:tcW w:w="29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средне — нет регулярного контент-конвейера и редпрограммы</w:t>
            </w:r>
          </w:p>
        </w:tc>
      </w:tr>
      <w:tr>
        <w:trPr>
          <w:cantSplit/>
        </w:trPr>
        <w:tc>
          <w:tcPr>
            <w:tcW w:w="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People</w:t>
            </w:r>
          </w:p>
        </w:tc>
        <w:tc>
          <w:tcPr>
            <w:tcW w:w="29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Публичные эксперты</w:t>
            </w:r>
          </w:p>
        </w:tc>
        <w:tc>
          <w:tcPr>
            <w:tcW w:w="29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Один публичный контакт продаж (Салахов А. А.) [27]; в TAdviser 2018 г. — Д. Галиев, рук. проектного офиса инновационного развития АББ [39]</w:t>
            </w:r>
          </w:p>
        </w:tc>
        <w:tc>
          <w:tcPr>
            <w:tcW w:w="29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слабо — нет линейки спикеров (CISO, юрист по 572-ФЗ, продакт, разработка)</w:t>
            </w:r>
          </w:p>
        </w:tc>
      </w:tr>
      <w:tr>
        <w:trPr>
          <w:cantSplit/>
        </w:trPr>
        <w:tc>
          <w:tcPr>
            <w:tcW w:w="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Process</w:t>
            </w:r>
          </w:p>
        </w:tc>
        <w:tc>
          <w:tcPr>
            <w:tcW w:w="29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Простой пользовательский путь</w:t>
            </w:r>
          </w:p>
        </w:tc>
        <w:tc>
          <w:tcPr>
            <w:tcW w:w="29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Четыре шага: «Госуслуги Биометрия» → сдача упрощённой биометрии → согласие на использование вектора КБС АББ → проход / оплата</w:t>
            </w:r>
          </w:p>
        </w:tc>
        <w:tc>
          <w:tcPr>
            <w:tcW w:w="29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сильно содержательно, но узко по охвату — путь подробен в корпматериалах, не упакован для массового читателя</w:t>
            </w:r>
          </w:p>
        </w:tc>
      </w:tr>
      <w:tr>
        <w:trPr>
          <w:cantSplit/>
        </w:trPr>
        <w:tc>
          <w:tcPr>
            <w:tcW w:w="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Physical evidence</w:t>
            </w:r>
          </w:p>
        </w:tc>
        <w:tc>
          <w:tcPr>
            <w:tcW w:w="29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Сертификаты, рейтинги, кейсы, независимая верификация</w:t>
            </w:r>
          </w:p>
        </w:tc>
        <w:tc>
          <w:tcPr>
            <w:tcW w:w="29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КБС, аккредитация Минцифры (Решение № 4-А от 15.11.2023), ФСБ, ФСТЭК, реестр отечественного ПО, статус оператора по № 115-ФЗ (№ 101 в перечне Банка России), стаж в ЕБС с 10.07.2018, рейтинги «A», ESG-A</w:t>
            </w:r>
          </w:p>
        </w:tc>
        <w:tc>
          <w:tcPr>
            <w:tcW w:w="29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сильно по формальным признакам; пробел — публично не зафиксирована независимая международная верификация точности (NIST FRTE, iBeta, CVPR), которой пользуется VisionLabs [40]</w:t>
            </w:r>
          </w:p>
        </w:tc>
      </w:tr>
    </w:tbl>
    <w:p>
      <w:pPr>
        <w:spacing w:before="0" w:after="0" w:line="240" w:lineRule="auto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Источник: составлено автором по данным [27; 26, с. 4, 28–33; 38; 35; 40; 41; 39]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Сопоставление в таблице 2.3.3 показывает, что Physical evidence — самый сильный элемент комплекса маркетинга Face2 по всем формальным признакам: полный набор регуляторных статусов (КБС, ФСБ, ФСТЭК, реестр отечественного ПО, оператор биометрии под № 101 в перечне Банка России [35], шестилетний стаж в ЕБС с 10 июля 2018 года [39]) выводит Face2 в группу из менее чем двухсот банков страны, имеющих все необходимые формальные статусы для работы с биометрией физических лиц. Однако этот регуляторный капитал транслируется языком, понятным специалистам по информационной безопасности и юристам, а не массовой аудитории, и поэтому не конвертируется в массовое сообщение «доверие» — это </w:t>
      </w:r>
      <w:r>
        <w:rPr>
          <w:rFonts w:ascii="Times New Roman" w:hAnsi="Times New Roman" w:cs="Times New Roman" w:eastAsia="Times New Roman"/>
          <w:b/>
          <w:bCs/>
          <w:color w:val="000000"/>
          <w:sz w:val="28"/>
          <w:szCs w:val="28"/>
          <w:lang w:val="ru-RU"/>
        </w:rPr>
        <w:t xml:space="preserve">контентный пробел</w:t>
      </w: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, второй после сегментного.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Остальные элементы 7P формируют ещё три пробела. </w:t>
      </w:r>
      <w:r>
        <w:rPr>
          <w:rFonts w:ascii="Times New Roman" w:hAnsi="Times New Roman" w:cs="Times New Roman" w:eastAsia="Times New Roman"/>
          <w:b/>
          <w:bCs/>
          <w:color w:val="000000"/>
          <w:sz w:val="28"/>
          <w:szCs w:val="28"/>
          <w:lang w:val="ru-RU"/>
        </w:rPr>
        <w:t xml:space="preserve">People</w:t>
      </w: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: один публичный контакт продаж [27] вместо линейки экспертных спикеров (CISO, юрист по 572-ФЗ, продакт-менеджер, разработка), которая у VisionLabs работает через корпоративный блог на Habr и публичные выступления топ-менеджмента [40]. </w:t>
      </w:r>
      <w:r>
        <w:rPr>
          <w:rFonts w:ascii="Times New Roman" w:hAnsi="Times New Roman" w:cs="Times New Roman" w:eastAsia="Times New Roman"/>
          <w:b/>
          <w:bCs/>
          <w:color w:val="000000"/>
          <w:sz w:val="28"/>
          <w:szCs w:val="28"/>
          <w:lang w:val="ru-RU"/>
        </w:rPr>
        <w:t xml:space="preserve">Process</w:t>
      </w: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: четырёхшаговый пользовательский путь подключения проработан содержательно, но описан в корпоративных материалах [27] и не упакован в массовое объяснение для внешнего читателя; B2B-заказчик получает требования к инфраструктуре, но не наглядный бизнес-кейс с расчётом окупаемости. </w:t>
      </w:r>
      <w:r>
        <w:rPr>
          <w:rFonts w:ascii="Times New Roman" w:hAnsi="Times New Roman" w:cs="Times New Roman" w:eastAsia="Times New Roman"/>
          <w:b/>
          <w:bCs/>
          <w:color w:val="000000"/>
          <w:sz w:val="28"/>
          <w:szCs w:val="28"/>
          <w:lang w:val="ru-RU"/>
        </w:rPr>
        <w:t xml:space="preserve">Доказательный пробел</w:t>
      </w: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 в Product: в открытой линейке Face2 нет отдельного решения по детекции дипфейков, тогда как у VisionLabs существует продукт Deepfake Detection, у OVISION антиспуфинг и детекция дипфейков встроены в СКУД-комплекты, у Сбера действует многоконтурная защита liveness + AI-фрод + ПИН [38; 40; 41]; к этому добавляется публично не зафиксированная независимая международная верификация точности (NIST FRTE, iBeta, CVPR), отдельно отмеченная в параграфе 2.2. Promotion реализуется через точечные релизы без регулярного контент-конвейера, Price публично не раскрывается совсем.</w:t>
      </w:r>
    </w:p>
    <w:p>
      <w:pPr>
        <w:keepNext/>
        <w:keepLines/>
        <w:spacing w:before="200" w:after="120" w:line="360" w:lineRule="auto"/>
        <w:jc w:val="center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b/>
          <w:bCs/>
          <w:color w:val="000000"/>
          <w:sz w:val="28"/>
          <w:szCs w:val="28"/>
          <w:lang w:val="ru-RU"/>
        </w:rPr>
        <w:t xml:space="preserve">Маркетинговая воронка Face2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Эталонная воронка биометрии в банковском секторе, выведенная в параграфе 1.3, имеет специфическую форму: между этапами «Интерес» и «Пробное использование» встроен длинный этап «Доверие», и именно на нём концентрируется основная часть коммуникационных усилий до этапа массового принятия. Сопоставление эталонной воронки с фактической раскладкой активностей Face2 показывает асимметрию противоположного характера, чем у эталонной модели. У эталонной воронки этап «Доверие» расширен по сравнению с традиционным товаром, но расширен равномерно — чтобы перевести в пробное использование как можно большую долю аудитории, проявившей интерес. У Face2 этап «Доверие» содержательно сильный, но узкий: его пропускная способность ограничена тем, что доказательная база подаётся языком, понятным специалистам, и не достигает массового пользователя. Этап «Пробное использование» сильный для B2B и для жителей Татарстана (внутренняя инсталляция, демозоны, региональные пилоты), но фактически нулевой для всех остальных регионов — получить пользовательский опыт Face2 за пределами РТ практически негде. Этапы «Осведомлённость» и «Лояльность» работают слабо: первый — из-за фрагментарности pull-каналов, второй — из-за отсутствия системной программы работы с референс-клиентами, NPS и кейс-стади. Графически распределение активностей Face2 по этапам воронки в сопоставлении с эталонной формой представлено на рисунке 2.3.1.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![Воронка продвижения Face2 в сопоставлении с эталонной](figures/fig_2_3_1_funnel.svg)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Источник: построено автором по данным [27; 26, с. 28–33; 35; 39]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Рис. 2.3.1. Воронка продвижения Face2 в сопоставлении с эталонной воронкой биометрического продукта в банковском секторе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Содержательно фигура на рисунке 2.3.1 показывает, что у Face2 архитектурно перегружен центральный этап «Доверие» по содержательной составляющей и недогружены полюса (Осведомлённость, Лояльность) и массовый охват самого ядра. Это совпадает со структурой коммерческого присутствия из параграфа 2.2: банк глубоко работает в немногих сегментах и в одном регионе вместо широкого покрытия рынка.</w:t>
      </w:r>
    </w:p>
    <w:p>
      <w:pPr>
        <w:keepNext/>
        <w:keepLines/>
        <w:spacing w:before="200" w:after="120" w:line="360" w:lineRule="auto"/>
        <w:jc w:val="center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b/>
          <w:bCs/>
          <w:color w:val="000000"/>
          <w:sz w:val="28"/>
          <w:szCs w:val="28"/>
          <w:lang w:val="ru-RU"/>
        </w:rPr>
        <w:t xml:space="preserve">SWOT-анализ продвижения Face2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Сводная характеристика продвижения Face2 в формате SWOT дана в таблице 2.3.4. SWOT строится строго в маркетинговой плоскости — общая характеристика продукта и банка собрана в параграфе 2.1, рыночный контекст и конкурентные позиции — в параграфе 2.2, и здесь они не повторяются. Зона интереса — только то, что относится к коммуникационному контуру и его инструментам.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Таблица 2.3.4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SWOT-анализ продвижения Face2</w:t>
      </w:r>
    </w:p>
    <w:tbl>
      <w:tblPr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819"/>
        <w:gridCol w:w="4819"/>
      </w:tblGrid>
      <w:tr>
        <w:trPr>
          <w:tblHeader/>
          <w:cantSplit/>
        </w:trPr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S — сильные стороны продвижения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W — слабые стороны продвижения</w:t>
            </w:r>
          </w:p>
        </w:tc>
      </w:tr>
      <w:tr>
        <w:trPr>
          <w:cantSplit/>
        </w:trPr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Полный пул Physical evidence: КБС, ФСБ, ФСТЭК, реестр ПО, № 115-ФЗ (№ 101) [27; 35]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Локальный охват СМИ — концентрация в Татарстане</w:t>
            </w:r>
          </w:p>
        </w:tc>
      </w:tr>
      <w:tr>
        <w:trPr>
          <w:cantSplit/>
        </w:trPr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Партнёрства федерального уровня в одном проекте: Минцифры, Минтранс, ЦБТ, НСПК [26, с. 30–31]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Нет отдельного бренда Face2 в соцсетях [26, с. 33]</w:t>
            </w:r>
          </w:p>
        </w:tc>
      </w:tr>
      <w:tr>
        <w:trPr>
          <w:cantSplit/>
        </w:trPr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Внутренняя демозона: 5 000+ сотрудников × 200 биотерминалов [27]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Нет регулярного контент-конвейера и редпрограммы</w:t>
            </w:r>
          </w:p>
        </w:tc>
      </w:tr>
      <w:tr>
        <w:trPr>
          <w:cantSplit/>
        </w:trPr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Карта жителя РТ как канал через социальную инфраструктуру (450 тыс. карт, биометрия в приложении) [26, с. 28–29]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Независимая верификация точности (NIST FRTE, iBeta, CVPR) публично не зафиксирована</w:t>
            </w:r>
          </w:p>
        </w:tc>
      </w:tr>
      <w:tr>
        <w:trPr>
          <w:cantSplit/>
        </w:trPr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Стаж в ЕБС с 10.07.2018 — готовый сторителлинг [39]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Публичные тарифы, ROI-калькулятор, конверсионная механика на сайте отсутствуют</w:t>
            </w:r>
          </w:p>
        </w:tc>
      </w:tr>
      <w:tr>
        <w:trPr>
          <w:cantSplit/>
        </w:trPr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Рейтинги «A» и ESG-A банка как Physical evidence второго уровня [26, с. 4]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Минимальная публичная экспертная команда (один контакт продаж) [27]</w:t>
            </w:r>
          </w:p>
        </w:tc>
      </w:tr>
      <w:tr>
        <w:trPr>
          <w:cantSplit/>
        </w:trPr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Необновлённая исходная маркетинговая гипотеза 2018 г. об органическом спросе [39]</w:t>
            </w:r>
          </w:p>
        </w:tc>
      </w:tr>
      <w:tr>
        <w:trPr>
          <w:cantSplit/>
        </w:trPr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O — возможности рынка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T — угрозы продвижения</w:t>
            </w:r>
          </w:p>
        </w:tc>
      </w:tr>
      <w:tr>
        <w:trPr>
          <w:cantSplit/>
        </w:trPr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Девятикратный рост числа биометрических платежей (9 мес. 2025 / 9 мес. 2024) [32]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Доминирование Сбера в B2C-биоэквайринге: 700 тыс. терминалов, 30 млн зарегистрированных, 116 млрд руб. за 2025 г. [38]</w:t>
            </w:r>
          </w:p>
        </w:tc>
      </w:tr>
      <w:tr>
        <w:trPr>
          <w:cantSplit/>
        </w:trPr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420-ФЗ и 421-ФЗ — растёт ценность аккредитованных операторов [27]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Отрыв VisionLabs по NIST FRTE и работа в 38 странах [40]</w:t>
            </w:r>
          </w:p>
        </w:tc>
      </w:tr>
      <w:tr>
        <w:trPr>
          <w:cantSplit/>
        </w:trPr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10+ млн пользователей в ЕБС к началу 2026 г. — клиентская база без повторной сдачи [32]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OVISION — полный цикл СКУД с собственным аппаратом и федеральными референсами (РЖД, Мосэнергосбыт, Тульская обл.) [41]</w:t>
            </w:r>
          </w:p>
        </w:tc>
      </w:tr>
      <w:tr>
        <w:trPr>
          <w:cantSplit/>
        </w:trPr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Фаза массовой коммерциализации: средний чек ≈ 770 руб., рост по числу транзакций [32]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Репутационный риск утечек у любого аккредитованного оператора — удар по доверию ко всему классу</w:t>
            </w:r>
          </w:p>
        </w:tc>
      </w:tr>
    </w:tbl>
    <w:p>
      <w:pPr>
        <w:spacing w:before="0" w:after="0" w:line="240" w:lineRule="auto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Источник: составлено автором по данным [27; 26, с. 4, 28–33; 38; 35; 40; 32; 41; 39]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Структурный вывод SWOT: сильные стороны продвижения Face2 сосредоточены в push-контуре, слабые — в pull-контуре, при этом возможности рынка (рост биометрических платежей, ужесточение 420-ФЗ и 421-ФЗ, накопление 10+ млн пользователей ЕБС [27; 32]) работают в пользу банка, а угрозы распределены по трём осям — масштабу (Сбер [38]), технологической верификации (VisionLabs [40]) и полному циклу СКУД (OVISION [41]). Продвижение находится в диспозиции, при которой слабые стороны сосредоточены в той части маркетингового инструментария, где у банка уже есть необходимые ресурсы (банковская экосистема, рейтинги, региональные данные). Это вопрос конфигурации, а не дополнительных вложений — основа для управленческой повестки главы 3.</w:t>
      </w:r>
    </w:p>
    <w:p>
      <w:pPr>
        <w:keepNext/>
        <w:keepLines/>
        <w:spacing w:before="200" w:after="120" w:line="360" w:lineRule="auto"/>
        <w:jc w:val="center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b/>
          <w:bCs/>
          <w:color w:val="000000"/>
          <w:sz w:val="28"/>
          <w:szCs w:val="28"/>
          <w:lang w:val="ru-RU"/>
        </w:rPr>
        <w:t xml:space="preserve">Сводный перечень пробелов продвижения и переход к главе 3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Восемь пробелов продвижения, последовательно зафиксированных в предыдущих подразделах настоящего параграфа, агрегированы в таблицу 2.3.5. Эта таблица одновременно завершает анализ текущего состояния и формирует управленческую повестку для главы 3 — каждый пробел переходит в задачу разработки стратегии продвижения.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Таблица 2.3.5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Сводный перечень пробелов продвижения Face2 как управленческая повестка для главы 3</w:t>
      </w:r>
    </w:p>
    <w:tbl>
      <w:tblPr>
        <w:tblW w:w="963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643"/>
        <w:gridCol w:w="1748"/>
        <w:gridCol w:w="3747"/>
        <w:gridCol w:w="1748"/>
        <w:gridCol w:w="1748"/>
      </w:tblGrid>
      <w:tr>
        <w:trPr>
          <w:tblHeader/>
          <w:cantSplit/>
        </w:trPr>
        <w:tc>
          <w:tcPr>
            <w:tcW w:w="6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№</w:t>
            </w:r>
          </w:p>
        </w:tc>
        <w:tc>
          <w:tcPr>
            <w:tcW w:w="1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Пробел</w:t>
            </w:r>
          </w:p>
        </w:tc>
        <w:tc>
          <w:tcPr>
            <w:tcW w:w="3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Содержание</w:t>
            </w:r>
          </w:p>
        </w:tc>
        <w:tc>
          <w:tcPr>
            <w:tcW w:w="1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Группа пробелов</w:t>
            </w:r>
          </w:p>
        </w:tc>
        <w:tc>
          <w:tcPr>
            <w:tcW w:w="1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Где зафиксирован</w:t>
            </w:r>
          </w:p>
        </w:tc>
      </w:tr>
      <w:tr>
        <w:trPr>
          <w:cantSplit/>
        </w:trPr>
        <w:tc>
          <w:tcPr>
            <w:tcW w:w="6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1</w:t>
            </w:r>
          </w:p>
        </w:tc>
        <w:tc>
          <w:tcPr>
            <w:tcW w:w="1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Канальный</w:t>
            </w:r>
          </w:p>
        </w:tc>
        <w:tc>
          <w:tcPr>
            <w:tcW w:w="3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Push-каналы (B2B/B2G, партнёрства, пилоты) сильны; pull-каналы (массовые СМИ вне РТ, отдельный бренд в соцсетях) фрагментарны</w:t>
            </w:r>
          </w:p>
        </w:tc>
        <w:tc>
          <w:tcPr>
            <w:tcW w:w="1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Охват</w:t>
            </w:r>
          </w:p>
        </w:tc>
        <w:tc>
          <w:tcPr>
            <w:tcW w:w="1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Инвентаризация каналов</w:t>
            </w:r>
          </w:p>
        </w:tc>
      </w:tr>
      <w:tr>
        <w:trPr>
          <w:cantSplit/>
        </w:trPr>
        <w:tc>
          <w:tcPr>
            <w:tcW w:w="6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2</w:t>
            </w:r>
          </w:p>
        </w:tc>
        <w:tc>
          <w:tcPr>
            <w:tcW w:w="1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Контентный</w:t>
            </w:r>
          </w:p>
        </w:tc>
        <w:tc>
          <w:tcPr>
            <w:tcW w:w="3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Регуляторный капитал (КБС, аккредитации, № 115-ФЗ, стаж с 2018 г.) не переведён в массовое сообщение «доверие»</w:t>
            </w:r>
          </w:p>
        </w:tc>
        <w:tc>
          <w:tcPr>
            <w:tcW w:w="1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Аргументация</w:t>
            </w:r>
          </w:p>
        </w:tc>
        <w:tc>
          <w:tcPr>
            <w:tcW w:w="1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7P</w:t>
            </w:r>
          </w:p>
        </w:tc>
      </w:tr>
      <w:tr>
        <w:trPr>
          <w:cantSplit/>
        </w:trPr>
        <w:tc>
          <w:tcPr>
            <w:tcW w:w="6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3</w:t>
            </w:r>
          </w:p>
        </w:tc>
        <w:tc>
          <w:tcPr>
            <w:tcW w:w="1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Сегментный</w:t>
            </w:r>
          </w:p>
        </w:tc>
        <w:tc>
          <w:tcPr>
            <w:tcW w:w="3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«Гостеприимство» и «возрастная верификация в ритейле» заявлены продуктово, публичных кейсов нет</w:t>
            </w:r>
          </w:p>
        </w:tc>
        <w:tc>
          <w:tcPr>
            <w:tcW w:w="1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Охват</w:t>
            </w:r>
          </w:p>
        </w:tc>
        <w:tc>
          <w:tcPr>
            <w:tcW w:w="1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Сегментация</w:t>
            </w:r>
          </w:p>
        </w:tc>
      </w:tr>
      <w:tr>
        <w:trPr>
          <w:cantSplit/>
        </w:trPr>
        <w:tc>
          <w:tcPr>
            <w:tcW w:w="6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4</w:t>
            </w:r>
          </w:p>
        </w:tc>
        <w:tc>
          <w:tcPr>
            <w:tcW w:w="1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Доказательный</w:t>
            </w:r>
          </w:p>
        </w:tc>
        <w:tc>
          <w:tcPr>
            <w:tcW w:w="3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Публично не зафиксирована независимая международная верификация точности (NIST FRTE, iBeta, CVPR)</w:t>
            </w:r>
          </w:p>
        </w:tc>
        <w:tc>
          <w:tcPr>
            <w:tcW w:w="1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Аргументация</w:t>
            </w:r>
          </w:p>
        </w:tc>
        <w:tc>
          <w:tcPr>
            <w:tcW w:w="1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7P</w:t>
            </w:r>
          </w:p>
        </w:tc>
      </w:tr>
      <w:tr>
        <w:trPr>
          <w:cantSplit/>
        </w:trPr>
        <w:tc>
          <w:tcPr>
            <w:tcW w:w="6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5</w:t>
            </w:r>
          </w:p>
        </w:tc>
        <w:tc>
          <w:tcPr>
            <w:tcW w:w="1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People</w:t>
            </w:r>
          </w:p>
        </w:tc>
        <w:tc>
          <w:tcPr>
            <w:tcW w:w="3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Нет публичной линейки спикеров (CISO, юрист по 572-ФЗ, продакт-менеджер); один публичный контакт продаж</w:t>
            </w:r>
          </w:p>
        </w:tc>
        <w:tc>
          <w:tcPr>
            <w:tcW w:w="1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Аргументация</w:t>
            </w:r>
          </w:p>
        </w:tc>
        <w:tc>
          <w:tcPr>
            <w:tcW w:w="1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7P</w:t>
            </w:r>
          </w:p>
        </w:tc>
      </w:tr>
      <w:tr>
        <w:trPr>
          <w:cantSplit/>
        </w:trPr>
        <w:tc>
          <w:tcPr>
            <w:tcW w:w="6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6</w:t>
            </w:r>
          </w:p>
        </w:tc>
        <w:tc>
          <w:tcPr>
            <w:tcW w:w="1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Конверсионный</w:t>
            </w:r>
          </w:p>
        </w:tc>
        <w:tc>
          <w:tcPr>
            <w:tcW w:w="3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На face2.ru нет CTA-механики (заявка на пилот, демо-доступ, ROI-калькулятор), автоматическая воронка не оформлена</w:t>
            </w:r>
          </w:p>
        </w:tc>
        <w:tc>
          <w:tcPr>
            <w:tcW w:w="1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Инфраструктура воронки</w:t>
            </w:r>
          </w:p>
        </w:tc>
        <w:tc>
          <w:tcPr>
            <w:tcW w:w="1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Инвентаризация каналов; 7P</w:t>
            </w:r>
          </w:p>
        </w:tc>
      </w:tr>
      <w:tr>
        <w:trPr>
          <w:cantSplit/>
        </w:trPr>
        <w:tc>
          <w:tcPr>
            <w:tcW w:w="6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7</w:t>
            </w:r>
          </w:p>
        </w:tc>
        <w:tc>
          <w:tcPr>
            <w:tcW w:w="1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Лояльностный / референсный</w:t>
            </w:r>
          </w:p>
        </w:tc>
        <w:tc>
          <w:tcPr>
            <w:tcW w:w="3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Нет системной работы с референс-клиентами: отзывы, кейсы, NPS, повторные продажи модулей</w:t>
            </w:r>
          </w:p>
        </w:tc>
        <w:tc>
          <w:tcPr>
            <w:tcW w:w="1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Инфраструктура воронки</w:t>
            </w:r>
          </w:p>
        </w:tc>
        <w:tc>
          <w:tcPr>
            <w:tcW w:w="1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Маркетинговая воронка</w:t>
            </w:r>
          </w:p>
        </w:tc>
      </w:tr>
      <w:tr>
        <w:trPr>
          <w:cantSplit/>
        </w:trPr>
        <w:tc>
          <w:tcPr>
            <w:tcW w:w="6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8</w:t>
            </w:r>
          </w:p>
        </w:tc>
        <w:tc>
          <w:tcPr>
            <w:tcW w:w="1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Географический</w:t>
            </w:r>
          </w:p>
        </w:tc>
        <w:tc>
          <w:tcPr>
            <w:tcW w:w="3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Коммерческое присутствие сконцентрировано в РТ; банковская экосистема (АБО — 930 тыс.) и Карта жителя РТ как ресурсы распространения вне РТ не задействованы</w:t>
            </w:r>
          </w:p>
        </w:tc>
        <w:tc>
          <w:tcPr>
            <w:tcW w:w="1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Охват</w:t>
            </w:r>
          </w:p>
        </w:tc>
        <w:tc>
          <w:tcPr>
            <w:tcW w:w="1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Сегментация</w:t>
            </w:r>
          </w:p>
        </w:tc>
      </w:tr>
    </w:tbl>
    <w:p>
      <w:pPr>
        <w:spacing w:before="0" w:after="0" w:line="240" w:lineRule="auto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Источник: составлено автором по результатам предыдущих подразделов настоящего параграфа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Восемь пробелов в таблице 2.3.5 не независимы — они группируются в три кластера: пробелы охвата (1, 3, 8 — канальный, сегментный, географический), пробелы аргументации (2, 4, 5 — контентный, доказательный, People) и пробелы инфраструктуры воронки (6, 7 — конверсионный, лояльностный). Управленческая повестка главы 3 распадается на эти три параллельных направления.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Приоритеты повестки задаются связью с уже занятой конкурентной нишей: регуляторное преимущество, банковская экосистема и шестилетний стаж в ЕБС — ресурсы, которые в продвижении нужно не создавать, а активизировать. Стратегия Face2 не должна строиться ни как догоняющий марш к Сберу, ни как верификационное состязание с VisionLabs — обе траектории требуют ресурсов, которых у банка нет в нужных объёмах. Содержательная задача — конвертация уже накопленного институционального и инфраструктурного капитала в массовое сообщение и в массовый канал при сохранении сильной B2B-составляющей и без размывания регуляторного позиционирования. На этой рамке строится глава 3: 3.1 переводит повестку в цели и задачи стратегии и обновляет позиционирование, 3.2 разрабатывает комплекс маркетинговых мероприятий и дорожную карту, 3.3 проверяет стратегию через KPI, экономический эффект, оценку рисков и план внедрения.</w:t>
      </w:r>
    </w:p>
    <w:p>
      <w:pPr>
        <w:spacing w:before="0" w:after="0" w:line="240" w:lineRule="auto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</w:p>
    <w:p>
      <w:pPr>
        <w:spacing w:before="0" w:after="0" w:line="360" w:lineRule="auto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br w:type="page"/>
      </w:r>
    </w:p>
    <w:p>
      <w:pPr>
        <w:keepNext/>
        <w:keepLines/>
        <w:spacing w:before="240" w:after="120" w:line="360" w:lineRule="auto"/>
        <w:jc w:val="center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b/>
          <w:bCs/>
          <w:color w:val="000000"/>
          <w:sz w:val="28"/>
          <w:szCs w:val="28"/>
          <w:lang w:val="ru-RU"/>
        </w:rPr>
        <w:t xml:space="preserve">ВЫВОД ПО ГЛАВЕ 2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Глава 2 описала Ак Барс Банк как разработчика Face2 — крупный региональный банк с активами 1,16 трлн рублей, рейтингами «A» по национальной шкале и собственной биометрической вертикалью с аккредитацией Минцифры по правилам КБС, сертификацией ФСБ и ФСТЭК, внутренней инсталляцией на 5 000+ сотрудников и пилотами с Минцифры, Минтрансом и НСПК [31, с. 1–3; 27; 26, с. 30–31]. Российский рынок биометрии прошёл точку массовой коммерциализации — 145,9 млн платежей и 112,5 млрд рублей оборота за девять месяцев 2025 года, свыше 10 млн пользователей ЕБС — и работает в жёсткой регуляторной рамке 572-ФЗ, ограничивающей круг операторов аккредитованными игроками [1; 32; 34]. Балльная экспертная оценка под целевой сегмент B2B и B2G со сценариями работы с физическими лицами через ЕБС вывела Face2 на разделённую вторую позицию (4,10) после Сбера (4,25), а собственный конкурентный сегмент банка — пересечение банковской экосистемы, права работы с биометрией физических лиц через ЕБС и продуктовой линейки под платежи, проход и подтверждение возраста — у ключевых конкурентов отсутствует [27; 38; 35; 40; 41]. Анализ текущего продвижения через STP, 7P, маркетинговую воронку с этапом «Доверие» и карту каналов выявил структурную асимметрию: push-каналы развиты сильно, pull-каналы фрагментарны, что собирается в восемь связанных пробелов — канальный, контентный, сегментный, доказательный, People, конверсионный, лояльностный и географический [27; 26, с. 28–33; 35; 39]. Эта расстановка задаёт управленческую повестку для главы 3 — спроектировать стратегию продвижения, опирающуюся на сильные стороны Face2 (регуляторный капитал, банковская экосистема, стаж в ЕБС с 2018 года) и закрывающую выявленные пробелы по трём направлениям: расширение охвата, усиление аргументации и достройка инфраструктуры воронки.</w:t>
      </w:r>
    </w:p>
    <w:p>
      <w:pPr>
        <w:spacing w:before="0" w:after="0" w:line="240" w:lineRule="auto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</w:p>
    <w:p>
      <w:pPr>
        <w:keepNext/>
        <w:keepLines/>
        <w:spacing w:before="240" w:after="120" w:line="360" w:lineRule="auto"/>
        <w:jc w:val="center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b/>
          <w:bCs/>
          <w:color w:val="000000"/>
          <w:sz w:val="28"/>
          <w:szCs w:val="28"/>
          <w:lang w:val="ru-RU"/>
        </w:rPr>
        <w:t xml:space="preserve">ГЛАВА 3. РАЗРАБОТКА СТРАТЕГИИ ПРОДВИЖЕНИЯ ИННОВАЦИОННОГО ПРОДУКТА FACE2</w:t>
      </w:r>
    </w:p>
    <w:p>
      <w:pPr>
        <w:keepNext/>
        <w:keepLines/>
        <w:spacing w:before="200" w:after="120" w:line="360" w:lineRule="auto"/>
        <w:jc w:val="center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b/>
          <w:bCs/>
          <w:color w:val="000000"/>
          <w:sz w:val="28"/>
          <w:szCs w:val="28"/>
          <w:lang w:val="ru-RU"/>
        </w:rPr>
        <w:t xml:space="preserve">3.1. Обоснование стратегии продвижения продукта Face2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Настоящий параграф переводит управленческую повестку, сформированную в параграфе 2.3, в стратегическую рамку: восемь пробелов продвижения Face2, агрегированных в таблице 2.3.5, и три кластера, на которые они группируются (пробелы охвата, аргументации и инфраструктуры воронки), переоформляются в цели, задачи, приоритетные сегменты, позиционирование и тип стратегии. Методическую основу разработки составляют инструменты, выведенные в главе 1: модель STP для сегментации и позиционирования [8, с. 314; 10, с. 175], расширенный комплекс маркетинга 7P для биометрии с особым весом элементов People, Process и Physical evidence [16, с. 48; 24, с. 106], маркетинговая воронка с обязательным этапом «Доверие» между интересом и пробным использованием [6, с. 64; 20, с. 11; 19, с. 6], рамка push/pull-стратегий и интегрированный подход [16, с. 48; 24, с. 106], а также теория диффузии инноваций Э. Роджерса [14, с. 156], задающая логику последовательной работы с разными группами аудитории — от новаторов и ранних последователей к раннему и позднему большинству.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Разработка стратегии продвижения опирается на результаты второй главы. В параграфе 2.1 показано, что Face2 прошёл путь от тестового внедрения в офисах банка в 2019 году до коммерческой биометрической системы с аккредитацией Минцифры России в 2023 году, биоэквайринга в Казанском метрополитене в 2024 году и сервисов подтверждения возраста и регистрации в гостинице без паспорта в 2025 году [27; 26, с. 28–33; 28; 29]. Согласно теории диффузии Роджерса, продукт находится на стыке стадий ранних последователей и раннего большинства: тестовый и пилотный контуры пройдены, начат этап коммерческого масштабирования, при котором ключевой задачей продвижения становится перевод накопленной доказательной базы в массовое сообщение и в массовый канал [14, с. 156, 161].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Параграф 2.2 зафиксировал конкурентную позицию Face2: сравнительная матрица (таблица 2.2.5) и балльная экспертная оценка по восьми ключевым факторам успеха (таблица 2.2.6) показали, что банк удерживает сильные позиции по регуляторно-правовому капиталу (аккредитация КБС, сертификация ФСБ и ФСТЭК, реестр отечественного ПО, шестилетний стаж в ЕБС), сегментной полноте под B2B/B2G и экосистемной интеграции, но уступает лидерам по независимой верификации точности и масштабу присутствия [27; 26; 38; 35; 40; 41]. Параграф 2.3 диагностировал асимметрию коммуникационной архитектуры: push-каналы (B2B/B2G, партнёрства, пилоты) развиты сильно, pull-каналы (массовые СМИ за пределами Татарстана, отдельный бренд в социальных сетях, экспертный контент) фрагментарны (таблица 2.3.2 и рисунок 2.3.1). Этот диагноз — отправная точка для стратегии: задача не в смене инструментов, а в их перенастройке.</w:t>
      </w:r>
    </w:p>
    <w:p>
      <w:pPr>
        <w:keepNext/>
        <w:keepLines/>
        <w:spacing w:before="200" w:after="120" w:line="360" w:lineRule="auto"/>
        <w:jc w:val="center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b/>
          <w:bCs/>
          <w:color w:val="000000"/>
          <w:sz w:val="28"/>
          <w:szCs w:val="28"/>
          <w:lang w:val="ru-RU"/>
        </w:rPr>
        <w:t xml:space="preserve">3.1.1. Проблемы продвижения, выявленные по результатам анализа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Перечень проблем продвижения Face2 формируется на основе сводной таблицы 2.3.5 параграфа 2.3, в которой зафиксированы восемь пробелов, сгруппированных в три кластера (охват, аргументация, инфраструктура воронки). Корректное стратегическое прочтение этих пробелов требует разделения трёх содержательно разных классов проблем.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Первый класс — внешние барьеры биометрии (параграф 1.3, таблица 1.3.1): психологические, поведенческие, организационные для B2B и регуляторно-репутационные. Они характеризуют биометрию как технологию и определяют рамки любой стратегии продвижения на рынке [16, с. 43–48; 24, с. 100–110; 25, с. 112–115].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Второй класс — особенности продукта Face2. Линейка из девяти продуктов обращена к одиннадцати отраслям применения [27; 28; 29], а двухуровневая модель продаж (таблица 2.1.4) задаёт два принципиально разных канала и цикла сделки. Сегментная карта (таблица 2.2.2) и продуктовая раскладка (таблица 2.1.4) образуют матрицу «продукт × сегмент», требующую отдельного ценностного предложения для каждого сегмента.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Третий класс — собственно дефициты продвижения, выявленные в параграфе 2.3 и сведённые в таблице 2.3.5. Стратегия разрабатывается прежде всего по третьему классу, а первые два учитываются как условия успешной коммуникации. Раскладка таблицы 2.3.5 показывает, что пробелы продвижения Face2 сосредоточены не в зоне продуктовых характеристик и не в зоне регуляторного капитала (эти зоны сильны по результатам параграфа 2.2), а в зоне коммуникационной архитектуры. Стратегия, разрабатываемая в подразделах 3.1.1–3.1.5 и в параграфе 3.2, должна последовательно закрывать три кластера пробелов: охват, аргументацию и инфраструктуру воронки.</w:t>
      </w:r>
    </w:p>
    <w:p>
      <w:pPr>
        <w:keepNext/>
        <w:keepLines/>
        <w:spacing w:before="200" w:after="120" w:line="360" w:lineRule="auto"/>
        <w:jc w:val="center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b/>
          <w:bCs/>
          <w:color w:val="000000"/>
          <w:sz w:val="28"/>
          <w:szCs w:val="28"/>
          <w:lang w:val="ru-RU"/>
        </w:rPr>
        <w:t xml:space="preserve">3.1.2. Цель и задачи стратегии продвижения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Цель стратегии продвижения Face2 формулируется в SMART-логике с горизонтом 2026–2028 годов: повысить узнаваемость Face2 на российском рынке биометрических решений и сформировать доверие к продукту со стороны B2B-, B2G- и B2C-аудиторий, увеличив за указанный горизонт количество подтверждённых внешних внедрений продуктов линейки не менее чем в три раза относительно базового 2025 года и доведя долю pull-канала (массовое цифровое присутствие, экспертный контент, отраслевые публикации) в структуре коммуникационных активностей до уровня, сопоставимого с push-каналом, при сохранении конкурентного преимущества по регуляторно-правовому капиталу. Численные ориентиры по узнаваемости, количеству лидов, пилотным проектам и коммерческой конверсии формируются в параграфе 3.3 как KPI стратегии и согласуются с мероприятиями параграфа 3.2.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Цель стратегии разворачивается в семь задач, каждая из которых закрывает один из трёх кластеров пробелов, выделенных в таблице 3.1.1, и сшита с подразделом параграфа 3.2, в котором эта задача будет реализована мероприятиями: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а) уточнить позиционирование Face2 как комплексной отечественной биометрической платформы Ак Барс Банка, соответствующей требованиям 572-ФЗ и ориентированной на практические задачи организаций (закрывает контентный пробел; реализуется в подразделе 3.1.4 и в подразделах 3.2.1, 3.2.4);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б) сформировать отраслевые ценностные предложения для шести приоритетных сегментов с учётом двухуровневой модели продаж (закрывает сегментный пробел; реализуется в подразделах 3.1.3 и 3.2.1, 3.2.2);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в) усилить коммуникацию по вопросам безопасности биометрических данных, соответствия требованиям 572-ФЗ, использования ЕБС и КБС, переведя регуляторный капитал из языка специалистов в массовое сообщение «доверие» (закрывает контентный и доказательный пробелы; реализуется в подразделе 3.2.4 и на этапе «Доверие» маркетинговой воронки 3.3.1);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г) повысить узнаваемость Face2 на федеральном рынке за счёт PR-активности, участия в отраслевых мероприятиях, публикации экспертных материалов и развития цифровых каналов (закрывает канальный и географический пробелы; реализуется в подразделах 3.2.3, 3.2.4);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д) расширить доказательную базу продукта за счёт публичных кейсов внедрения, демонстрационных проектов, расчётов экономического эффекта и сравнительных материалов (закрывает доказательный пробел и пробел People; реализуется в подразделах 3.2.2, 3.2.4);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е) развернуть систему продвижения для двух уровней продаж — КБС под ключ для аккредитованных операторов (уровень 1) и подключение конечных объектов к КБС Ак Барс Банка по транзакционной или абонементной модели (уровень 2), включая прямые продажи, партнёрства с интеграторами и вендорами оборудования, пилотные проекты и B2C-сценарии для конечных пользователей сервисов Face2Pay, Face2Pass и Face2Check-in (закрывает канальный, географический и конверсионный пробелы; реализуется в подразделах 3.2.1, 3.2.3);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ё) сформировать систему показателей эффективности продвижения и инфраструктуру референсной работы — отзывы, кейс-стади, NPS, программа повторных продаж модулей (закрывает конверсионный и лояльностный пробелы; реализуется в подразделе 3.2.5 и в параграфе 3.3).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Цель и сшивка задач с кластерами пробелов и подразделами 3.2 представлены в таблице 3.1.1.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Таблица 3.1.1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Цели и задачи стратегии продвижения Face2</w:t>
      </w:r>
    </w:p>
    <w:tbl>
      <w:tblPr>
        <w:tblW w:w="963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171"/>
        <w:gridCol w:w="4072"/>
        <w:gridCol w:w="3393"/>
      </w:tblGrid>
      <w:tr>
        <w:trPr>
          <w:tblHeader/>
          <w:cantSplit/>
        </w:trPr>
        <w:tc>
          <w:tcPr>
            <w:tcW w:w="2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Элемент стратегии</w:t>
            </w:r>
          </w:p>
        </w:tc>
        <w:tc>
          <w:tcPr>
            <w:tcW w:w="40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Содержание</w:t>
            </w:r>
          </w:p>
        </w:tc>
        <w:tc>
          <w:tcPr>
            <w:tcW w:w="33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Закрываемый кластер пробелов / подраздел реализации</w:t>
            </w:r>
          </w:p>
        </w:tc>
      </w:tr>
      <w:tr>
        <w:trPr>
          <w:cantSplit/>
        </w:trPr>
        <w:tc>
          <w:tcPr>
            <w:tcW w:w="2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Цель</w:t>
            </w:r>
          </w:p>
        </w:tc>
        <w:tc>
          <w:tcPr>
            <w:tcW w:w="40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Повысить узнаваемость Face2 и сформировать доверие со стороны B2B-, B2G- и B2C-аудиторий; на горизонте 2026–2028 гг. увеличить число подтверждённых внешних внедрений не менее чем в три раза к базе 2025 г. и довести долю pull-канала до уровня, сопоставимого с push</w:t>
            </w:r>
          </w:p>
        </w:tc>
        <w:tc>
          <w:tcPr>
            <w:tcW w:w="33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Все три кластера / параграфы 3.2 и 3.3</w:t>
            </w:r>
          </w:p>
        </w:tc>
      </w:tr>
      <w:tr>
        <w:trPr>
          <w:cantSplit/>
        </w:trPr>
        <w:tc>
          <w:tcPr>
            <w:tcW w:w="2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Коммуникационная задача</w:t>
            </w:r>
          </w:p>
        </w:tc>
        <w:tc>
          <w:tcPr>
            <w:tcW w:w="40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Перевести регуляторный капитал в массовое сообщение «доверие» и усилить экспертное позиционирование</w:t>
            </w:r>
          </w:p>
        </w:tc>
        <w:tc>
          <w:tcPr>
            <w:tcW w:w="33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Аргументация / 3.2.4</w:t>
            </w:r>
          </w:p>
        </w:tc>
      </w:tr>
      <w:tr>
        <w:trPr>
          <w:cantSplit/>
        </w:trPr>
        <w:tc>
          <w:tcPr>
            <w:tcW w:w="2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Маркетинговая задача</w:t>
            </w:r>
          </w:p>
        </w:tc>
        <w:tc>
          <w:tcPr>
            <w:tcW w:w="40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Разработать отраслевые офферы под шесть приоритетных сегментов с учётом двух уровней продаж и расширить присутствие в цифровых и PR-каналах</w:t>
            </w:r>
          </w:p>
        </w:tc>
        <w:tc>
          <w:tcPr>
            <w:tcW w:w="33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Охват, аргументация / 3.2.1, 3.2.2, 3.2.3</w:t>
            </w:r>
          </w:p>
        </w:tc>
      </w:tr>
      <w:tr>
        <w:trPr>
          <w:cantSplit/>
        </w:trPr>
        <w:tc>
          <w:tcPr>
            <w:tcW w:w="2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Коммерческая задача</w:t>
            </w:r>
          </w:p>
        </w:tc>
        <w:tc>
          <w:tcPr>
            <w:tcW w:w="40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Увеличить количество входящих заявок, пилотных проектов и коммерческих внедрений по обоим уровням продаж</w:t>
            </w:r>
          </w:p>
        </w:tc>
        <w:tc>
          <w:tcPr>
            <w:tcW w:w="33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Охват, инфраструктура воронки / 3.2.1, 3.2.3</w:t>
            </w:r>
          </w:p>
        </w:tc>
      </w:tr>
      <w:tr>
        <w:trPr>
          <w:cantSplit/>
        </w:trPr>
        <w:tc>
          <w:tcPr>
            <w:tcW w:w="2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Имиджевая задача</w:t>
            </w:r>
          </w:p>
        </w:tc>
        <w:tc>
          <w:tcPr>
            <w:tcW w:w="40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Закрепить Face2 как отечественную биометрическую платформу с банковской экспертизой</w:t>
            </w:r>
          </w:p>
        </w:tc>
        <w:tc>
          <w:tcPr>
            <w:tcW w:w="33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Аргументация / 3.2.4</w:t>
            </w:r>
          </w:p>
        </w:tc>
      </w:tr>
      <w:tr>
        <w:trPr>
          <w:cantSplit/>
        </w:trPr>
        <w:tc>
          <w:tcPr>
            <w:tcW w:w="2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Аналитическая задача</w:t>
            </w:r>
          </w:p>
        </w:tc>
        <w:tc>
          <w:tcPr>
            <w:tcW w:w="40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Ввести KPI продвижения, систему регулярной оценки эффективности мероприятий и программу референсной работы</w:t>
            </w:r>
          </w:p>
        </w:tc>
        <w:tc>
          <w:tcPr>
            <w:tcW w:w="33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Инфраструктура воронки / 3.2.5, 3.3</w:t>
            </w:r>
          </w:p>
        </w:tc>
      </w:tr>
      <w:tr>
        <w:trPr>
          <w:cantSplit/>
        </w:trPr>
        <w:tc>
          <w:tcPr>
            <w:tcW w:w="2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Доказательная задача</w:t>
            </w:r>
          </w:p>
        </w:tc>
        <w:tc>
          <w:tcPr>
            <w:tcW w:w="40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Сформировать публичную базу отраслевых кейсов с расчётом экономического эффекта и линейку спикеров (CISO, юрист по 572-ФЗ, продакт-менеджер)</w:t>
            </w:r>
          </w:p>
        </w:tc>
        <w:tc>
          <w:tcPr>
            <w:tcW w:w="33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Аргументация / 3.2.2, 3.2.4</w:t>
            </w:r>
          </w:p>
        </w:tc>
      </w:tr>
      <w:tr>
        <w:trPr>
          <w:cantSplit/>
        </w:trPr>
        <w:tc>
          <w:tcPr>
            <w:tcW w:w="2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Конверсионная задача</w:t>
            </w:r>
          </w:p>
        </w:tc>
        <w:tc>
          <w:tcPr>
            <w:tcW w:w="40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Развернуть на face2.ru CTA-механику (заявка на пилот, демо-доступ, ROI-калькулятор) и автоматическую воронку</w:t>
            </w:r>
          </w:p>
        </w:tc>
        <w:tc>
          <w:tcPr>
            <w:tcW w:w="33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Инфраструктура воронки / 3.2.3, 3.2.5</w:t>
            </w:r>
          </w:p>
        </w:tc>
      </w:tr>
    </w:tbl>
    <w:p>
      <w:pPr>
        <w:spacing w:before="0" w:after="0" w:line="240" w:lineRule="auto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Источник: составлено автором по данным параграфов 1.2 (таблица 1.2.1) и 2.3 (таблица 2.3.5), [18, с. 5; 8, с. 412; 10, с. 156]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Сшивка задач с кластерами пробелов и подразделами параграфа 3.2 делает стратегию операционализируемой: каждая задача 3.1.1 имеет явный адрес реализации и явный измеримый результат, который будет оценён системой KPI параграфа 3.3.</w:t>
      </w:r>
    </w:p>
    <w:p>
      <w:pPr>
        <w:keepNext/>
        <w:keepLines/>
        <w:spacing w:before="200" w:after="120" w:line="360" w:lineRule="auto"/>
        <w:jc w:val="center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b/>
          <w:bCs/>
          <w:color w:val="000000"/>
          <w:sz w:val="28"/>
          <w:szCs w:val="28"/>
          <w:lang w:val="ru-RU"/>
        </w:rPr>
        <w:t xml:space="preserve">3.1.3. Приоритетные целевые сегменты в разрезе двухуровневой модели продаж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Выбор и приоритизация целевых сегментов выполняются по модели STP [8, с. 314; 10, с. 175]: сегментация рынка проведена в параграфе 2.2 (таблица 2.2.2 — шесть устойчивых сегментов российского рынка биометрии: государственная идентификация, финансовый сектор, транспорт, СКУД режимных объектов, ритейл с возрастной верификацией, гостиничный сегмент); таргетирование выполняется в настоящем подразделе по трём критериям приоритизации; позиционирование — в подразделе 3.1.4. Критерии приоритизации сегментов: соответствие сильным сторонам Face2 по результатам балльной оценки конкурентов (таблица 2.2.6 — регуляторный капитал, экосистемная интеграция, банковская экспертиза); текущая стадия закрытия сегмента продуктово и коммуникативно (таблица 2.3.1); экономический потенциал — рост биометрических платежей, количество пользователей ЕБС, плотность регуляторных требований [27; 38; 32; 34].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Сегментация ведётся в разрезе двухуровневой модели продаж Face2, введённой в таблице 2.1.4 параграфа 2.1. Уровень 1 — поставка полного программного контура КБС аккредитованной организации-оператору биометрии (банку-партнёру или государственной структуре с правом регистрировать векторы в ЕБС): длительный цикл продажи, единичные сделки, ЛПР — топ-менеджмент и совет директоров заказчика, каналы — прямые B2B-продажи, отраслевые конференции, персональные демонстрации, экономика — лицензионные и проектные платежи [27; 28; 29]. Уровень 2 — подключение конечного объекта к КБС, размещённой у Ак Барс Банка, по транзакционной или абонементной модели без аккредитации заказчика: короткий цикл продажи, массовые сделки, ЛПР — операционный менеджмент объекта, каналы — партнёрства с интеграторами, вендорами оборудования и платёжными провайдерами, цифровые каналы и pull-инструменты, экономика — транзакционные комиссии и абонементные платежи [27; 29]. На втором уровне в качестве конечного потребителя сервиса (B2C-составляющая) выступает физическое лицо — пользователь Face2Pay, Face2Pass или Face2Check-in: для него стратегия продвижения формирует pull-спрос через массовые сценарии (метро, ритейл, гостиница, спортивная арена) и через коммуникацию о безопасности и удобстве биометрии. Согласно теории диффузии инноваций Э. Роджерса, в B2C-составляющей приоритетной аудиторией стратегии на горизонте 2026–2028 годов являются ранние последователи и раннее большинство, поскольку именно они переводят технологию из стадии пилотов в стадию массового использования и формируют референсный материал для более консервативных сегментов аудитории [14, с. 156, 161].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Приоритетные сегменты в разрезе двух уровней продаж и с указанием отраслевого ценностного предложения представлены в таблице 3.1.2.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Таблица 3.1.2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Приоритетные целевые сегменты продвижения Face2</w:t>
      </w:r>
    </w:p>
    <w:tbl>
      <w:tblPr>
        <w:tblW w:w="963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195"/>
        <w:gridCol w:w="2241"/>
        <w:gridCol w:w="2091"/>
        <w:gridCol w:w="1867"/>
        <w:gridCol w:w="2241"/>
      </w:tblGrid>
      <w:tr>
        <w:trPr>
          <w:tblHeader/>
          <w:cantSplit/>
        </w:trPr>
        <w:tc>
          <w:tcPr>
            <w:tcW w:w="11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Целевой сегмент</w:t>
            </w:r>
          </w:p>
        </w:tc>
        <w:tc>
          <w:tcPr>
            <w:tcW w:w="22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Уровень продаж (по табл. 2.1.4)</w:t>
            </w:r>
          </w:p>
        </w:tc>
        <w:tc>
          <w:tcPr>
            <w:tcW w:w="20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Подходящий продукт Face2</w:t>
            </w:r>
          </w:p>
        </w:tc>
        <w:tc>
          <w:tcPr>
            <w:tcW w:w="18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Основной потребитель</w:t>
            </w:r>
          </w:p>
        </w:tc>
        <w:tc>
          <w:tcPr>
            <w:tcW w:w="22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Отраслевое ценностное предложение</w:t>
            </w:r>
          </w:p>
        </w:tc>
      </w:tr>
      <w:tr>
        <w:trPr>
          <w:cantSplit/>
        </w:trPr>
        <w:tc>
          <w:tcPr>
            <w:tcW w:w="11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Банки</w:t>
            </w:r>
          </w:p>
        </w:tc>
        <w:tc>
          <w:tcPr>
            <w:tcW w:w="22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Уровень 1 (КБС под ключ аккредитованному оператору)</w:t>
            </w:r>
          </w:p>
        </w:tc>
        <w:tc>
          <w:tcPr>
            <w:tcW w:w="20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КБС, Face2Pay, KYC, SDK</w:t>
            </w:r>
          </w:p>
        </w:tc>
        <w:tc>
          <w:tcPr>
            <w:tcW w:w="18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Кредитные организации — операторы биометрии</w:t>
            </w:r>
          </w:p>
        </w:tc>
        <w:tc>
          <w:tcPr>
            <w:tcW w:w="22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Соответствие 572-ФЗ, снижение рисков мошенничества, KYC по ЕБС, банковская экспертиза партнёра</w:t>
            </w:r>
          </w:p>
        </w:tc>
      </w:tr>
      <w:tr>
        <w:trPr>
          <w:cantSplit/>
        </w:trPr>
        <w:tc>
          <w:tcPr>
            <w:tcW w:w="11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МФО</w:t>
            </w:r>
          </w:p>
        </w:tc>
        <w:tc>
          <w:tcPr>
            <w:tcW w:w="22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Уровень 1 / Уровень 2 (через банк-партнёра)</w:t>
            </w:r>
          </w:p>
        </w:tc>
        <w:tc>
          <w:tcPr>
            <w:tcW w:w="20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KYC, интеграция с КБС</w:t>
            </w:r>
          </w:p>
        </w:tc>
        <w:tc>
          <w:tcPr>
            <w:tcW w:w="18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Микрофинансовые организации</w:t>
            </w:r>
          </w:p>
        </w:tc>
        <w:tc>
          <w:tcPr>
            <w:tcW w:w="22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Готовый сервис дистанционной идентификации заёмщиков на базе инфраструктуры аккредитованного банка; снижение операционных и регуляторных рисков</w:t>
            </w:r>
          </w:p>
        </w:tc>
      </w:tr>
      <w:tr>
        <w:trPr>
          <w:cantSplit/>
        </w:trPr>
        <w:tc>
          <w:tcPr>
            <w:tcW w:w="11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Ритейл</w:t>
            </w:r>
          </w:p>
        </w:tc>
        <w:tc>
          <w:tcPr>
            <w:tcW w:w="22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Уровень 2 (подключение к КБС Ак Барс Банка)</w:t>
            </w:r>
          </w:p>
        </w:tc>
        <w:tc>
          <w:tcPr>
            <w:tcW w:w="20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Face2Pay, подтверждение возраста</w:t>
            </w:r>
          </w:p>
        </w:tc>
        <w:tc>
          <w:tcPr>
            <w:tcW w:w="18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Розничные сети, точки продаж</w:t>
            </w:r>
          </w:p>
        </w:tc>
        <w:tc>
          <w:tcPr>
            <w:tcW w:w="22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Ускорение оплаты, снижение очередей, автоматизация продажи товаров с возрастными ограничениями, новый клиентский опыт</w:t>
            </w:r>
          </w:p>
        </w:tc>
      </w:tr>
      <w:tr>
        <w:trPr>
          <w:cantSplit/>
        </w:trPr>
        <w:tc>
          <w:tcPr>
            <w:tcW w:w="11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Вендинг</w:t>
            </w:r>
          </w:p>
        </w:tc>
        <w:tc>
          <w:tcPr>
            <w:tcW w:w="22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Уровень 2</w:t>
            </w:r>
          </w:p>
        </w:tc>
        <w:tc>
          <w:tcPr>
            <w:tcW w:w="20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Face2Pay, подтверждение возраста</w:t>
            </w:r>
          </w:p>
        </w:tc>
        <w:tc>
          <w:tcPr>
            <w:tcW w:w="18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Операторы вендинговых сетей</w:t>
            </w:r>
          </w:p>
        </w:tc>
        <w:tc>
          <w:tcPr>
            <w:tcW w:w="22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Автоматизация оплаты и продаж товаров с возрастными ограничениями без участия продавца</w:t>
            </w:r>
          </w:p>
        </w:tc>
      </w:tr>
      <w:tr>
        <w:trPr>
          <w:cantSplit/>
        </w:trPr>
        <w:tc>
          <w:tcPr>
            <w:tcW w:w="11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Гостиницы</w:t>
            </w:r>
          </w:p>
        </w:tc>
        <w:tc>
          <w:tcPr>
            <w:tcW w:w="22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Уровень 2</w:t>
            </w:r>
          </w:p>
        </w:tc>
        <w:tc>
          <w:tcPr>
            <w:tcW w:w="20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Face2Check-in</w:t>
            </w:r>
          </w:p>
        </w:tc>
        <w:tc>
          <w:tcPr>
            <w:tcW w:w="18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Гостиничные сети и отдельные средства размещения</w:t>
            </w:r>
          </w:p>
        </w:tc>
        <w:tc>
          <w:tcPr>
            <w:tcW w:w="22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Сокращение времени регистрации, заселение без предъявления паспорта, повышение клиентского опыта</w:t>
            </w:r>
          </w:p>
        </w:tc>
      </w:tr>
      <w:tr>
        <w:trPr>
          <w:cantSplit/>
        </w:trPr>
        <w:tc>
          <w:tcPr>
            <w:tcW w:w="11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Вузы</w:t>
            </w:r>
          </w:p>
        </w:tc>
        <w:tc>
          <w:tcPr>
            <w:tcW w:w="22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Уровень 2</w:t>
            </w:r>
          </w:p>
        </w:tc>
        <w:tc>
          <w:tcPr>
            <w:tcW w:w="20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Face2Pass, биометрический СКУД</w:t>
            </w:r>
          </w:p>
        </w:tc>
        <w:tc>
          <w:tcPr>
            <w:tcW w:w="18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Образовательные организации</w:t>
            </w:r>
          </w:p>
        </w:tc>
        <w:tc>
          <w:tcPr>
            <w:tcW w:w="22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Контроль доступа в кампус, учёт посещаемости, снижение рисков передачи пропусков</w:t>
            </w:r>
          </w:p>
        </w:tc>
      </w:tr>
      <w:tr>
        <w:trPr>
          <w:cantSplit/>
        </w:trPr>
        <w:tc>
          <w:tcPr>
            <w:tcW w:w="11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Промышленные предприятия</w:t>
            </w:r>
          </w:p>
        </w:tc>
        <w:tc>
          <w:tcPr>
            <w:tcW w:w="22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Уровень 2</w:t>
            </w:r>
          </w:p>
        </w:tc>
        <w:tc>
          <w:tcPr>
            <w:tcW w:w="20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Face2Pass, биометрический СКУД, доступ к ПК по биометрии</w:t>
            </w:r>
          </w:p>
        </w:tc>
        <w:tc>
          <w:tcPr>
            <w:tcW w:w="18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Промышленные и режимные предприятия</w:t>
            </w:r>
          </w:p>
        </w:tc>
        <w:tc>
          <w:tcPr>
            <w:tcW w:w="22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Контроль доступа и рабочего времени, снижение рисков передачи пропусков, защита периметра</w:t>
            </w:r>
          </w:p>
        </w:tc>
      </w:tr>
      <w:tr>
        <w:trPr>
          <w:cantSplit/>
        </w:trPr>
        <w:tc>
          <w:tcPr>
            <w:tcW w:w="11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Государственные учреждения и МФЦ</w:t>
            </w:r>
          </w:p>
        </w:tc>
        <w:tc>
          <w:tcPr>
            <w:tcW w:w="22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Уровень 1 (КБС под ключ государственной структуре с правом регистрации в ЕБС) / Уровень 2 (отдельные точки обслуживания)</w:t>
            </w:r>
          </w:p>
        </w:tc>
        <w:tc>
          <w:tcPr>
            <w:tcW w:w="20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КБС, идентификация без документов, Face2Pass</w:t>
            </w:r>
          </w:p>
        </w:tc>
        <w:tc>
          <w:tcPr>
            <w:tcW w:w="18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Государственные органы, многофункциональные центры</w:t>
            </w:r>
          </w:p>
        </w:tc>
        <w:tc>
          <w:tcPr>
            <w:tcW w:w="22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Цифровизация процессов идентификации граждан, повышение доступности услуг, соответствие требованиям регулирования</w:t>
            </w:r>
          </w:p>
        </w:tc>
      </w:tr>
      <w:tr>
        <w:trPr>
          <w:cantSplit/>
        </w:trPr>
        <w:tc>
          <w:tcPr>
            <w:tcW w:w="11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Транспортная инфраструктура</w:t>
            </w:r>
          </w:p>
        </w:tc>
        <w:tc>
          <w:tcPr>
            <w:tcW w:w="22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Уровень 2</w:t>
            </w:r>
          </w:p>
        </w:tc>
        <w:tc>
          <w:tcPr>
            <w:tcW w:w="20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Face2Pay, Face2Pass</w:t>
            </w:r>
          </w:p>
        </w:tc>
        <w:tc>
          <w:tcPr>
            <w:tcW w:w="18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Метрополитены, аэропорты, пригородные перевозчики</w:t>
            </w:r>
          </w:p>
        </w:tc>
        <w:tc>
          <w:tcPr>
            <w:tcW w:w="22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Ускорение пассажиропотока, снижение очередей, биоэквайринг по модели Казанского метрополитена</w:t>
            </w:r>
          </w:p>
        </w:tc>
      </w:tr>
      <w:tr>
        <w:trPr>
          <w:cantSplit/>
        </w:trPr>
        <w:tc>
          <w:tcPr>
            <w:tcW w:w="11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Спортивные и массовые объекты</w:t>
            </w:r>
          </w:p>
        </w:tc>
        <w:tc>
          <w:tcPr>
            <w:tcW w:w="22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Уровень 2</w:t>
            </w:r>
          </w:p>
        </w:tc>
        <w:tc>
          <w:tcPr>
            <w:tcW w:w="20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Face2Pass</w:t>
            </w:r>
          </w:p>
        </w:tc>
        <w:tc>
          <w:tcPr>
            <w:tcW w:w="18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Спортивные арены, концертные площадки</w:t>
            </w:r>
          </w:p>
        </w:tc>
        <w:tc>
          <w:tcPr>
            <w:tcW w:w="22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Безопасность, управление потоками посетителей, контроль прохода без передачи билетов и пропусков</w:t>
            </w:r>
          </w:p>
        </w:tc>
      </w:tr>
    </w:tbl>
    <w:p>
      <w:pPr>
        <w:spacing w:before="0" w:after="0" w:line="240" w:lineRule="auto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Источник: составлено автором по данным [27; 26, с. 28–33; 38; 35; 41; 28; 29], параграфов 2.1 (таблица 2.1.4) и 2.2 (таблица 2.2.2)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Раскладка по двум уровням продаж в таблице 3.1.2 показывает, что банки и государственные учреждения преимущественно относятся к первому уровню продаж и требуют push-инструментов с длинным циклом согласования, тогда как ритейл, вендинг, гостиницы, вузы, промышленные предприятия, транспорт и массовые объекты относятся ко второму уровню и могут продвигаться через интеграторов, вендоров оборудования и pull-инструменты массового охвата. Это распределение задаёт принципиальную развилку для типа стратегии, обоснование которой даётся в подразделе 3.1.5.</w:t>
      </w:r>
    </w:p>
    <w:p>
      <w:pPr>
        <w:keepNext/>
        <w:keepLines/>
        <w:spacing w:before="200" w:after="120" w:line="360" w:lineRule="auto"/>
        <w:jc w:val="center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b/>
          <w:bCs/>
          <w:color w:val="000000"/>
          <w:sz w:val="28"/>
          <w:szCs w:val="28"/>
          <w:lang w:val="ru-RU"/>
        </w:rPr>
        <w:t xml:space="preserve">3.1.4. Позиционирование Face2 на рынке биометрических решений и формулировка ценностного предложения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Позиционирование Face2 формируется как третий шаг модели STP и опирается на конфигурацию комплекса 7P, выведенную в параграфе 1.3 и сопоставленную с фактической практикой Face2 в параграфе 2.3 (таблица 2.3.3). По результатам этого сопоставления самым сильным элементом комплекса маркетинга Face2 является Physical evidence — регуляторно-правовой капитал, удерживаемый банком (КБС, аккредитация Минцифры России, сертификация ФСБ и ФСТЭК, реестр отечественного ПО, № 101 в перечне банков по № 115-ФЗ [35], стаж в ЕБС с 10 июля 2018 года [39]), — но его коммуникационная отдача снижена из-за того, что он подаётся языком специалистов, а не массовой аудитории. Целевая конфигурация 7P для стратегии продвижения Face2 предполагает усиление элементов People (линейка спикеров — CISO, юрист по 572-ФЗ, продакт-менеджер) и Process (автоматическая воронка на face2.ru, CTA-механика, ROI-калькулятор) при сохранении и переоформлении Physical evidence в массовое сообщение «доверие». Маркетинговая воронка маркетинговой воронки параграфа 1.2 в её биометрической конфигурации (рисунок 2.3.1) требует расширения этапа «Доверие» — именно на нём концентрируются элементы позиционирования, переводящие регуляторный капитал банка в аргумент для массовой аудитории.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С учётом сильных сторон Face2, зафиксированных балльной оценкой в таблице 2.2.6 параграфа 2.2 (преимущества по регуляторно-правовому капиталу, экосистемной интеграции и банковской экспертизе при сопоставимой с конкурентами скорости сканирования и наличии отечественного программного обеспечения и терминалов [27; 28; 29]), позиционирование формулируется через единое ценностное предложение, которое раскрывается далее в пяти смысловых блоках: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Face2 — комплексная отечественная биометрическая платформа Ак Барс Банка для бизнеса и государственных организаций, обеспечивающая безопасную идентификацию, оплату, контроль доступа и обслуживание клиентов в соответствии с требованиями законодательства Российской Федерации.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В качестве слогана-якоря, под который разворачивается коммуникация в параграфе 3.2, предлагается формулировка: «Биометрия по закону, банковский уровень доверия». Слоган фиксирует два ключевых дифференциатора Face2 (соответствие 572-ФЗ и принадлежность банковской инфраструктуре аккредитованного оператора) и работает одновременно на этапе «Осведомлённость» и на этапе «Доверие» маркетинговой воронки.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Позиционирование раскрывается через пять смысловых блоков. Во-первых, законность и соответствие требованиям регулирования: Face2 продвигается как решение, позволяющее организациям использовать биометрию в правовом поле — на базе аккредитованной КБС, ЕБС и сертификации ФСБ и ФСТЭК [27; 1; 36; 37; 28]. Этот блок критичен для банков, МФО, государственных учреждений, крупных предприятий и режимных объектов. Во-вторых, безопасность и защита данных: коммуникация подчёркивает архитектуру защищённого хранения биометрических векторов, использование криптозащиты и снижение рисков несанкционированного доступа [16, с. 43–48; 24, с. 100–110; 25, с. 112–115; 1; 36]. В-третьих, комплексность платформы: Face2 позиционируется как экосистема биометрических решений, охватывающая КБС, биоэквайринг (Face2Pay), биометрический проход (Face2Pass), регистрацию в гостинице (Face2Check-in), подтверждение возраста, доступ к ПК и SDK для интеграторов [27; 28; 29]; комплексность даёт заказчику возможность закрыть несколько задач одним поставщиком. В-четвёртых, банковская экспертиза и практический опыт внедрения: использование Face2 более чем 5 тыс. сотрудников банка и работа около 200 биотерминалов в офисах и отделениях [27; 26, с. 33] подтверждают применимость продукта в крупной организации и закрывают типовое возражение B2B-аудитории о неотлаженности технологии. В-пятых, отечественное технологическое решение: в условиях курса на технологическую независимость Face2 опирается на отечественное программное обеспечение, реестр Минцифры и отечественные терминалы, что переводится в аргумент соответствия политике импортозамещения для государственного и корпоративного сегмента [27; 1; 35; 28].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Систематизация ключевых элементов позиционирования и значения каждого элемента для клиента дана в таблице 3.1.3.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Таблица 3.1.3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Ключевые элементы позиционирования Face2</w:t>
      </w:r>
    </w:p>
    <w:tbl>
      <w:tblPr>
        <w:tblW w:w="963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141"/>
        <w:gridCol w:w="4015"/>
        <w:gridCol w:w="3480"/>
      </w:tblGrid>
      <w:tr>
        <w:trPr>
          <w:tblHeader/>
          <w:cantSplit/>
        </w:trPr>
        <w:tc>
          <w:tcPr>
            <w:tcW w:w="2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Элемент позиционирования</w:t>
            </w:r>
          </w:p>
        </w:tc>
        <w:tc>
          <w:tcPr>
            <w:tcW w:w="40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Содержание</w:t>
            </w:r>
          </w:p>
        </w:tc>
        <w:tc>
          <w:tcPr>
            <w:tcW w:w="3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Значение для клиента</w:t>
            </w:r>
          </w:p>
        </w:tc>
      </w:tr>
      <w:tr>
        <w:trPr>
          <w:cantSplit/>
        </w:trPr>
        <w:tc>
          <w:tcPr>
            <w:tcW w:w="2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Законность</w:t>
            </w:r>
          </w:p>
        </w:tc>
        <w:tc>
          <w:tcPr>
            <w:tcW w:w="40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Соответствие требованиям регулирования биометрии (572-ФЗ, аккредитация Минцифры, ЕБС, КБС)</w:t>
            </w:r>
          </w:p>
        </w:tc>
        <w:tc>
          <w:tcPr>
            <w:tcW w:w="3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Снижение юридических рисков</w:t>
            </w:r>
          </w:p>
        </w:tc>
      </w:tr>
      <w:tr>
        <w:trPr>
          <w:cantSplit/>
        </w:trPr>
        <w:tc>
          <w:tcPr>
            <w:tcW w:w="2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Безопасность</w:t>
            </w:r>
          </w:p>
        </w:tc>
        <w:tc>
          <w:tcPr>
            <w:tcW w:w="40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Защита биометрических данных, криптозащита, сертификация ФСБ и ФСТЭК, защищённая инфраструктура</w:t>
            </w:r>
          </w:p>
        </w:tc>
        <w:tc>
          <w:tcPr>
            <w:tcW w:w="3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Повышение доверия к продукту</w:t>
            </w:r>
          </w:p>
        </w:tc>
      </w:tr>
      <w:tr>
        <w:trPr>
          <w:cantSplit/>
        </w:trPr>
        <w:tc>
          <w:tcPr>
            <w:tcW w:w="2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Комплексность</w:t>
            </w:r>
          </w:p>
        </w:tc>
        <w:tc>
          <w:tcPr>
            <w:tcW w:w="40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КБС, Face2Pay, Face2Pass, Face2Check-in, подтверждение возраста, доступ к ПК, SDK</w:t>
            </w:r>
          </w:p>
        </w:tc>
        <w:tc>
          <w:tcPr>
            <w:tcW w:w="3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Возможность закрыть несколько задач одним поставщиком</w:t>
            </w:r>
          </w:p>
        </w:tc>
      </w:tr>
      <w:tr>
        <w:trPr>
          <w:cantSplit/>
        </w:trPr>
        <w:tc>
          <w:tcPr>
            <w:tcW w:w="2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Банковская экспертиза</w:t>
            </w:r>
          </w:p>
        </w:tc>
        <w:tc>
          <w:tcPr>
            <w:tcW w:w="40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Связь с Ак Барс Банком и внутренний кейс внедрения (5 тыс. сотрудников, около 200 биотерминалов)</w:t>
            </w:r>
          </w:p>
        </w:tc>
        <w:tc>
          <w:tcPr>
            <w:tcW w:w="3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Повышение надёжности и доверия</w:t>
            </w:r>
          </w:p>
        </w:tc>
      </w:tr>
      <w:tr>
        <w:trPr>
          <w:cantSplit/>
        </w:trPr>
        <w:tc>
          <w:tcPr>
            <w:tcW w:w="2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Отечественное решение</w:t>
            </w:r>
          </w:p>
        </w:tc>
        <w:tc>
          <w:tcPr>
            <w:tcW w:w="40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Российское программное обеспечение и терминалы, реестр Минцифры</w:t>
            </w:r>
          </w:p>
        </w:tc>
        <w:tc>
          <w:tcPr>
            <w:tcW w:w="3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Соответствие курсу на импортозамещение</w:t>
            </w:r>
          </w:p>
        </w:tc>
      </w:tr>
      <w:tr>
        <w:trPr>
          <w:cantSplit/>
        </w:trPr>
        <w:tc>
          <w:tcPr>
            <w:tcW w:w="2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Практическая эффективность</w:t>
            </w:r>
          </w:p>
        </w:tc>
        <w:tc>
          <w:tcPr>
            <w:tcW w:w="40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Ускорение процессов, контроль доступа, снижение рисков</w:t>
            </w:r>
          </w:p>
        </w:tc>
        <w:tc>
          <w:tcPr>
            <w:tcW w:w="3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Экономическая и организационная выгода</w:t>
            </w:r>
          </w:p>
        </w:tc>
      </w:tr>
    </w:tbl>
    <w:p>
      <w:pPr>
        <w:spacing w:before="0" w:after="0" w:line="240" w:lineRule="auto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Источник: составлено автором по данным [16, с. 43–48; 24, с. 100–110; 25, с. 112–115; 27; 26, с. 33; 1; 36; 35; 39; 37; 28; 29]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Таким образом, стратегическое позиционирование Face2 строится не только на технологической новизне, но и на сочетании пяти факторов: законности, безопасности, комплексности, банковской экспертизы и отечественного происхождения. Эти факторы выделяют Face2 среди конкурентов, зафиксированных в таблице 2.2.6 (VisionLabs, OVISION, Сбер), и формируют основу для отраслевых ценностных предложений из таблицы 3.1.2. Графически целевая позиция Face2 относительно конкурентов в осях «регуляторно-правовой капитал — независимая верификация точности» с учётом масштаба банковской/инфраструктурной экосистемы (размер маркера) представлена на рисунке 3.1.1.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![Карта позиционирования Face2 и ключевых конкурентов](figures/fig_3_1_1_positioning.svg)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Источник: построено автором по данным таблиц 2.2.5, 2.2.6, [27; 26, с. 17, 33; 35; 38; 40; 41]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Рис. 3.1.1. Карта позиционирования Face2 и ключевых конкурентов на российском рынке биометрии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Карта на рисунке 3.1.1 показывает, что текущая позиция Face2 расположена в правом нижнем квадранте «сильная регуляторика — слабая независимая верификация»; ближайший по координатам конкурент — OVISION, но он не имеет банковской экосистемы. Стратегическая цель — сместить позицию Face2 в верхний правый квадрант через получение независимой международной верификации (NIST FRTE, iBeta Level 2), сохранив масштаб банковской экосистемы и регуляторный капитал. Это смещение реализуется мероприятиями подраздела 3.2.4 (план сертификации) и закрывает доказательный пробел 4 таблицы 2.3.5.</w:t>
      </w:r>
    </w:p>
    <w:p>
      <w:pPr>
        <w:keepNext/>
        <w:keepLines/>
        <w:spacing w:before="200" w:after="120" w:line="360" w:lineRule="auto"/>
        <w:jc w:val="center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b/>
          <w:bCs/>
          <w:color w:val="000000"/>
          <w:sz w:val="28"/>
          <w:szCs w:val="28"/>
          <w:lang w:val="ru-RU"/>
        </w:rPr>
        <w:t xml:space="preserve">3.1.5. Обоснование выбранного типа стратегии продвижения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Из четырёх альтернативных типов стратегии (push, pull, интегрированная, партнёрская — § 1.2) для Face2 выбирается интегрированная push-pull-стратегия с асимметричным усилением pull-контура на втором уровне продаж и сохранением сильного push-контура на первом. Чисто push-стратегия лишь усиливает уже сильный контур и не закрывает канальный, географический и конверсионный пробелы; чисто pull-стратегия требует ресурсов уровня Сбера и не учитывает первичности B2B-согласований для биометрии (параграф 1.3); партнёрская стратегия у Face2 уже работает и не снимает асимметрию.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Развилка по уровням продаж: на первом уровне (КБС под ключ аккредитованным операторам) сохраняется push-контур с длительным циклом согласований и персональными продажами; на втором уровне (Face2Pay, Face2Pass, Face2Check-in) разворачивается pull-контур через цифровые каналы, контент-маркетинг и работу с ранними последователями. Такая конфигурация конвертирует уже накопленный институциональный капитал банка (регуляторное преимущество, стаж в ЕБС с 2018 года, банковская экосистема, более 10 млн пользователей ЕБС [27; 32; 39]) в массовое сообщение и массовый канал без размывания регуляторного позиционирования и без инвестиций в собственный B2C-маркетинг федерального масштаба.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Вывод по параграфу 3.1. Стратегия продвижения Face2 на горизонте 2026–2028 годов — интегрированная push-pull-стратегия с асимметричным усилением pull-контура на втором уровне продаж. Она закрывает три кластера пробелов таблицы 2.3.5, опирается на сильные стороны Face2 по таблице 2.2.6 и нацелена на трёхкратное увеличение подтверждённых внешних внедрений к базе 2025 года при доведении доли pull-канала до уровня, сопоставимого с push. Слоган-якорь «Биометрия по закону, банковский уровень доверия» переводит регуляторный капитал в массовое сообщение. Содержательное наполнение разрабатывается в параграфе 3.2, проверка эффективности — в параграфе 3.3.</w:t>
      </w:r>
    </w:p>
    <w:p>
      <w:pPr>
        <w:keepNext/>
        <w:keepLines/>
        <w:spacing w:before="200" w:after="120" w:line="360" w:lineRule="auto"/>
        <w:jc w:val="center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b/>
          <w:bCs/>
          <w:color w:val="000000"/>
          <w:sz w:val="28"/>
          <w:szCs w:val="28"/>
          <w:lang w:val="ru-RU"/>
        </w:rPr>
        <w:t xml:space="preserve">3.2. Разработка комплекса маркетинговых мероприятий по продвижению Face2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Настоящий параграф переводит стратегические направления, сегментирование и позиционирование, обоснованные в параграфе 3.1, в комплекс конкретных мероприятий по логике «направления → офферы → каналы → контент и PR → этапы внедрения → бюджет» [18, с. 5; 8, с. 412; 10, с. 156]. Каждое мероприятие имеет адресный пробел из таблицы 2.3.5, который оно закрывает, и адресную задачу из таблицы 3.1.1, которую оно решает.</w:t>
      </w:r>
    </w:p>
    <w:p>
      <w:pPr>
        <w:keepNext/>
        <w:keepLines/>
        <w:spacing w:before="200" w:after="120" w:line="360" w:lineRule="auto"/>
        <w:jc w:val="center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b/>
          <w:bCs/>
          <w:color w:val="000000"/>
          <w:sz w:val="28"/>
          <w:szCs w:val="28"/>
          <w:lang w:val="ru-RU"/>
        </w:rPr>
        <w:t xml:space="preserve">3.2.1. Стратегические направления продвижения по сегментам и уровням продаж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Двухуровневая модель продаж Face2 (таблица 2.1.4) предполагает, что стратегические направления не могут быть едиными для всех сегментов: длительный цикл КБС-проектов уровня 1 несовместим с массовой коммуникацией, а транзакционная экономика подключений уровня 2 — с режимом единичных персональных продаж [27; 28; 29]. Выделяются три направления продвижения — А (push в B2B длинного цикла, уровень 1), Б (pull в B2B/B2G короткого цикла, уровень 2) и В (B2C-слой как подложка к уровню 2, реализующий теорию диффузии Э. Роджерса для ранних последователей и раннего большинства [14, с. 156, 161]). Сводная характеристика дана в таблице 3.2.1.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Таблица 3.2.1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Стратегические направления продвижения Face2 по сегментам и уровням продаж</w:t>
      </w:r>
    </w:p>
    <w:tbl>
      <w:tblPr>
        <w:tblW w:w="963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94"/>
        <w:gridCol w:w="1583"/>
        <w:gridCol w:w="2065"/>
        <w:gridCol w:w="963"/>
        <w:gridCol w:w="1239"/>
        <w:gridCol w:w="2065"/>
        <w:gridCol w:w="826"/>
      </w:tblGrid>
      <w:tr>
        <w:trPr>
          <w:tblHeader/>
          <w:cantSplit/>
        </w:trPr>
        <w:tc>
          <w:tcPr>
            <w:tcW w:w="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Направление</w:t>
            </w:r>
          </w:p>
        </w:tc>
        <w:tc>
          <w:tcPr>
            <w:tcW w:w="15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Уровень продаж</w:t>
            </w:r>
          </w:p>
        </w:tc>
        <w:tc>
          <w:tcPr>
            <w:tcW w:w="2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Аудитория</w:t>
            </w:r>
          </w:p>
        </w:tc>
        <w:tc>
          <w:tcPr>
            <w:tcW w:w="9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Цикл сделки</w:t>
            </w:r>
          </w:p>
        </w:tc>
        <w:tc>
          <w:tcPr>
            <w:tcW w:w="12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Тип коммуникации</w:t>
            </w:r>
          </w:p>
        </w:tc>
        <w:tc>
          <w:tcPr>
            <w:tcW w:w="2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Точки входа в воронку</w:t>
            </w:r>
          </w:p>
        </w:tc>
        <w:tc>
          <w:tcPr>
            <w:tcW w:w="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Закрываемые задачи 3.1.1</w:t>
            </w:r>
          </w:p>
        </w:tc>
      </w:tr>
      <w:tr>
        <w:trPr>
          <w:cantSplit/>
        </w:trPr>
        <w:tc>
          <w:tcPr>
            <w:tcW w:w="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А. B2B длинного цикла</w:t>
            </w:r>
          </w:p>
        </w:tc>
        <w:tc>
          <w:tcPr>
            <w:tcW w:w="15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Уровень 1 (КБС под ключ)</w:t>
            </w:r>
          </w:p>
        </w:tc>
        <w:tc>
          <w:tcPr>
            <w:tcW w:w="2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Банки, МФО, госструктуры федерального и регионального уровня, крупные корпорации</w:t>
            </w:r>
          </w:p>
        </w:tc>
        <w:tc>
          <w:tcPr>
            <w:tcW w:w="9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1–4 квартала</w:t>
            </w:r>
          </w:p>
        </w:tc>
        <w:tc>
          <w:tcPr>
            <w:tcW w:w="12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Push + партнёрская</w:t>
            </w:r>
          </w:p>
        </w:tc>
        <w:tc>
          <w:tcPr>
            <w:tcW w:w="2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Персональные продажи, отраслевые конференции, экспертные публикации, демо-зона АББ</w:t>
            </w:r>
          </w:p>
        </w:tc>
        <w:tc>
          <w:tcPr>
            <w:tcW w:w="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а), в), д)</w:t>
            </w:r>
          </w:p>
        </w:tc>
      </w:tr>
      <w:tr>
        <w:trPr>
          <w:cantSplit/>
        </w:trPr>
        <w:tc>
          <w:tcPr>
            <w:tcW w:w="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Б. B2B/B2G короткого цикла</w:t>
            </w:r>
          </w:p>
        </w:tc>
        <w:tc>
          <w:tcPr>
            <w:tcW w:w="15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Уровень 2 (Face2Pay, Face2Pass, Face2Check-in)</w:t>
            </w:r>
          </w:p>
        </w:tc>
        <w:tc>
          <w:tcPr>
            <w:tcW w:w="2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Ритейл, вендинг, транспорт, БЦ, вузы, гостиницы, промпредприятия, аэропорты, спортивные объекты</w:t>
            </w:r>
          </w:p>
        </w:tc>
        <w:tc>
          <w:tcPr>
            <w:tcW w:w="9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2–8 недель</w:t>
            </w:r>
          </w:p>
        </w:tc>
        <w:tc>
          <w:tcPr>
            <w:tcW w:w="12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Pull + типовое отраслевое предложение</w:t>
            </w:r>
          </w:p>
        </w:tc>
        <w:tc>
          <w:tcPr>
            <w:tcW w:w="2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Цифровые каналы, партнёрские маркетплейсы, CTA-механика на face2.ru</w:t>
            </w:r>
          </w:p>
        </w:tc>
        <w:tc>
          <w:tcPr>
            <w:tcW w:w="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б), г), е)</w:t>
            </w:r>
          </w:p>
        </w:tc>
      </w:tr>
      <w:tr>
        <w:trPr>
          <w:cantSplit/>
        </w:trPr>
        <w:tc>
          <w:tcPr>
            <w:tcW w:w="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В. B2C-слой</w:t>
            </w:r>
          </w:p>
        </w:tc>
        <w:tc>
          <w:tcPr>
            <w:tcW w:w="15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Подложка к уровню 2</w:t>
            </w:r>
          </w:p>
        </w:tc>
        <w:tc>
          <w:tcPr>
            <w:tcW w:w="2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Конечные пользователи Face2Pay, Face2Check-in, Face2Pass</w:t>
            </w:r>
          </w:p>
        </w:tc>
        <w:tc>
          <w:tcPr>
            <w:tcW w:w="9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Транзакция (секунды — минуты)</w:t>
            </w:r>
          </w:p>
        </w:tc>
        <w:tc>
          <w:tcPr>
            <w:tcW w:w="12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Pull + точка контакта</w:t>
            </w:r>
          </w:p>
        </w:tc>
        <w:tc>
          <w:tcPr>
            <w:tcW w:w="2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Терминал, приложение АБО, «Карта жителя РТ», массовые СМИ</w:t>
            </w:r>
          </w:p>
        </w:tc>
        <w:tc>
          <w:tcPr>
            <w:tcW w:w="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в), г), ё)</w:t>
            </w:r>
          </w:p>
        </w:tc>
      </w:tr>
    </w:tbl>
    <w:p>
      <w:pPr>
        <w:spacing w:before="0" w:after="0" w:line="240" w:lineRule="auto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Источник: составлено автором на основе таблиц 2.1.4, 3.1.1, 3.1.2, [11, с. 567; 16, с. 48; 24, с. 106; 6, с. 87; 8, с. 567; 10, с. 198; 14, с. 156, 161]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Три направления закрывают разные кластеры пробелов 2.3.5: А и Б — канальный (разведение push/pull по уровням продаж), Б и В — сегментный (гостиничный, возрастная верификация, B2C) и географический (выход за пределы Республики Татарстан через цифровые каналы и массовые СМИ).</w:t>
      </w:r>
    </w:p>
    <w:p>
      <w:pPr>
        <w:keepNext/>
        <w:keepLines/>
        <w:spacing w:before="200" w:after="120" w:line="360" w:lineRule="auto"/>
        <w:jc w:val="center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b/>
          <w:bCs/>
          <w:color w:val="000000"/>
          <w:sz w:val="28"/>
          <w:szCs w:val="28"/>
          <w:lang w:val="ru-RU"/>
        </w:rPr>
        <w:t xml:space="preserve">3.2.2. Отраслевые офферы для целевых сегментов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Принцип «один сегмент — одно ценностное предложение» [5, с. 124; 8, с. 318] требует от стратегии Face2 матрицы из шести офферов с собственным ценностным предложением, ключевым сообщением, количественной аргументацией и форматом коммерческого предложения для каждого сегмента из таблицы 3.1.2. Это закрывает контентный пробел 2 (регуляторный капитал переводится в массовое сообщение раздельно по сегментам) и сегментный пробел 3 таблицы 2.3.5.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Таблица 3.2.2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Отраслевые офферы Face2 для шести приоритетных сегментов</w:t>
      </w:r>
    </w:p>
    <w:tbl>
      <w:tblPr>
        <w:tblW w:w="963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109"/>
        <w:gridCol w:w="2080"/>
        <w:gridCol w:w="2010"/>
        <w:gridCol w:w="2080"/>
        <w:gridCol w:w="1525"/>
        <w:gridCol w:w="832"/>
      </w:tblGrid>
      <w:tr>
        <w:trPr>
          <w:tblHeader/>
          <w:cantSplit/>
        </w:trPr>
        <w:tc>
          <w:tcPr>
            <w:tcW w:w="1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Сегмент</w:t>
            </w:r>
          </w:p>
        </w:tc>
        <w:tc>
          <w:tcPr>
            <w:tcW w:w="2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Ценностное предложение</w:t>
            </w:r>
          </w:p>
        </w:tc>
        <w:tc>
          <w:tcPr>
            <w:tcW w:w="2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Ключевое сообщение</w:t>
            </w:r>
          </w:p>
        </w:tc>
        <w:tc>
          <w:tcPr>
            <w:tcW w:w="2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Количественные аргументы</w:t>
            </w:r>
          </w:p>
        </w:tc>
        <w:tc>
          <w:tcPr>
            <w:tcW w:w="1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Формат КП</w:t>
            </w:r>
          </w:p>
        </w:tc>
        <w:tc>
          <w:tcPr>
            <w:tcW w:w="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Закрываемые пробелы 2.3.5</w:t>
            </w:r>
          </w:p>
        </w:tc>
      </w:tr>
      <w:tr>
        <w:trPr>
          <w:cantSplit/>
        </w:trPr>
        <w:tc>
          <w:tcPr>
            <w:tcW w:w="1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Банки и МФО</w:t>
            </w:r>
          </w:p>
        </w:tc>
        <w:tc>
          <w:tcPr>
            <w:tcW w:w="2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КБС под ключ от регионального банка с банковской экспертизой</w:t>
            </w:r>
          </w:p>
        </w:tc>
        <w:tc>
          <w:tcPr>
            <w:tcW w:w="2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«Безопасность и соответствие 572-ФЗ»</w:t>
            </w:r>
          </w:p>
        </w:tc>
        <w:tc>
          <w:tcPr>
            <w:tcW w:w="2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Одна из 16 аккредитованных КБС в РФ; стаж в ЕБС с 2018 г.; 5 тыс. сотрудников и 200 биотерминалов; № 101 в перечне Банка России</w:t>
            </w:r>
          </w:p>
        </w:tc>
        <w:tc>
          <w:tcPr>
            <w:tcW w:w="1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Экспертная встреча + RFP + демо + ТЭО</w:t>
            </w:r>
          </w:p>
        </w:tc>
        <w:tc>
          <w:tcPr>
            <w:tcW w:w="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2, 5</w:t>
            </w:r>
          </w:p>
        </w:tc>
      </w:tr>
      <w:tr>
        <w:trPr>
          <w:cantSplit/>
        </w:trPr>
        <w:tc>
          <w:tcPr>
            <w:tcW w:w="1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Ритейл и вендинг</w:t>
            </w:r>
          </w:p>
        </w:tc>
        <w:tc>
          <w:tcPr>
            <w:tcW w:w="2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Биоэквайринг и возрастная верификация без аккредитации заказчика</w:t>
            </w:r>
          </w:p>
        </w:tc>
        <w:tc>
          <w:tcPr>
            <w:tcW w:w="2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«Платёж лицом — быстрее, чем картой и QR»</w:t>
            </w:r>
          </w:p>
        </w:tc>
        <w:tc>
          <w:tcPr>
            <w:tcW w:w="2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770 руб. среднего чека; 145,9 млн платежей в РФ за 9 мес. 2025 г.</w:t>
            </w:r>
          </w:p>
        </w:tc>
        <w:tc>
          <w:tcPr>
            <w:tcW w:w="1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Типовое КП + онлайн-заявка</w:t>
            </w:r>
          </w:p>
        </w:tc>
        <w:tc>
          <w:tcPr>
            <w:tcW w:w="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3, 6</w:t>
            </w:r>
          </w:p>
        </w:tc>
      </w:tr>
      <w:tr>
        <w:trPr>
          <w:cantSplit/>
        </w:trPr>
        <w:tc>
          <w:tcPr>
            <w:tcW w:w="1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Транспорт</w:t>
            </w:r>
          </w:p>
        </w:tc>
        <w:tc>
          <w:tcPr>
            <w:tcW w:w="2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Оплата проезда лицом — кейс Казанского метро</w:t>
            </w:r>
          </w:p>
        </w:tc>
        <w:tc>
          <w:tcPr>
            <w:tcW w:w="2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«Уже работает в одной из крупнейших транспортных систем РФ»</w:t>
            </w:r>
          </w:p>
        </w:tc>
        <w:tc>
          <w:tcPr>
            <w:tcW w:w="2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Партнёрство с Минцифры, Минтрансом, ЦБТ, НСПК; 145,9 млн платежей</w:t>
            </w:r>
          </w:p>
        </w:tc>
        <w:tc>
          <w:tcPr>
            <w:tcW w:w="1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Пилот с региональным оператором и Минтрансом</w:t>
            </w:r>
          </w:p>
        </w:tc>
        <w:tc>
          <w:tcPr>
            <w:tcW w:w="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3, 4</w:t>
            </w:r>
          </w:p>
        </w:tc>
      </w:tr>
      <w:tr>
        <w:trPr>
          <w:cantSplit/>
        </w:trPr>
        <w:tc>
          <w:tcPr>
            <w:tcW w:w="1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Гостиницы, массовые объекты</w:t>
            </w:r>
          </w:p>
        </w:tc>
        <w:tc>
          <w:tcPr>
            <w:tcW w:w="2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Заселение и проход без паспорта по вектору ЕБС</w:t>
            </w:r>
          </w:p>
        </w:tc>
        <w:tc>
          <w:tcPr>
            <w:tcW w:w="2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«50+ млн векторов полезной базы ЕБС — ваши гости тоже»</w:t>
            </w:r>
          </w:p>
        </w:tc>
        <w:tc>
          <w:tcPr>
            <w:tcW w:w="2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119 млн векторов в ГИС ЕБС на 31.12.2025; полезная база &gt; 50 млн; десятикратный рост за 2024–2025 гг.; сокращение времени заселения</w:t>
            </w:r>
          </w:p>
        </w:tc>
        <w:tc>
          <w:tcPr>
            <w:tcW w:w="1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Типовое КП</w:t>
            </w:r>
          </w:p>
        </w:tc>
        <w:tc>
          <w:tcPr>
            <w:tcW w:w="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3, 8</w:t>
            </w:r>
          </w:p>
        </w:tc>
      </w:tr>
      <w:tr>
        <w:trPr>
          <w:cantSplit/>
        </w:trPr>
        <w:tc>
          <w:tcPr>
            <w:tcW w:w="1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Промпредприятия, БЦ, вузы</w:t>
            </w:r>
          </w:p>
        </w:tc>
        <w:tc>
          <w:tcPr>
            <w:tcW w:w="2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СКУД на лицах через ЕБС</w:t>
            </w:r>
          </w:p>
        </w:tc>
        <w:tc>
          <w:tcPr>
            <w:tcW w:w="2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«Карты и пропуска можно списать»</w:t>
            </w:r>
          </w:p>
        </w:tc>
        <w:tc>
          <w:tcPr>
            <w:tcW w:w="2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Внутренний кейс АББ; снижение операционных рисков</w:t>
            </w:r>
          </w:p>
        </w:tc>
        <w:tc>
          <w:tcPr>
            <w:tcW w:w="1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Типовое КП + опц. пилот</w:t>
            </w:r>
          </w:p>
        </w:tc>
        <w:tc>
          <w:tcPr>
            <w:tcW w:w="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3, 7</w:t>
            </w:r>
          </w:p>
        </w:tc>
      </w:tr>
      <w:tr>
        <w:trPr>
          <w:cantSplit/>
        </w:trPr>
        <w:tc>
          <w:tcPr>
            <w:tcW w:w="1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Госучреждения, МФЦ</w:t>
            </w:r>
          </w:p>
        </w:tc>
        <w:tc>
          <w:tcPr>
            <w:tcW w:w="2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Идентификация граждан без документов</w:t>
            </w:r>
          </w:p>
        </w:tc>
        <w:tc>
          <w:tcPr>
            <w:tcW w:w="2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«Цифровизация без потери юридической силы»</w:t>
            </w:r>
          </w:p>
        </w:tc>
        <w:tc>
          <w:tcPr>
            <w:tcW w:w="2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450 131 «Карта жителя РТ»; 5-уровневый регуляторный контур</w:t>
            </w:r>
          </w:p>
        </w:tc>
        <w:tc>
          <w:tcPr>
            <w:tcW w:w="1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Пилот в субъекте → тиражирование</w:t>
            </w:r>
          </w:p>
        </w:tc>
        <w:tc>
          <w:tcPr>
            <w:tcW w:w="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3, 4, 8</w:t>
            </w:r>
          </w:p>
        </w:tc>
      </w:tr>
    </w:tbl>
    <w:p>
      <w:pPr>
        <w:spacing w:before="0" w:after="0" w:line="240" w:lineRule="auto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Источник: составлено автором на основе таблиц 2.2.2, 3.1.2, [5, с. 124; 8, с. 318; 27; 26, с. 29, 33; 35; 32; 39; 37; 34; 28; 29], а также по предоставленным компанией данным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Матрица решает три задачи: переводит регуляторный капитал в шесть сообщений, понятных операционному менеджменту конкретных сегментов; фиксирует количественную доказательную базу для каждого оффера; дифференцирует формат КП — от экспертной встречи с RFP в банковском сегменте до онлайн-заявки в ритейле.</w:t>
      </w:r>
    </w:p>
    <w:p>
      <w:pPr>
        <w:keepNext/>
        <w:keepLines/>
        <w:spacing w:before="200" w:after="120" w:line="360" w:lineRule="auto"/>
        <w:jc w:val="center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b/>
          <w:bCs/>
          <w:color w:val="000000"/>
          <w:sz w:val="28"/>
          <w:szCs w:val="28"/>
          <w:lang w:val="ru-RU"/>
        </w:rPr>
        <w:t xml:space="preserve">3.2.3. Каналы продвижения продукта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Канальная структура Face2 формируется как ответ на канальный (1), географический (8) и конверсионный (6) пробелы таблицы 2.3.5. Принципиальное решение — сохранение сильного push-контура (внутренний контур банка, партнёрские каналы федерального уровня, демонстрационные каналы в Республике Татарстан, инвентаризированные в таблице 2.3.2) и достройка pull-контура за счёт четырёх канальных групп: цифровых каналов, экспертных офлайн-каналов, партнёрских каналов и банковской экосистемы как самостоятельного канала. Целевая структура представлена в таблице 3.2.3.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Таблица 3.2.3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Целевая канальная структура продвижения Face2</w:t>
      </w:r>
    </w:p>
    <w:tbl>
      <w:tblPr>
        <w:tblW w:w="963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753"/>
        <w:gridCol w:w="2888"/>
        <w:gridCol w:w="662"/>
        <w:gridCol w:w="1547"/>
        <w:gridCol w:w="1547"/>
        <w:gridCol w:w="1237"/>
      </w:tblGrid>
      <w:tr>
        <w:trPr>
          <w:tblHeader/>
          <w:cantSplit/>
        </w:trPr>
        <w:tc>
          <w:tcPr>
            <w:tcW w:w="17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Группа каналов</w:t>
            </w:r>
          </w:p>
        </w:tc>
        <w:tc>
          <w:tcPr>
            <w:tcW w:w="28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Канал</w:t>
            </w:r>
          </w:p>
        </w:tc>
        <w:tc>
          <w:tcPr>
            <w:tcW w:w="6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Тип</w:t>
            </w:r>
          </w:p>
        </w:tc>
        <w:tc>
          <w:tcPr>
            <w:tcW w:w="1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Обслуживаемое направление 3.2.1</w:t>
            </w:r>
          </w:p>
        </w:tc>
        <w:tc>
          <w:tcPr>
            <w:tcW w:w="1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Этап воронки</w:t>
            </w:r>
          </w:p>
        </w:tc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Закрываемый пробел 2.3.5</w:t>
            </w:r>
          </w:p>
        </w:tc>
      </w:tr>
      <w:tr>
        <w:trPr>
          <w:cantSplit/>
        </w:trPr>
        <w:tc>
          <w:tcPr>
            <w:tcW w:w="17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Цифровые</w:t>
            </w:r>
          </w:p>
        </w:tc>
        <w:tc>
          <w:tcPr>
            <w:tcW w:w="28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face2.ru с CTA-механикой</w:t>
            </w:r>
          </w:p>
        </w:tc>
        <w:tc>
          <w:tcPr>
            <w:tcW w:w="6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Pull</w:t>
            </w:r>
          </w:p>
        </w:tc>
        <w:tc>
          <w:tcPr>
            <w:tcW w:w="1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Б, В</w:t>
            </w:r>
          </w:p>
        </w:tc>
        <w:tc>
          <w:tcPr>
            <w:tcW w:w="1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Интерес → Доверие → Пилот</w:t>
            </w:r>
          </w:p>
        </w:tc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1, 6</w:t>
            </w:r>
          </w:p>
        </w:tc>
      </w:tr>
      <w:tr>
        <w:trPr>
          <w:cantSplit/>
        </w:trPr>
        <w:tc>
          <w:tcPr>
            <w:tcW w:w="17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Цифровые</w:t>
            </w:r>
          </w:p>
        </w:tc>
        <w:tc>
          <w:tcPr>
            <w:tcW w:w="28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Контекстная реклама в «Яндексе»</w:t>
            </w:r>
          </w:p>
        </w:tc>
        <w:tc>
          <w:tcPr>
            <w:tcW w:w="6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Pull</w:t>
            </w:r>
          </w:p>
        </w:tc>
        <w:tc>
          <w:tcPr>
            <w:tcW w:w="1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Б</w:t>
            </w:r>
          </w:p>
        </w:tc>
        <w:tc>
          <w:tcPr>
            <w:tcW w:w="1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Осведомлённость → Интерес</w:t>
            </w:r>
          </w:p>
        </w:tc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1</w:t>
            </w:r>
          </w:p>
        </w:tc>
      </w:tr>
      <w:tr>
        <w:trPr>
          <w:cantSplit/>
        </w:trPr>
        <w:tc>
          <w:tcPr>
            <w:tcW w:w="17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Цифровые</w:t>
            </w:r>
          </w:p>
        </w:tc>
        <w:tc>
          <w:tcPr>
            <w:tcW w:w="28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Соцсети Face2 (Telegram, ВКонтакте, Habr)</w:t>
            </w:r>
          </w:p>
        </w:tc>
        <w:tc>
          <w:tcPr>
            <w:tcW w:w="6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Pull</w:t>
            </w:r>
          </w:p>
        </w:tc>
        <w:tc>
          <w:tcPr>
            <w:tcW w:w="1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А, Б, В</w:t>
            </w:r>
          </w:p>
        </w:tc>
        <w:tc>
          <w:tcPr>
            <w:tcW w:w="1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Осведомлённость → Доверие</w:t>
            </w:r>
          </w:p>
        </w:tc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1, 2, 5</w:t>
            </w:r>
          </w:p>
        </w:tc>
      </w:tr>
      <w:tr>
        <w:trPr>
          <w:cantSplit/>
        </w:trPr>
        <w:tc>
          <w:tcPr>
            <w:tcW w:w="17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Цифровые</w:t>
            </w:r>
          </w:p>
        </w:tc>
        <w:tc>
          <w:tcPr>
            <w:tcW w:w="28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Email-маркетинг</w:t>
            </w:r>
          </w:p>
        </w:tc>
        <w:tc>
          <w:tcPr>
            <w:tcW w:w="6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Pull</w:t>
            </w:r>
          </w:p>
        </w:tc>
        <w:tc>
          <w:tcPr>
            <w:tcW w:w="1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А, Б</w:t>
            </w:r>
          </w:p>
        </w:tc>
        <w:tc>
          <w:tcPr>
            <w:tcW w:w="1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Интерес → Доверие</w:t>
            </w:r>
          </w:p>
        </w:tc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1, 7</w:t>
            </w:r>
          </w:p>
        </w:tc>
      </w:tr>
      <w:tr>
        <w:trPr>
          <w:cantSplit/>
        </w:trPr>
        <w:tc>
          <w:tcPr>
            <w:tcW w:w="17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Офлайн-экспертные</w:t>
            </w:r>
          </w:p>
        </w:tc>
        <w:tc>
          <w:tcPr>
            <w:tcW w:w="28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Отраслевые конференции (FINOPOLIS, CIPR и др.)</w:t>
            </w:r>
          </w:p>
        </w:tc>
        <w:tc>
          <w:tcPr>
            <w:tcW w:w="6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Push</w:t>
            </w:r>
          </w:p>
        </w:tc>
        <w:tc>
          <w:tcPr>
            <w:tcW w:w="1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А</w:t>
            </w:r>
          </w:p>
        </w:tc>
        <w:tc>
          <w:tcPr>
            <w:tcW w:w="1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Доверие → Пилот</w:t>
            </w:r>
          </w:p>
        </w:tc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сохранение push</w:t>
            </w:r>
          </w:p>
        </w:tc>
      </w:tr>
      <w:tr>
        <w:trPr>
          <w:cantSplit/>
        </w:trPr>
        <w:tc>
          <w:tcPr>
            <w:tcW w:w="17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Офлайн-экспертные</w:t>
            </w:r>
          </w:p>
        </w:tc>
        <w:tc>
          <w:tcPr>
            <w:tcW w:w="28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Демонстрационная зона АББ</w:t>
            </w:r>
          </w:p>
        </w:tc>
        <w:tc>
          <w:tcPr>
            <w:tcW w:w="6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Push</w:t>
            </w:r>
          </w:p>
        </w:tc>
        <w:tc>
          <w:tcPr>
            <w:tcW w:w="1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А</w:t>
            </w:r>
          </w:p>
        </w:tc>
        <w:tc>
          <w:tcPr>
            <w:tcW w:w="1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Доверие → Пилот</w:t>
            </w:r>
          </w:p>
        </w:tc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4</w:t>
            </w:r>
          </w:p>
        </w:tc>
      </w:tr>
      <w:tr>
        <w:trPr>
          <w:cantSplit/>
        </w:trPr>
        <w:tc>
          <w:tcPr>
            <w:tcW w:w="17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Офлайн-экспертные</w:t>
            </w:r>
          </w:p>
        </w:tc>
        <w:tc>
          <w:tcPr>
            <w:tcW w:w="28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Закрытые экспертные встречи</w:t>
            </w:r>
          </w:p>
        </w:tc>
        <w:tc>
          <w:tcPr>
            <w:tcW w:w="6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Push</w:t>
            </w:r>
          </w:p>
        </w:tc>
        <w:tc>
          <w:tcPr>
            <w:tcW w:w="1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А</w:t>
            </w:r>
          </w:p>
        </w:tc>
        <w:tc>
          <w:tcPr>
            <w:tcW w:w="1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Пилот → Принятие</w:t>
            </w:r>
          </w:p>
        </w:tc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сохранение push</w:t>
            </w:r>
          </w:p>
        </w:tc>
      </w:tr>
      <w:tr>
        <w:trPr>
          <w:cantSplit/>
        </w:trPr>
        <w:tc>
          <w:tcPr>
            <w:tcW w:w="17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Партнёрские</w:t>
            </w:r>
          </w:p>
        </w:tc>
        <w:tc>
          <w:tcPr>
            <w:tcW w:w="28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Интеграторы</w:t>
            </w:r>
          </w:p>
        </w:tc>
        <w:tc>
          <w:tcPr>
            <w:tcW w:w="6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Push</w:t>
            </w:r>
          </w:p>
        </w:tc>
        <w:tc>
          <w:tcPr>
            <w:tcW w:w="1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Б</w:t>
            </w:r>
          </w:p>
        </w:tc>
        <w:tc>
          <w:tcPr>
            <w:tcW w:w="1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Интерес → Пилот</w:t>
            </w:r>
          </w:p>
        </w:tc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1</w:t>
            </w:r>
          </w:p>
        </w:tc>
      </w:tr>
      <w:tr>
        <w:trPr>
          <w:cantSplit/>
        </w:trPr>
        <w:tc>
          <w:tcPr>
            <w:tcW w:w="17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Партнёрские</w:t>
            </w:r>
          </w:p>
        </w:tc>
        <w:tc>
          <w:tcPr>
            <w:tcW w:w="28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Вендоры оборудования</w:t>
            </w:r>
          </w:p>
        </w:tc>
        <w:tc>
          <w:tcPr>
            <w:tcW w:w="6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Push</w:t>
            </w:r>
          </w:p>
        </w:tc>
        <w:tc>
          <w:tcPr>
            <w:tcW w:w="1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Б</w:t>
            </w:r>
          </w:p>
        </w:tc>
        <w:tc>
          <w:tcPr>
            <w:tcW w:w="1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Интерес → Пилот</w:t>
            </w:r>
          </w:p>
        </w:tc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1</w:t>
            </w:r>
          </w:p>
        </w:tc>
      </w:tr>
      <w:tr>
        <w:trPr>
          <w:cantSplit/>
        </w:trPr>
        <w:tc>
          <w:tcPr>
            <w:tcW w:w="17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Партнёрские</w:t>
            </w:r>
          </w:p>
        </w:tc>
        <w:tc>
          <w:tcPr>
            <w:tcW w:w="28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Государственные партнёры (Минцифры, Минтранс, ЦБТ, НСПК)</w:t>
            </w:r>
          </w:p>
        </w:tc>
        <w:tc>
          <w:tcPr>
            <w:tcW w:w="6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Push</w:t>
            </w:r>
          </w:p>
        </w:tc>
        <w:tc>
          <w:tcPr>
            <w:tcW w:w="1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А, B2G</w:t>
            </w:r>
          </w:p>
        </w:tc>
        <w:tc>
          <w:tcPr>
            <w:tcW w:w="1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Доверие → Пилот</w:t>
            </w:r>
          </w:p>
        </w:tc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4</w:t>
            </w:r>
          </w:p>
        </w:tc>
      </w:tr>
      <w:tr>
        <w:trPr>
          <w:cantSplit/>
        </w:trPr>
        <w:tc>
          <w:tcPr>
            <w:tcW w:w="17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Экосистемные</w:t>
            </w:r>
          </w:p>
        </w:tc>
        <w:tc>
          <w:tcPr>
            <w:tcW w:w="28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Мобильное приложение АБО АББ (930 тыс. пользователей)</w:t>
            </w:r>
          </w:p>
        </w:tc>
        <w:tc>
          <w:tcPr>
            <w:tcW w:w="6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Pull</w:t>
            </w:r>
          </w:p>
        </w:tc>
        <w:tc>
          <w:tcPr>
            <w:tcW w:w="1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В</w:t>
            </w:r>
          </w:p>
        </w:tc>
        <w:tc>
          <w:tcPr>
            <w:tcW w:w="1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Осведомлённость → Доверие</w:t>
            </w:r>
          </w:p>
        </w:tc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8</w:t>
            </w:r>
          </w:p>
        </w:tc>
      </w:tr>
      <w:tr>
        <w:trPr>
          <w:cantSplit/>
        </w:trPr>
        <w:tc>
          <w:tcPr>
            <w:tcW w:w="17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Экосистемные</w:t>
            </w:r>
          </w:p>
        </w:tc>
        <w:tc>
          <w:tcPr>
            <w:tcW w:w="28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«Карта жителя РТ» (450 131 карта)</w:t>
            </w:r>
          </w:p>
        </w:tc>
        <w:tc>
          <w:tcPr>
            <w:tcW w:w="6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Pull</w:t>
            </w:r>
          </w:p>
        </w:tc>
        <w:tc>
          <w:tcPr>
            <w:tcW w:w="1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В</w:t>
            </w:r>
          </w:p>
        </w:tc>
        <w:tc>
          <w:tcPr>
            <w:tcW w:w="1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Осведомлённость → Доверие</w:t>
            </w:r>
          </w:p>
        </w:tc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8</w:t>
            </w:r>
          </w:p>
        </w:tc>
      </w:tr>
      <w:tr>
        <w:trPr>
          <w:cantSplit/>
        </w:trPr>
        <w:tc>
          <w:tcPr>
            <w:tcW w:w="17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Экосистемные</w:t>
            </w:r>
          </w:p>
        </w:tc>
        <w:tc>
          <w:tcPr>
            <w:tcW w:w="28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Сеть из 166 офисов АББ</w:t>
            </w:r>
          </w:p>
        </w:tc>
        <w:tc>
          <w:tcPr>
            <w:tcW w:w="6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Pull</w:t>
            </w:r>
          </w:p>
        </w:tc>
        <w:tc>
          <w:tcPr>
            <w:tcW w:w="1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В</w:t>
            </w:r>
          </w:p>
        </w:tc>
        <w:tc>
          <w:tcPr>
            <w:tcW w:w="1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Регистрация в ЕБС</w:t>
            </w:r>
          </w:p>
        </w:tc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8</w:t>
            </w:r>
          </w:p>
        </w:tc>
      </w:tr>
    </w:tbl>
    <w:p>
      <w:pPr>
        <w:spacing w:before="0" w:after="0" w:line="240" w:lineRule="auto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Источник: составлено автором на основе шестиэтапной воронки (§ 1.2), 2.3.2, [6, с. 87; 7; 27; 26, с. 17, 29, 30–31, 33]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К существующей структуре «как есть» (таблица 2.3.2) добавляются четыре новых элемента: переоснащённый face2.ru с CTA-механикой, отдельный бренд Face2 в соцсетях, контекстная реклама под направление Б и банковская экосистема как самостоятельный канал направления В. Push-блок при этом сохраняется в полном объёме, что соответствует асимметричной интегрированной стратегии § 3.1.5.</w:t>
      </w:r>
    </w:p>
    <w:p>
      <w:pPr>
        <w:keepNext/>
        <w:keepLines/>
        <w:spacing w:before="200" w:after="120" w:line="360" w:lineRule="auto"/>
        <w:jc w:val="center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b/>
          <w:bCs/>
          <w:color w:val="000000"/>
          <w:sz w:val="28"/>
          <w:szCs w:val="28"/>
          <w:lang w:val="ru-RU"/>
        </w:rPr>
        <w:t xml:space="preserve">3.2.4. Контентная и PR-стратегия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Контентная и PR-стратегия наполняет этап «Доверие» маркетинговой воронки массовой аудиторией и синхронно закрывает три пробела аргументации таблицы 2.3.5: контентный (2) — переводом регуляторного капитала в массовое сообщение; доказательный (4) — планом независимой международной верификации точности (NIST FRTE, iBeta Level 2); пробел People (5) — формированием публичной линейки из четырёх ролей: CISO банка, юрист по № 572-ФЗ, продакт-менеджер Face2, амбассадоры из числа референс-клиентов. Контент-конвейер строится на трёх типах материалов — регуляторном, кейсовом и доказательном [1; 36; 35; 40; 37; 2; 3; 4; 28; 29]. PR-стратегия выводит размещения за пределы татарстанских изданий в деловые федеральные СМИ и отраслевые ИТ-каталоги, закрывая географический (8) и канальный (1) пробелы. Распределение мероприятий сведено в таблице 3.2.4.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Таблица 3.2.4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Контентная и PR-стратегия Face2</w:t>
      </w:r>
    </w:p>
    <w:tbl>
      <w:tblPr>
        <w:tblW w:w="963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414"/>
        <w:gridCol w:w="2387"/>
        <w:gridCol w:w="1856"/>
        <w:gridCol w:w="1503"/>
        <w:gridCol w:w="1414"/>
        <w:gridCol w:w="1061"/>
      </w:tblGrid>
      <w:tr>
        <w:trPr>
          <w:tblHeader/>
          <w:cantSplit/>
        </w:trPr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Тип активности</w:t>
            </w:r>
          </w:p>
        </w:tc>
        <w:tc>
          <w:tcPr>
            <w:tcW w:w="2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Конкретное мероприятие</w:t>
            </w:r>
          </w:p>
        </w:tc>
        <w:tc>
          <w:tcPr>
            <w:tcW w:w="1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Регулярность</w:t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Канал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Спикер</w:t>
            </w:r>
          </w:p>
        </w:tc>
        <w:tc>
          <w:tcPr>
            <w:tcW w:w="1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Закрываемый пробел 2.3.5</w:t>
            </w:r>
          </w:p>
        </w:tc>
      </w:tr>
      <w:tr>
        <w:trPr>
          <w:cantSplit/>
        </w:trPr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Контент-конвейер</w:t>
            </w:r>
          </w:p>
        </w:tc>
        <w:tc>
          <w:tcPr>
            <w:tcW w:w="2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Регуляторные обзоры (572-ФЗ, ЕБС, КБС, 420-ФЗ, 421-ФЗ)</w:t>
            </w:r>
          </w:p>
        </w:tc>
        <w:tc>
          <w:tcPr>
            <w:tcW w:w="1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2 публикации в месяц</w:t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Сайт + соцсети + email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Юрист по 572-ФЗ</w:t>
            </w:r>
          </w:p>
        </w:tc>
        <w:tc>
          <w:tcPr>
            <w:tcW w:w="1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2, 5</w:t>
            </w:r>
          </w:p>
        </w:tc>
      </w:tr>
      <w:tr>
        <w:trPr>
          <w:cantSplit/>
        </w:trPr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Контент-конвейер</w:t>
            </w:r>
          </w:p>
        </w:tc>
        <w:tc>
          <w:tcPr>
            <w:tcW w:w="2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Кейсы внедрений с расчётом эффекта</w:t>
            </w:r>
          </w:p>
        </w:tc>
        <w:tc>
          <w:tcPr>
            <w:tcW w:w="1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1 кейс в месяц</w:t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Сайт + соцсети + СМИ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Продакт-менеджер + амбассадор</w:t>
            </w:r>
          </w:p>
        </w:tc>
        <w:tc>
          <w:tcPr>
            <w:tcW w:w="1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3, 7</w:t>
            </w:r>
          </w:p>
        </w:tc>
      </w:tr>
      <w:tr>
        <w:trPr>
          <w:cantSplit/>
        </w:trPr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Контент-конвейер</w:t>
            </w:r>
          </w:p>
        </w:tc>
        <w:tc>
          <w:tcPr>
            <w:tcW w:w="2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Технические материалы (точность, спуфинг, дипфейки)</w:t>
            </w:r>
          </w:p>
        </w:tc>
        <w:tc>
          <w:tcPr>
            <w:tcW w:w="1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1 публикация в квартал</w:t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Habr + сайт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CISO + продакт-менеджер</w:t>
            </w:r>
          </w:p>
        </w:tc>
        <w:tc>
          <w:tcPr>
            <w:tcW w:w="1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4, 5</w:t>
            </w:r>
          </w:p>
        </w:tc>
      </w:tr>
      <w:tr>
        <w:trPr>
          <w:cantSplit/>
        </w:trPr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PR</w:t>
            </w:r>
          </w:p>
        </w:tc>
        <w:tc>
          <w:tcPr>
            <w:tcW w:w="2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Размещения в деловых федеральных СМИ</w:t>
            </w:r>
          </w:p>
        </w:tc>
        <w:tc>
          <w:tcPr>
            <w:tcW w:w="1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1–2 в квартал</w:t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«Ведомости», РБК, «Коммерсантъ»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Профильный спикер</w:t>
            </w:r>
          </w:p>
        </w:tc>
        <w:tc>
          <w:tcPr>
            <w:tcW w:w="1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1, 8</w:t>
            </w:r>
          </w:p>
        </w:tc>
      </w:tr>
      <w:tr>
        <w:trPr>
          <w:cantSplit/>
        </w:trPr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PR</w:t>
            </w:r>
          </w:p>
        </w:tc>
        <w:tc>
          <w:tcPr>
            <w:tcW w:w="2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Размещения в ИТ-каталогах</w:t>
            </w:r>
          </w:p>
        </w:tc>
        <w:tc>
          <w:tcPr>
            <w:tcW w:w="1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По мере выхода обновлений</w:t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TAdviser, CNews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Продакт-менеджер</w:t>
            </w:r>
          </w:p>
        </w:tc>
        <w:tc>
          <w:tcPr>
            <w:tcW w:w="1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1, 4</w:t>
            </w:r>
          </w:p>
        </w:tc>
      </w:tr>
      <w:tr>
        <w:trPr>
          <w:cantSplit/>
        </w:trPr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Сертификация</w:t>
            </w:r>
          </w:p>
        </w:tc>
        <w:tc>
          <w:tcPr>
            <w:tcW w:w="2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NIST FRTE</w:t>
            </w:r>
          </w:p>
        </w:tc>
        <w:tc>
          <w:tcPr>
            <w:tcW w:w="1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Подача заявки в фазе 1, результат в фазе 2</w:t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—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—</w:t>
            </w:r>
          </w:p>
        </w:tc>
        <w:tc>
          <w:tcPr>
            <w:tcW w:w="1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4</w:t>
            </w:r>
          </w:p>
        </w:tc>
      </w:tr>
      <w:tr>
        <w:trPr>
          <w:cantSplit/>
        </w:trPr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Сертификация</w:t>
            </w:r>
          </w:p>
        </w:tc>
        <w:tc>
          <w:tcPr>
            <w:tcW w:w="2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iBeta Level 2 (антиспуфинг)</w:t>
            </w:r>
          </w:p>
        </w:tc>
        <w:tc>
          <w:tcPr>
            <w:tcW w:w="1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Подача заявки в фазе 1, результат в фазе 2</w:t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—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—</w:t>
            </w:r>
          </w:p>
        </w:tc>
        <w:tc>
          <w:tcPr>
            <w:tcW w:w="1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4</w:t>
            </w:r>
          </w:p>
        </w:tc>
      </w:tr>
      <w:tr>
        <w:trPr>
          <w:cantSplit/>
        </w:trPr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Линейка спикеров</w:t>
            </w:r>
          </w:p>
        </w:tc>
        <w:tc>
          <w:tcPr>
            <w:tcW w:w="2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Публичные выступления на конференциях</w:t>
            </w:r>
          </w:p>
        </w:tc>
        <w:tc>
          <w:tcPr>
            <w:tcW w:w="1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4–6 в год</w:t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FINOPOLIS, CIPR, отраслевые форумы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Все четыре роли</w:t>
            </w:r>
          </w:p>
        </w:tc>
        <w:tc>
          <w:tcPr>
            <w:tcW w:w="1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5</w:t>
            </w:r>
          </w:p>
        </w:tc>
      </w:tr>
    </w:tbl>
    <w:p>
      <w:pPr>
        <w:spacing w:before="0" w:after="0" w:line="240" w:lineRule="auto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Источник: составлено автором на основе шестиэтапной воронки (§ 1.2), 2.3.3, [16, с. 43–48; 24, с. 100–110; 6, с. 87; 7; 1; 36; 35; 40; 32; 37; 2; 3; 4; 28; 29]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От существующей практики Face2 стратегия отличается тремя элементами: переходом от точечных пресс-релизов к регулярному контент-конвейеру; планом получения независимой международной верификации точности; формированием публичной линейки из четырёх спикеров вместо одного контактного менеджера. Совокупно эти элементы наполняют этап «Доверие» массовой аудиторией без размывания регуляторного позиционирования.</w:t>
      </w:r>
    </w:p>
    <w:p>
      <w:pPr>
        <w:keepNext/>
        <w:keepLines/>
        <w:spacing w:before="200" w:after="120" w:line="360" w:lineRule="auto"/>
        <w:jc w:val="center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b/>
          <w:bCs/>
          <w:color w:val="000000"/>
          <w:sz w:val="28"/>
          <w:szCs w:val="28"/>
          <w:lang w:val="ru-RU"/>
        </w:rPr>
        <w:t xml:space="preserve">3.2.5. Этапы реализации стратегии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Горизонт реализации — 36 месяцев, разделённых на три фазы. Содержательная логика по фазам сведена в таблице 3.2.5; календарный план с RACI и контрольными точками — в подразделе 3.3.4 (разделение содержательной и организационной плоскостей внедрения).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Таблица 3.2.5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Содержательная логика этапов реализации стратегии продвижения Face2</w:t>
      </w:r>
    </w:p>
    <w:tbl>
      <w:tblPr>
        <w:tblW w:w="963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21"/>
        <w:gridCol w:w="811"/>
        <w:gridCol w:w="3043"/>
        <w:gridCol w:w="1217"/>
        <w:gridCol w:w="3043"/>
      </w:tblGrid>
      <w:tr>
        <w:trPr>
          <w:tblHeader/>
          <w:cantSplit/>
        </w:trPr>
        <w:tc>
          <w:tcPr>
            <w:tcW w:w="1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Фаза</w:t>
            </w:r>
          </w:p>
        </w:tc>
        <w:tc>
          <w:tcPr>
            <w:tcW w:w="8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Горизонт</w:t>
            </w:r>
          </w:p>
        </w:tc>
        <w:tc>
          <w:tcPr>
            <w:tcW w:w="30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Содержание</w:t>
            </w:r>
          </w:p>
        </w:tc>
        <w:tc>
          <w:tcPr>
            <w:tcW w:w="1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Закрываемые пробелы 2.3.5</w:t>
            </w:r>
          </w:p>
        </w:tc>
        <w:tc>
          <w:tcPr>
            <w:tcW w:w="30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Что должно быть готово к выходу</w:t>
            </w:r>
          </w:p>
        </w:tc>
      </w:tr>
      <w:tr>
        <w:trPr>
          <w:cantSplit/>
        </w:trPr>
        <w:tc>
          <w:tcPr>
            <w:tcW w:w="1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1. Активация</w:t>
            </w:r>
          </w:p>
        </w:tc>
        <w:tc>
          <w:tcPr>
            <w:tcW w:w="8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мес. 1–6</w:t>
            </w:r>
          </w:p>
        </w:tc>
        <w:tc>
          <w:tcPr>
            <w:tcW w:w="30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CTA-сайт, контент-конвейер, линейка спикеров, заявки на NIST/iBeta, бренд в соцсетях, типовые КП</w:t>
            </w:r>
          </w:p>
        </w:tc>
        <w:tc>
          <w:tcPr>
            <w:tcW w:w="1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1 (частично), 2, 5, 6</w:t>
            </w:r>
          </w:p>
        </w:tc>
        <w:tc>
          <w:tcPr>
            <w:tcW w:w="30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Инфраструктура привлечения лидов и доказательная база в работе</w:t>
            </w:r>
          </w:p>
        </w:tc>
      </w:tr>
      <w:tr>
        <w:trPr>
          <w:cantSplit/>
        </w:trPr>
        <w:tc>
          <w:tcPr>
            <w:tcW w:w="1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2. Масштабирование</w:t>
            </w:r>
          </w:p>
        </w:tc>
        <w:tc>
          <w:tcPr>
            <w:tcW w:w="8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мес. 7–18</w:t>
            </w:r>
          </w:p>
        </w:tc>
        <w:tc>
          <w:tcPr>
            <w:tcW w:w="30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Конференции, партнёрская сеть, пилоты в трёх сегментах, экосистема как канал, размещения в СМИ</w:t>
            </w:r>
          </w:p>
        </w:tc>
        <w:tc>
          <w:tcPr>
            <w:tcW w:w="1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1, 3, 4, 8</w:t>
            </w:r>
          </w:p>
        </w:tc>
        <w:tc>
          <w:tcPr>
            <w:tcW w:w="30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Накопленная референсная база и подтверждённые сертификации</w:t>
            </w:r>
          </w:p>
        </w:tc>
      </w:tr>
      <w:tr>
        <w:trPr>
          <w:cantSplit/>
        </w:trPr>
        <w:tc>
          <w:tcPr>
            <w:tcW w:w="1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3. Закрепление</w:t>
            </w:r>
          </w:p>
        </w:tc>
        <w:tc>
          <w:tcPr>
            <w:tcW w:w="8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мес. 19–36</w:t>
            </w:r>
          </w:p>
        </w:tc>
        <w:tc>
          <w:tcPr>
            <w:tcW w:w="30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Референс-программа, расширение географии, эволюция продукта, закрепление в B2G</w:t>
            </w:r>
          </w:p>
        </w:tc>
        <w:tc>
          <w:tcPr>
            <w:tcW w:w="1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7, 8 (углубление)</w:t>
            </w:r>
          </w:p>
        </w:tc>
        <w:tc>
          <w:tcPr>
            <w:tcW w:w="30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Устойчивая узнаваемость и зрелая pull-воронка</w:t>
            </w:r>
          </w:p>
        </w:tc>
      </w:tr>
    </w:tbl>
    <w:p>
      <w:pPr>
        <w:spacing w:before="0" w:after="0" w:line="240" w:lineRule="auto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Источник: составлено автором на основе анализа подразделов 3.2.1–3.2.4 с опорой на [18, с. 5; 8, с. 412; 10, с. 156]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Закрытие восьми пробелов распределяется по фазам неравномерно: пробелы аргументации (2, 5) и инфраструктуры воронки (6) — в фазе активации; пробелы охвата (1, 3, 8) и доказательный (4) — в фазе масштабирования; лояльностный (7) — в фазе закрепления. Это распределение задаёт логику бюджета (§ 3.2.6) и системы KPI (§ 3.3): фаза 1 требует приоритетных вложений в CAPEX, фаза 2 — в OPEX, фаза 3 — поддерживающего бюджета.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Логические зависимости между фазами: CTA-механика на face2.ru (фаза 1) — вход в digital-каналы фазы 2; публичная линейка спикеров (фаза 1) — вход в PR-активности фазы 2; результаты NIST FRTE и iBeta (фаза 2) — вход в массовое позиционирование фазы 3; пилоты фазы 2 — основа референсной базы фазы 3.</w:t>
      </w:r>
    </w:p>
    <w:p>
      <w:pPr>
        <w:keepNext/>
        <w:keepLines/>
        <w:spacing w:before="200" w:after="120" w:line="360" w:lineRule="auto"/>
        <w:jc w:val="center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b/>
          <w:bCs/>
          <w:color w:val="000000"/>
          <w:sz w:val="28"/>
          <w:szCs w:val="28"/>
          <w:lang w:val="ru-RU"/>
        </w:rPr>
        <w:t xml:space="preserve">3.2.6. Бюджет мероприятий и ресурсное обеспечение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Бюджет переводит мероприятия 3.2.1–3.2.5 в плоскость затрат и формирует вход в § 3.3.2 для расчёта ROI. Структура бюджета строится по двум разрезам: тип затрат (CAPEX — разовые, OPEX — текущие) и фаза реализации. Численные значения статей сформированы по отраслевым бенчмаркам B2B-маркетинга и рыночным ставкам сертификационных лабораторий 2025–2026 годов и подлежат уточнению по данным маркетинговой и финансовой служб ПАО «Ак Барс Банк».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Таблица 3.2.6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Бюджет мероприятий стратегии продвижения Face2 по фазам реализации, млн руб.</w:t>
      </w:r>
    </w:p>
    <w:tbl>
      <w:tblPr>
        <w:tblW w:w="963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12"/>
        <w:gridCol w:w="675"/>
        <w:gridCol w:w="968"/>
        <w:gridCol w:w="1090"/>
        <w:gridCol w:w="1090"/>
        <w:gridCol w:w="968"/>
        <w:gridCol w:w="1332"/>
      </w:tblGrid>
      <w:tr>
        <w:trPr>
          <w:tblHeader/>
          <w:cantSplit/>
        </w:trPr>
        <w:tc>
          <w:tcPr>
            <w:tcW w:w="3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Статья</w:t>
            </w:r>
          </w:p>
        </w:tc>
        <w:tc>
          <w:tcPr>
            <w:tcW w:w="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Тип</w:t>
            </w:r>
          </w:p>
        </w:tc>
        <w:tc>
          <w:tcPr>
            <w:tcW w:w="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Фаза 1 (мес. 1–6)</w:t>
            </w:r>
          </w:p>
        </w:tc>
        <w:tc>
          <w:tcPr>
            <w:tcW w:w="10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Фаза 2 (мес. 7–18)</w:t>
            </w:r>
          </w:p>
        </w:tc>
        <w:tc>
          <w:tcPr>
            <w:tcW w:w="10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Фаза 3 (мес. 19–36)</w:t>
            </w:r>
          </w:p>
        </w:tc>
        <w:tc>
          <w:tcPr>
            <w:tcW w:w="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Итого за 36 мес.</w:t>
            </w: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Связь с подразделом 3.2</w:t>
            </w:r>
          </w:p>
        </w:tc>
      </w:tr>
      <w:tr>
        <w:trPr>
          <w:cantSplit/>
        </w:trPr>
        <w:tc>
          <w:tcPr>
            <w:tcW w:w="3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Переоснащение face2.ru под CTA-механику</w:t>
            </w:r>
          </w:p>
        </w:tc>
        <w:tc>
          <w:tcPr>
            <w:tcW w:w="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CAPEX</w:t>
            </w:r>
          </w:p>
        </w:tc>
        <w:tc>
          <w:tcPr>
            <w:tcW w:w="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2,5</w:t>
            </w:r>
          </w:p>
        </w:tc>
        <w:tc>
          <w:tcPr>
            <w:tcW w:w="10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—</w:t>
            </w:r>
          </w:p>
        </w:tc>
        <w:tc>
          <w:tcPr>
            <w:tcW w:w="10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—</w:t>
            </w:r>
          </w:p>
        </w:tc>
        <w:tc>
          <w:tcPr>
            <w:tcW w:w="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2,5</w:t>
            </w: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3.2.3, 3.2.4</w:t>
            </w:r>
          </w:p>
        </w:tc>
      </w:tr>
      <w:tr>
        <w:trPr>
          <w:cantSplit/>
        </w:trPr>
        <w:tc>
          <w:tcPr>
            <w:tcW w:w="3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Контентная студия (оборудование, первичная команда)</w:t>
            </w:r>
          </w:p>
        </w:tc>
        <w:tc>
          <w:tcPr>
            <w:tcW w:w="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CAPEX</w:t>
            </w:r>
          </w:p>
        </w:tc>
        <w:tc>
          <w:tcPr>
            <w:tcW w:w="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1,5</w:t>
            </w:r>
          </w:p>
        </w:tc>
        <w:tc>
          <w:tcPr>
            <w:tcW w:w="10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—</w:t>
            </w:r>
          </w:p>
        </w:tc>
        <w:tc>
          <w:tcPr>
            <w:tcW w:w="10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—</w:t>
            </w:r>
          </w:p>
        </w:tc>
        <w:tc>
          <w:tcPr>
            <w:tcW w:w="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1,5</w:t>
            </w: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3.2.4</w:t>
            </w:r>
          </w:p>
        </w:tc>
      </w:tr>
      <w:tr>
        <w:trPr>
          <w:cantSplit/>
        </w:trPr>
        <w:tc>
          <w:tcPr>
            <w:tcW w:w="3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Заявки на NIST FRTE и iBeta Level 2</w:t>
            </w:r>
          </w:p>
        </w:tc>
        <w:tc>
          <w:tcPr>
            <w:tcW w:w="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CAPEX</w:t>
            </w:r>
          </w:p>
        </w:tc>
        <w:tc>
          <w:tcPr>
            <w:tcW w:w="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3,0</w:t>
            </w:r>
          </w:p>
        </w:tc>
        <w:tc>
          <w:tcPr>
            <w:tcW w:w="10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2,0</w:t>
            </w:r>
          </w:p>
        </w:tc>
        <w:tc>
          <w:tcPr>
            <w:tcW w:w="10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—</w:t>
            </w:r>
          </w:p>
        </w:tc>
        <w:tc>
          <w:tcPr>
            <w:tcW w:w="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5,0</w:t>
            </w: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3.2.4</w:t>
            </w:r>
          </w:p>
        </w:tc>
      </w:tr>
      <w:tr>
        <w:trPr>
          <w:cantSplit/>
        </w:trPr>
        <w:tc>
          <w:tcPr>
            <w:tcW w:w="3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Демонстрационные материалы и видеокейсы</w:t>
            </w:r>
          </w:p>
        </w:tc>
        <w:tc>
          <w:tcPr>
            <w:tcW w:w="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CAPEX</w:t>
            </w:r>
          </w:p>
        </w:tc>
        <w:tc>
          <w:tcPr>
            <w:tcW w:w="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0,8</w:t>
            </w:r>
          </w:p>
        </w:tc>
        <w:tc>
          <w:tcPr>
            <w:tcW w:w="10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—</w:t>
            </w:r>
          </w:p>
        </w:tc>
        <w:tc>
          <w:tcPr>
            <w:tcW w:w="10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—</w:t>
            </w:r>
          </w:p>
        </w:tc>
        <w:tc>
          <w:tcPr>
            <w:tcW w:w="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0,8</w:t>
            </w: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3.2.1, 3.2.4</w:t>
            </w:r>
          </w:p>
        </w:tc>
      </w:tr>
      <w:tr>
        <w:trPr>
          <w:cantSplit/>
        </w:trPr>
        <w:tc>
          <w:tcPr>
            <w:tcW w:w="3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Брендинг отдельной платформы Face2</w:t>
            </w:r>
          </w:p>
        </w:tc>
        <w:tc>
          <w:tcPr>
            <w:tcW w:w="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CAPEX</w:t>
            </w:r>
          </w:p>
        </w:tc>
        <w:tc>
          <w:tcPr>
            <w:tcW w:w="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0,8</w:t>
            </w:r>
          </w:p>
        </w:tc>
        <w:tc>
          <w:tcPr>
            <w:tcW w:w="10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—</w:t>
            </w:r>
          </w:p>
        </w:tc>
        <w:tc>
          <w:tcPr>
            <w:tcW w:w="10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—</w:t>
            </w:r>
          </w:p>
        </w:tc>
        <w:tc>
          <w:tcPr>
            <w:tcW w:w="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0,8</w:t>
            </w: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3.2.3</w:t>
            </w:r>
          </w:p>
        </w:tc>
      </w:tr>
      <w:tr>
        <w:trPr>
          <w:cantSplit/>
        </w:trPr>
        <w:tc>
          <w:tcPr>
            <w:tcW w:w="3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Итого CAPEX</w:t>
            </w:r>
          </w:p>
        </w:tc>
        <w:tc>
          <w:tcPr>
            <w:tcW w:w="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×</w:t>
            </w:r>
          </w:p>
        </w:tc>
        <w:tc>
          <w:tcPr>
            <w:tcW w:w="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8,6</w:t>
            </w:r>
          </w:p>
        </w:tc>
        <w:tc>
          <w:tcPr>
            <w:tcW w:w="10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2,0</w:t>
            </w:r>
          </w:p>
        </w:tc>
        <w:tc>
          <w:tcPr>
            <w:tcW w:w="10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0,0</w:t>
            </w:r>
          </w:p>
        </w:tc>
        <w:tc>
          <w:tcPr>
            <w:tcW w:w="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10,6</w:t>
            </w: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×</w:t>
            </w:r>
          </w:p>
        </w:tc>
      </w:tr>
      <w:tr>
        <w:trPr>
          <w:cantSplit/>
        </w:trPr>
        <w:tc>
          <w:tcPr>
            <w:tcW w:w="3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Контентный конвейер (команда, гонорары)</w:t>
            </w:r>
          </w:p>
        </w:tc>
        <w:tc>
          <w:tcPr>
            <w:tcW w:w="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OPEX</w:t>
            </w:r>
          </w:p>
        </w:tc>
        <w:tc>
          <w:tcPr>
            <w:tcW w:w="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4,0</w:t>
            </w:r>
          </w:p>
        </w:tc>
        <w:tc>
          <w:tcPr>
            <w:tcW w:w="10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10,0</w:t>
            </w:r>
          </w:p>
        </w:tc>
        <w:tc>
          <w:tcPr>
            <w:tcW w:w="10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15,0</w:t>
            </w:r>
          </w:p>
        </w:tc>
        <w:tc>
          <w:tcPr>
            <w:tcW w:w="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29,0</w:t>
            </w: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3.2.4</w:t>
            </w:r>
          </w:p>
        </w:tc>
      </w:tr>
      <w:tr>
        <w:trPr>
          <w:cantSplit/>
        </w:trPr>
        <w:tc>
          <w:tcPr>
            <w:tcW w:w="3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PR-сопровождение (агентство / PR-менеджер)</w:t>
            </w:r>
          </w:p>
        </w:tc>
        <w:tc>
          <w:tcPr>
            <w:tcW w:w="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OPEX</w:t>
            </w:r>
          </w:p>
        </w:tc>
        <w:tc>
          <w:tcPr>
            <w:tcW w:w="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2,0</w:t>
            </w:r>
          </w:p>
        </w:tc>
        <w:tc>
          <w:tcPr>
            <w:tcW w:w="10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5,0</w:t>
            </w:r>
          </w:p>
        </w:tc>
        <w:tc>
          <w:tcPr>
            <w:tcW w:w="10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7,5</w:t>
            </w:r>
          </w:p>
        </w:tc>
        <w:tc>
          <w:tcPr>
            <w:tcW w:w="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14,5</w:t>
            </w: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3.2.4</w:t>
            </w:r>
          </w:p>
        </w:tc>
      </w:tr>
      <w:tr>
        <w:trPr>
          <w:cantSplit/>
        </w:trPr>
        <w:tc>
          <w:tcPr>
            <w:tcW w:w="3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Контекстная реклама в «Яндексе»</w:t>
            </w:r>
          </w:p>
        </w:tc>
        <w:tc>
          <w:tcPr>
            <w:tcW w:w="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OPEX</w:t>
            </w:r>
          </w:p>
        </w:tc>
        <w:tc>
          <w:tcPr>
            <w:tcW w:w="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1,5</w:t>
            </w:r>
          </w:p>
        </w:tc>
        <w:tc>
          <w:tcPr>
            <w:tcW w:w="10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4,0</w:t>
            </w:r>
          </w:p>
        </w:tc>
        <w:tc>
          <w:tcPr>
            <w:tcW w:w="10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6,0</w:t>
            </w:r>
          </w:p>
        </w:tc>
        <w:tc>
          <w:tcPr>
            <w:tcW w:w="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11,5</w:t>
            </w: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3.2.3</w:t>
            </w:r>
          </w:p>
        </w:tc>
      </w:tr>
      <w:tr>
        <w:trPr>
          <w:cantSplit/>
        </w:trPr>
        <w:tc>
          <w:tcPr>
            <w:tcW w:w="3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Email-маркетинг и CRM</w:t>
            </w:r>
          </w:p>
        </w:tc>
        <w:tc>
          <w:tcPr>
            <w:tcW w:w="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OPEX</w:t>
            </w:r>
          </w:p>
        </w:tc>
        <w:tc>
          <w:tcPr>
            <w:tcW w:w="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0,3</w:t>
            </w:r>
          </w:p>
        </w:tc>
        <w:tc>
          <w:tcPr>
            <w:tcW w:w="10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1,0</w:t>
            </w:r>
          </w:p>
        </w:tc>
        <w:tc>
          <w:tcPr>
            <w:tcW w:w="10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1,5</w:t>
            </w:r>
          </w:p>
        </w:tc>
        <w:tc>
          <w:tcPr>
            <w:tcW w:w="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2,8</w:t>
            </w: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3.2.3</w:t>
            </w:r>
          </w:p>
        </w:tc>
      </w:tr>
      <w:tr>
        <w:trPr>
          <w:cantSplit/>
        </w:trPr>
        <w:tc>
          <w:tcPr>
            <w:tcW w:w="3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Отраслевые конференции (стенды, спонсорство, командировки)</w:t>
            </w:r>
          </w:p>
        </w:tc>
        <w:tc>
          <w:tcPr>
            <w:tcW w:w="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OPEX</w:t>
            </w:r>
          </w:p>
        </w:tc>
        <w:tc>
          <w:tcPr>
            <w:tcW w:w="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1,5</w:t>
            </w:r>
          </w:p>
        </w:tc>
        <w:tc>
          <w:tcPr>
            <w:tcW w:w="10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5,0</w:t>
            </w:r>
          </w:p>
        </w:tc>
        <w:tc>
          <w:tcPr>
            <w:tcW w:w="10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4,0</w:t>
            </w:r>
          </w:p>
        </w:tc>
        <w:tc>
          <w:tcPr>
            <w:tcW w:w="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10,5</w:t>
            </w: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3.2.3</w:t>
            </w:r>
          </w:p>
        </w:tc>
      </w:tr>
      <w:tr>
        <w:trPr>
          <w:cantSplit/>
        </w:trPr>
        <w:tc>
          <w:tcPr>
            <w:tcW w:w="3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Партнёрская программа (комиссии интеграторов и вендоров)</w:t>
            </w:r>
          </w:p>
        </w:tc>
        <w:tc>
          <w:tcPr>
            <w:tcW w:w="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OPEX</w:t>
            </w:r>
          </w:p>
        </w:tc>
        <w:tc>
          <w:tcPr>
            <w:tcW w:w="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0,0</w:t>
            </w:r>
          </w:p>
        </w:tc>
        <w:tc>
          <w:tcPr>
            <w:tcW w:w="10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4,0</w:t>
            </w:r>
          </w:p>
        </w:tc>
        <w:tc>
          <w:tcPr>
            <w:tcW w:w="10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12,0</w:t>
            </w:r>
          </w:p>
        </w:tc>
        <w:tc>
          <w:tcPr>
            <w:tcW w:w="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16,0</w:t>
            </w: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3.2.3</w:t>
            </w:r>
          </w:p>
        </w:tc>
      </w:tr>
      <w:tr>
        <w:trPr>
          <w:cantSplit/>
        </w:trPr>
        <w:tc>
          <w:tcPr>
            <w:tcW w:w="3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SMM (редактор, дизайнер, продвижение публикаций)</w:t>
            </w:r>
          </w:p>
        </w:tc>
        <w:tc>
          <w:tcPr>
            <w:tcW w:w="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OPEX</w:t>
            </w:r>
          </w:p>
        </w:tc>
        <w:tc>
          <w:tcPr>
            <w:tcW w:w="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1,0</w:t>
            </w:r>
          </w:p>
        </w:tc>
        <w:tc>
          <w:tcPr>
            <w:tcW w:w="10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3,5</w:t>
            </w:r>
          </w:p>
        </w:tc>
        <w:tc>
          <w:tcPr>
            <w:tcW w:w="10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5,0</w:t>
            </w:r>
          </w:p>
        </w:tc>
        <w:tc>
          <w:tcPr>
            <w:tcW w:w="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9,5</w:t>
            </w: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3.2.3, 3.2.4</w:t>
            </w:r>
          </w:p>
        </w:tc>
      </w:tr>
      <w:tr>
        <w:trPr>
          <w:cantSplit/>
        </w:trPr>
        <w:tc>
          <w:tcPr>
            <w:tcW w:w="3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Референсная программа (NPS, отзывы, кейс-стади)</w:t>
            </w:r>
          </w:p>
        </w:tc>
        <w:tc>
          <w:tcPr>
            <w:tcW w:w="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OPEX</w:t>
            </w:r>
          </w:p>
        </w:tc>
        <w:tc>
          <w:tcPr>
            <w:tcW w:w="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0,0</w:t>
            </w:r>
          </w:p>
        </w:tc>
        <w:tc>
          <w:tcPr>
            <w:tcW w:w="10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0,0</w:t>
            </w:r>
          </w:p>
        </w:tc>
        <w:tc>
          <w:tcPr>
            <w:tcW w:w="10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3,0</w:t>
            </w:r>
          </w:p>
        </w:tc>
        <w:tc>
          <w:tcPr>
            <w:tcW w:w="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3,0</w:t>
            </w: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3.2.5</w:t>
            </w:r>
          </w:p>
        </w:tc>
      </w:tr>
      <w:tr>
        <w:trPr>
          <w:cantSplit/>
        </w:trPr>
        <w:tc>
          <w:tcPr>
            <w:tcW w:w="3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Итого OPEX</w:t>
            </w:r>
          </w:p>
        </w:tc>
        <w:tc>
          <w:tcPr>
            <w:tcW w:w="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×</w:t>
            </w:r>
          </w:p>
        </w:tc>
        <w:tc>
          <w:tcPr>
            <w:tcW w:w="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10,3</w:t>
            </w:r>
          </w:p>
        </w:tc>
        <w:tc>
          <w:tcPr>
            <w:tcW w:w="10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32,5</w:t>
            </w:r>
          </w:p>
        </w:tc>
        <w:tc>
          <w:tcPr>
            <w:tcW w:w="10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54,0</w:t>
            </w:r>
          </w:p>
        </w:tc>
        <w:tc>
          <w:tcPr>
            <w:tcW w:w="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96,8</w:t>
            </w: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×</w:t>
            </w:r>
          </w:p>
        </w:tc>
      </w:tr>
      <w:tr>
        <w:trPr>
          <w:cantSplit/>
        </w:trPr>
        <w:tc>
          <w:tcPr>
            <w:tcW w:w="3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Резерв (≈ 5 %)</w:t>
            </w:r>
          </w:p>
        </w:tc>
        <w:tc>
          <w:tcPr>
            <w:tcW w:w="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×</w:t>
            </w:r>
          </w:p>
        </w:tc>
        <w:tc>
          <w:tcPr>
            <w:tcW w:w="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0,9</w:t>
            </w:r>
          </w:p>
        </w:tc>
        <w:tc>
          <w:tcPr>
            <w:tcW w:w="10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1,7</w:t>
            </w:r>
          </w:p>
        </w:tc>
        <w:tc>
          <w:tcPr>
            <w:tcW w:w="10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2,7</w:t>
            </w:r>
          </w:p>
        </w:tc>
        <w:tc>
          <w:tcPr>
            <w:tcW w:w="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5,3</w:t>
            </w: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—</w:t>
            </w:r>
          </w:p>
        </w:tc>
      </w:tr>
      <w:tr>
        <w:trPr>
          <w:cantSplit/>
        </w:trPr>
        <w:tc>
          <w:tcPr>
            <w:tcW w:w="3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Итого бюджет фазы</w:t>
            </w:r>
          </w:p>
        </w:tc>
        <w:tc>
          <w:tcPr>
            <w:tcW w:w="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×</w:t>
            </w:r>
          </w:p>
        </w:tc>
        <w:tc>
          <w:tcPr>
            <w:tcW w:w="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19,8</w:t>
            </w:r>
          </w:p>
        </w:tc>
        <w:tc>
          <w:tcPr>
            <w:tcW w:w="10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36,2</w:t>
            </w:r>
          </w:p>
        </w:tc>
        <w:tc>
          <w:tcPr>
            <w:tcW w:w="10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56,7</w:t>
            </w:r>
          </w:p>
        </w:tc>
        <w:tc>
          <w:tcPr>
            <w:tcW w:w="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112,7</w:t>
            </w: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×</w:t>
            </w:r>
          </w:p>
        </w:tc>
      </w:tr>
      <w:tr>
        <w:trPr>
          <w:cantSplit/>
        </w:trPr>
        <w:tc>
          <w:tcPr>
            <w:tcW w:w="3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Кумулятивный бюджет</w:t>
            </w:r>
          </w:p>
        </w:tc>
        <w:tc>
          <w:tcPr>
            <w:tcW w:w="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×</w:t>
            </w:r>
          </w:p>
        </w:tc>
        <w:tc>
          <w:tcPr>
            <w:tcW w:w="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19,8</w:t>
            </w:r>
          </w:p>
        </w:tc>
        <w:tc>
          <w:tcPr>
            <w:tcW w:w="10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56,0</w:t>
            </w:r>
          </w:p>
        </w:tc>
        <w:tc>
          <w:tcPr>
            <w:tcW w:w="10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112,7</w:t>
            </w:r>
          </w:p>
        </w:tc>
        <w:tc>
          <w:tcPr>
            <w:tcW w:w="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×</w:t>
            </w: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—</w:t>
            </w:r>
          </w:p>
        </w:tc>
      </w:tr>
    </w:tbl>
    <w:p>
      <w:pPr>
        <w:spacing w:before="0" w:after="0" w:line="240" w:lineRule="auto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Источник: составлено автором по логике § 3.2.1–3.2.5; ставки контентной студии и PR-агентств на B2B-сегмент по среднерыночным значениям 2025–2026 гг.; стоимость заявок на NIST FRTE и iBeta Level 2 по публичным прайсам соответствующих лабораторий; численные значения подлежат уточнению маркетинговой и финансовой службами ПАО «Ак Барс Банк»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Структура расходов даёт три устойчивых наблюдения для § 3.3.2. Во-первых, фаза 1 — высокая доля CAPEX (8,6 из 19,8 млн руб., или 43 % бюджета фазы) и умеренный OPEX: запуск инфраструктуры лидов и подача заявок на сертификации концентрируются в первом полугодии. Во-вторых, фаза 2 — резкое снижение CAPEX до 2,0 млн руб. (досертификация по NIST FRTE) и трёхкратный рост OPEX до 32,5 млн руб.: обслуживание коммерческой деятельности и плотная работа всех каналов. В-третьих, фаза 3 — почти полностью OPEX (54,0 из 56,7 млн руб., или 95 %): сопровождение и наращивание партнёрской программы и референсной деятельности. Общий бюджет 36 месяцев — 112,7 млн руб. — соответствует масштабу маркетингового бюджета крупного регионального банка для одного продуктового направления и составляет менее 1 % от чистых процентных доходов АББ за 2025 год (58,1 млрд руб., таблица 2.1.1).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Вывод по параграфу 3.2. Комплекс маркетинговых мероприятий построен как операционная развёртка интегрированной push-pull-стратегии и разворачивается в шести подразделах: три направления продвижения (3.2.1), шесть отраслевых офферов (3.2.2), четыре группы каналов (3.2.3), контент и PR с линейкой из четырёх спикеров и планом независимой сертификации (3.2.4), трёхфазная логика реализации (3.2.5) и численный бюджет 112,7 млн руб. за 36 месяцев в разрезе CAPEX и OPEX по фазам (3.2.6). Восемь пробелов таблицы 2.3.5 распределены между подразделами 3.2 без пропусков и дублирования. Ожидаемый эффект — переход от точечной push-логики к интегрированной push-pull-логике, перевод регуляторного капитала в шесть отраслевых сообщений и публичную линейку спикеров, ввод банковской экосистемы (АБО — 930 тыс. пользователей, «Карта жителя РТ» — 450 131 карта, 166 офисов) как самостоятельного pull-канала. Численная оценка эффекта, KPI, риски и оргплан — в параграфе 3.3.</w:t>
      </w:r>
    </w:p>
    <w:p>
      <w:pPr>
        <w:spacing w:before="0" w:after="0" w:line="240" w:lineRule="auto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</w:p>
    <w:p>
      <w:pPr>
        <w:keepNext/>
        <w:keepLines/>
        <w:spacing w:before="200" w:after="120" w:line="360" w:lineRule="auto"/>
        <w:jc w:val="center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b/>
          <w:bCs/>
          <w:color w:val="000000"/>
          <w:sz w:val="28"/>
          <w:szCs w:val="28"/>
          <w:lang w:val="ru-RU"/>
        </w:rPr>
        <w:t xml:space="preserve">3.3. Оценка эффективности предложенной стратегии продвижения Face2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Параграф замыкает цепочку «диагноз — стратегия — проверка» и разворачивается в четыре подраздела: методика и система KPI (3.3.1), экономический эффект и ROI (3.3.2), матрица рисков (3.3.3), организационный план внедрения (3.3.4). Принципиальное методическое решение — сценарный подход к расчёту эффекта (Π/Р/О), обусловленный отсутствием публичных бенчмарков по конверсии в B2B-биометрии РФ и неопределённостью отклика рынка на pull-инструменты в первый год их применения [18, с. 5; 8, с. 412; 10, с. 156].</w:t>
      </w:r>
    </w:p>
    <w:p>
      <w:pPr>
        <w:keepNext/>
        <w:keepLines/>
        <w:spacing w:before="200" w:after="120" w:line="360" w:lineRule="auto"/>
        <w:jc w:val="center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b/>
          <w:bCs/>
          <w:color w:val="000000"/>
          <w:sz w:val="28"/>
          <w:szCs w:val="28"/>
          <w:lang w:val="ru-RU"/>
        </w:rPr>
        <w:t xml:space="preserve">3.3.1. Методика оценки эффективности стратегии и система ключевых показателей результативности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Методический контур оценки эффективности задаётся четырьмя утверждениями, фиксируемыми в начале подраздела с тем, чтобы избежать претензии о произвольности расчёта.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Первое — горизонт оценки. Стратегия оценивается на горизонте 36 месяцев, разделённом на три фазы по образцу таблицы 3.2.5: фаза активации (месяцы 1–6), фаза масштабирования (месяцы 7–18) и фаза закрепления (месяцы 19–36). Промежуточные точки контроля — окончания фаз; внутри фазы 1 предусмотрен дополнительный квартальный контроль (месяцы 3 и 6), что соответствует логике короткого цикла обратной связи на этапе запуска инфраструктуры привлечения лидов.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Второе — сценарность расчёта. Оценка выполняется в трёх сценариях — пессимистическом (Π), реалистическом (Р) и оптимистическом (О), различающихся предположениями о темпе масштабирования партнёрской сети, скорости получения независимых международных сертификаций (NIST FRTE, iBeta Level 2), конверсии посетителя face2.ru в заявку и конверсии пилотов во внедрения. Сценарность согласована с указанием на гибкость ценовой и коммуникационной стратегии в условиях неопределённости рынка [18, с. 5; 10, с. 156] и работает на снижение риска переоценки эффекта.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Третье — типология метрик. Используются четыре типа KPI, последовательно соответствующие этапам маркетинговой воронки маркетинговой воронки параграфа 1.2: метрики охвата (audience metrics) — уникальные посетители face2.ru, медиа-охват, число подписчиков отдельного бренда Face2 в социальных сетях, цитируемость в деловых СМИ; метрики вовлечения (engagement metrics) — число входящих обращений, загрузки типовых коммерческих предложений по шести сегментам, средний скоринг лидов; метрики конверсии (conversion metrics) — доля пилотных проектов от лидов, доля внедрений от пилотов, средний цикл сделки по двум уровням продаж; метрики коммерческого результата (revenue metrics) — выручка по уровням продаж из таблицы 2.1.4, средний чек подключения, ROI стратегии.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Четвёртое — методические ограничения, фиксируемые открыто. Их три. Во-первых, отсутствие публичных бенчмарков по конверсии в B2B-биометрии в Российской Федерации, что требует опоры на общеотраслевые бенчмарки B2B-маркетинга и на экспертную оценку автора с возможностью её последующего уточнения маркетинговой службой банка. Во-вторых, неопределённость отклика рынка на pull-инструменты в первый год после их запуска, что требует обязательного контроля по итогам фазы 1 с правом пересборки офферов и посадочных страниц. В-третьих, отсутствие у автора доступа к внутренним данным управленческой отчётности ПАО «Ак Барс Банк» по продажам Face2 за прошлые периоды, что требует опоры на публичные источники [27; 26; 32; 37; 34] и на бенчмарки лидеров рынка [38; 40; 41] при формировании сценарных предпосылок.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С учётом перечисленной методической рамки система KPI стратегии формируется как двумерная матрица из 18 показателей: в строках расположены три направления продвижения из таблицы 3.2.1, в столбцах — шесть этапов маркетинговой воронки § 1.2 (Осведомлённость, Интерес, Доверие, Пилот, Принятие, Лояльность). Полная развёртка матрицы KPI с описанием каждого показателя приведена в Приложении А. В основном тексте фиксируются только ключевые ориентиры реалистического сценария (Р): для метрик охвата фазы 1 целевое значение по направлению Б — 5–15 тыс. уникальных посетителей face2.ru в месяц к концу фазы (от нулевой базы pull-канала); для метрик конверсии лидов в пилоты в направлениях А и Б — 5 % в реалистическом сценарии (типовой бенчмарк B2B-маркетинга, по [6, с. 64; 7, с. 64]), 2 % в пессимистическом и 8 % в оптимистическом; для метрик конверсии пилотов во внедрения — 45 % в реалистическом, 25 % в пессимистическом и 60 % в оптимистическом. Для B2C-направления В целевые значения назначаются от текущей базы 930 тыс. пользователей мобильного приложения АБО и 450 131 действующей «Карты жителя РТ» [26, с. 17, 29].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Связь системы KPI с задачами стратегии 3.1.2 и пробелами таблицы 2.3.5 фиксируется явно: каждая из семи задач имеет адресный KPI, а каждый из восьми пробелов закрывается измеримой метрикой (канальный — долей выручки через pull-каналы с целевым ростом с нулевого уровня до 30–50 % к концу фазы 3; конверсионный — конверсией посетителя face2.ru в заявку 1,5–3 % в реалистическом сценарии; доказательный — двоичной метрикой получения сертификатов NIST FRTE и iBeta Level 2; географический — долей заявок и подключений из субъектов Российской Федерации за пределами Республики Татарстан).</w:t>
      </w:r>
    </w:p>
    <w:p>
      <w:pPr>
        <w:keepNext/>
        <w:keepLines/>
        <w:spacing w:before="200" w:after="120" w:line="360" w:lineRule="auto"/>
        <w:jc w:val="center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b/>
          <w:bCs/>
          <w:color w:val="000000"/>
          <w:sz w:val="28"/>
          <w:szCs w:val="28"/>
          <w:lang w:val="ru-RU"/>
        </w:rPr>
        <w:t xml:space="preserve">3.3.2. Оценка экономического эффекта стратегии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Оценка экономического эффекта строится как сопоставление ожидаемой выручки стратегии с её бюджетом, разнесённым в таблице 3.2.6, и выражается в показателях ROI и срока окупаемости в трёх сценариях. Структура ожидаемой выручки следует двухуровневой модели продаж Face2, введённой в таблице 2.1.4 параграфа 2.1.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Уровень 1 — продажа КБС под ключ — представлен моделью единичных крупных сделок длительного цикла. Целевые сегменты — банки и микрофинансовые организации со статусом оператора по № 115-ФЗ, государственные структуры с правом регистрации векторов в ЕБС, крупные корпорации с профильной аккредитацией. Доходность сделки складывается из лицензионных платежей за поставку программного контура КБС и платы за техническую поддержку и сопровождение. Средний чек сделки уровня 1 имеет порядок десятков миллионов рублей и принимается как сценарный параметр, опирающийся на структуру проекта КБС, описанную в технической документации Face2 [27; 28]; точное значение подлежит уточнению по данным маркетинговой службы банка.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Уровень 2 — подключение конечного объекта к КБС, размещённой у Ак Барс Банка (Face2Pay, Face2Pass, Face2Check-in) — представлен моделью массовых сделок короткого цикла с транзакционной или абонементной экономикой. Целевые сегменты — ритейл и вендинг с возрастной верификацией, транспорт, гостеприимство, СКУД промышленных предприятий, бизнес-центров и вузов. Доходность подключения складывается из разовой платы за подключение объекта и текущих транзакционных или абонементных поступлений. Средний чек подключения принимается на уровне сотен тысяч рублей, а транзакционная составляющая опирается на публичный бенчмарк среднего чека биометрического платежа по Российской Федерации (770 руб.) и на динамику биометрических операций — около 145,9 млн платежей за девять месяцев 2025 года [32; 34]. Третий уровень (B2C-слой) прямой выручки не приносит и обслуживает выручку уровня 2 через массовое использование сервисов; в численный расчёт он входит косвенно через объём транзакций уровня 2.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Сценарии различаются предпосылками: пессимистический (Π) исходит из медленного темпа масштабирования партнёрской сети, отсроченного получения сертификаций NIST FRTE и iBeta и низкой конверсии посетителя face2.ru в заявку; реалистический (Р) — из планового темпа масштабирования и получения сертификаций к концу фазы 2; оптимистический (О) — из ускоренного масштабирования, своевременного получения сертификаций и активного партнёрского отклика. Базовые параметры расчёта: средний чек сделки уровня 1 — 40 млн руб. (программный контур КБС, развёртывание, год SLA); средний чек подключения объекта уровня 2 — 0,25 млн руб.; абонементная плата объекта уровня 2 — 0,05 млн руб./мес. со второго месяца после подключения; транзакционная составляющая уровня 2 — пренебрежимая величина в сравнении с подключением и абонементом и в численный расчёт включается только в сценарии О. Сценарная развёртка выручки по двум уровням продаж и трём фазам реализации представлена в таблице 3.3.1.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Таблица 3.3.1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Сценарная развёртка ожидаемой выручки стратегии продвижения Face2 по сценариям Π / Р / О, млн руб.</w:t>
      </w:r>
    </w:p>
    <w:tbl>
      <w:tblPr>
        <w:tblW w:w="963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151"/>
        <w:gridCol w:w="1186"/>
        <w:gridCol w:w="1334"/>
        <w:gridCol w:w="1482"/>
        <w:gridCol w:w="1482"/>
      </w:tblGrid>
      <w:tr>
        <w:trPr>
          <w:tblHeader/>
          <w:cantSplit/>
        </w:trPr>
        <w:tc>
          <w:tcPr>
            <w:tcW w:w="4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Уровень продаж и параметр</w:t>
            </w:r>
          </w:p>
        </w:tc>
        <w:tc>
          <w:tcPr>
            <w:tcW w:w="1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Фаза 1 (мес. 1–6)</w:t>
            </w: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Фаза 2 (мес. 7–18)</w:t>
            </w:r>
          </w:p>
        </w:tc>
        <w:tc>
          <w:tcPr>
            <w:tcW w:w="1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Фаза 3 (мес. 19–36)</w:t>
            </w:r>
          </w:p>
        </w:tc>
        <w:tc>
          <w:tcPr>
            <w:tcW w:w="1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Итого 36 мес.</w:t>
            </w:r>
          </w:p>
        </w:tc>
      </w:tr>
      <w:tr>
        <w:trPr>
          <w:cantSplit/>
        </w:trPr>
        <w:tc>
          <w:tcPr>
            <w:tcW w:w="4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Уровень 1, число сделок КБС, шт./фаза (Π / Р / О)</w:t>
            </w:r>
          </w:p>
        </w:tc>
        <w:tc>
          <w:tcPr>
            <w:tcW w:w="1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0 / 0 / 1</w:t>
            </w: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0 / 1 / 2</w:t>
            </w:r>
          </w:p>
        </w:tc>
        <w:tc>
          <w:tcPr>
            <w:tcW w:w="1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1 / 2 / 4</w:t>
            </w:r>
          </w:p>
        </w:tc>
        <w:tc>
          <w:tcPr>
            <w:tcW w:w="1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1 / 3 / 7</w:t>
            </w:r>
          </w:p>
        </w:tc>
      </w:tr>
      <w:tr>
        <w:trPr>
          <w:cantSplit/>
        </w:trPr>
        <w:tc>
          <w:tcPr>
            <w:tcW w:w="4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Уровень 1, выручка фазы Π / Р / О, млн руб.</w:t>
            </w:r>
          </w:p>
        </w:tc>
        <w:tc>
          <w:tcPr>
            <w:tcW w:w="1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0 / 0 / 40</w:t>
            </w: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0 / 40 / 80</w:t>
            </w:r>
          </w:p>
        </w:tc>
        <w:tc>
          <w:tcPr>
            <w:tcW w:w="1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40 / 80 / 160</w:t>
            </w:r>
          </w:p>
        </w:tc>
        <w:tc>
          <w:tcPr>
            <w:tcW w:w="1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40 / 120 / 280</w:t>
            </w:r>
          </w:p>
        </w:tc>
      </w:tr>
      <w:tr>
        <w:trPr>
          <w:cantSplit/>
        </w:trPr>
        <w:tc>
          <w:tcPr>
            <w:tcW w:w="4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Уровень 2, число новых подключений, шт./фаза (Π / Р / О)</w:t>
            </w:r>
          </w:p>
        </w:tc>
        <w:tc>
          <w:tcPr>
            <w:tcW w:w="1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5 / 10 / 20</w:t>
            </w: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30 / 60 / 100</w:t>
            </w:r>
          </w:p>
        </w:tc>
        <w:tc>
          <w:tcPr>
            <w:tcW w:w="1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100 / 200 / 400</w:t>
            </w:r>
          </w:p>
        </w:tc>
        <w:tc>
          <w:tcPr>
            <w:tcW w:w="1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135 / 270 / 520</w:t>
            </w:r>
          </w:p>
        </w:tc>
      </w:tr>
      <w:tr>
        <w:trPr>
          <w:cantSplit/>
        </w:trPr>
        <w:tc>
          <w:tcPr>
            <w:tcW w:w="4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Уровень 2, выручка от подключений Π / Р / О, млн руб.</w:t>
            </w:r>
          </w:p>
        </w:tc>
        <w:tc>
          <w:tcPr>
            <w:tcW w:w="1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1,3 / 2,5 / 5,0</w:t>
            </w: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7,5 / 15,0 / 25,0</w:t>
            </w:r>
          </w:p>
        </w:tc>
        <w:tc>
          <w:tcPr>
            <w:tcW w:w="1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25,0 / 50,0 / 100,0</w:t>
            </w:r>
          </w:p>
        </w:tc>
        <w:tc>
          <w:tcPr>
            <w:tcW w:w="1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33,8 / 67,5 / 130,0</w:t>
            </w:r>
          </w:p>
        </w:tc>
      </w:tr>
      <w:tr>
        <w:trPr>
          <w:cantSplit/>
        </w:trPr>
        <w:tc>
          <w:tcPr>
            <w:tcW w:w="4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Уровень 2, абонементный доход Π / Р / О, млн руб.</w:t>
            </w:r>
          </w:p>
        </w:tc>
        <w:tc>
          <w:tcPr>
            <w:tcW w:w="1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0,4 / 0,8 / 1,5</w:t>
            </w: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9,5 / 19,0 / 33,0</w:t>
            </w:r>
          </w:p>
        </w:tc>
        <w:tc>
          <w:tcPr>
            <w:tcW w:w="1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70,0 / 145,0 / 290,0</w:t>
            </w:r>
          </w:p>
        </w:tc>
        <w:tc>
          <w:tcPr>
            <w:tcW w:w="1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79,9 / 164,8 / 324,5</w:t>
            </w:r>
          </w:p>
        </w:tc>
      </w:tr>
      <w:tr>
        <w:trPr>
          <w:cantSplit/>
        </w:trPr>
        <w:tc>
          <w:tcPr>
            <w:tcW w:w="4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Транзакционный бонус (только О), млн руб.</w:t>
            </w:r>
          </w:p>
        </w:tc>
        <w:tc>
          <w:tcPr>
            <w:tcW w:w="1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—</w:t>
            </w: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—</w:t>
            </w:r>
          </w:p>
        </w:tc>
        <w:tc>
          <w:tcPr>
            <w:tcW w:w="1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30,0</w:t>
            </w:r>
          </w:p>
        </w:tc>
        <w:tc>
          <w:tcPr>
            <w:tcW w:w="1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30,0</w:t>
            </w:r>
          </w:p>
        </w:tc>
      </w:tr>
      <w:tr>
        <w:trPr>
          <w:cantSplit/>
        </w:trPr>
        <w:tc>
          <w:tcPr>
            <w:tcW w:w="4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Итого выручка фазы Π, млн руб.</w:t>
            </w:r>
          </w:p>
        </w:tc>
        <w:tc>
          <w:tcPr>
            <w:tcW w:w="1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1,7</w:t>
            </w: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17,0</w:t>
            </w:r>
          </w:p>
        </w:tc>
        <w:tc>
          <w:tcPr>
            <w:tcW w:w="1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135,0</w:t>
            </w:r>
          </w:p>
        </w:tc>
        <w:tc>
          <w:tcPr>
            <w:tcW w:w="1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153,7</w:t>
            </w:r>
          </w:p>
        </w:tc>
      </w:tr>
      <w:tr>
        <w:trPr>
          <w:cantSplit/>
        </w:trPr>
        <w:tc>
          <w:tcPr>
            <w:tcW w:w="4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Итого выручка фазы Р, млн руб.</w:t>
            </w:r>
          </w:p>
        </w:tc>
        <w:tc>
          <w:tcPr>
            <w:tcW w:w="1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3,3</w:t>
            </w: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74,0</w:t>
            </w:r>
          </w:p>
        </w:tc>
        <w:tc>
          <w:tcPr>
            <w:tcW w:w="1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275,0</w:t>
            </w:r>
          </w:p>
        </w:tc>
        <w:tc>
          <w:tcPr>
            <w:tcW w:w="1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352,3</w:t>
            </w:r>
          </w:p>
        </w:tc>
      </w:tr>
      <w:tr>
        <w:trPr>
          <w:cantSplit/>
        </w:trPr>
        <w:tc>
          <w:tcPr>
            <w:tcW w:w="4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Итого выручка фазы О, млн руб.</w:t>
            </w:r>
          </w:p>
        </w:tc>
        <w:tc>
          <w:tcPr>
            <w:tcW w:w="1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46,5</w:t>
            </w: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138,0</w:t>
            </w:r>
          </w:p>
        </w:tc>
        <w:tc>
          <w:tcPr>
            <w:tcW w:w="1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580,0</w:t>
            </w:r>
          </w:p>
        </w:tc>
        <w:tc>
          <w:tcPr>
            <w:tcW w:w="1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764,5</w:t>
            </w:r>
          </w:p>
        </w:tc>
      </w:tr>
      <w:tr>
        <w:trPr>
          <w:cantSplit/>
        </w:trPr>
        <w:tc>
          <w:tcPr>
            <w:tcW w:w="4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Кумулятивная выручка Π, млн руб.</w:t>
            </w:r>
          </w:p>
        </w:tc>
        <w:tc>
          <w:tcPr>
            <w:tcW w:w="1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1,7</w:t>
            </w: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18,7</w:t>
            </w:r>
          </w:p>
        </w:tc>
        <w:tc>
          <w:tcPr>
            <w:tcW w:w="1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153,7</w:t>
            </w:r>
          </w:p>
        </w:tc>
        <w:tc>
          <w:tcPr>
            <w:tcW w:w="1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×</w:t>
            </w:r>
          </w:p>
        </w:tc>
      </w:tr>
      <w:tr>
        <w:trPr>
          <w:cantSplit/>
        </w:trPr>
        <w:tc>
          <w:tcPr>
            <w:tcW w:w="4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Кумулятивная выручка Р, млн руб.</w:t>
            </w:r>
          </w:p>
        </w:tc>
        <w:tc>
          <w:tcPr>
            <w:tcW w:w="1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3,3</w:t>
            </w: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77,3</w:t>
            </w:r>
          </w:p>
        </w:tc>
        <w:tc>
          <w:tcPr>
            <w:tcW w:w="1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352,3</w:t>
            </w:r>
          </w:p>
        </w:tc>
        <w:tc>
          <w:tcPr>
            <w:tcW w:w="1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×</w:t>
            </w:r>
          </w:p>
        </w:tc>
      </w:tr>
      <w:tr>
        <w:trPr>
          <w:cantSplit/>
        </w:trPr>
        <w:tc>
          <w:tcPr>
            <w:tcW w:w="4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Кумулятивная выручка О, млн руб.</w:t>
            </w:r>
          </w:p>
        </w:tc>
        <w:tc>
          <w:tcPr>
            <w:tcW w:w="1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46,5</w:t>
            </w: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184,5</w:t>
            </w:r>
          </w:p>
        </w:tc>
        <w:tc>
          <w:tcPr>
            <w:tcW w:w="1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764,5</w:t>
            </w:r>
          </w:p>
        </w:tc>
        <w:tc>
          <w:tcPr>
            <w:tcW w:w="1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×</w:t>
            </w:r>
          </w:p>
        </w:tc>
      </w:tr>
    </w:tbl>
    <w:p>
      <w:pPr>
        <w:spacing w:before="0" w:after="0" w:line="240" w:lineRule="auto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Допущения расчёта: средний чек сделки уровня 1 — 40 млн руб.; средний чек подключения объекта уровня 2 — 0,25 млн руб.; абонементная плата 0,05 млн руб./мес. начисляется со второго месяца после подключения, объекты в фазе подключаются равномерно; транзакционный бонус сценария О оценивается консервативно от рыночного объёма биометрических платежей 145,9 млн транзакций за 9 мес. 2025 г. [32; 34] при удержании Face2 на уровне 1–2 % рынка к концу фазы 3.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Источник: расчёт автора по данным таблиц 2.1.4, 3.2.1, [27; 28; 29; 32; 34, 37]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Расчёт показателя возврата на инвестиции выполняется по формуле ROI = (Выручка − Бюджет) / Бюджет × 100 %, где бюджет берётся из таблицы 3.2.6, а выручка — из таблицы 3.3.1. Расчёт ведётся кумулятивно по фазам в трёх сценариях. Срок окупаемости определяется как момент, в который кумулятивная выручка покрывает кумулятивный бюджет стратегии. Сводная карта расчёта представлена в таблице 3.3.2.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Таблица 3.3.2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Сценарный расчёт ROI и срока окупаемости стратегии продвижения Face2</w:t>
      </w:r>
    </w:p>
    <w:tbl>
      <w:tblPr>
        <w:tblW w:w="963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43"/>
        <w:gridCol w:w="1966"/>
        <w:gridCol w:w="2163"/>
        <w:gridCol w:w="2163"/>
      </w:tblGrid>
      <w:tr>
        <w:trPr>
          <w:tblHeader/>
          <w:cantSplit/>
        </w:trPr>
        <w:tc>
          <w:tcPr>
            <w:tcW w:w="3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Показатель</w:t>
            </w:r>
          </w:p>
        </w:tc>
        <w:tc>
          <w:tcPr>
            <w:tcW w:w="1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Фаза 1 (конец мес. 6)</w:t>
            </w:r>
          </w:p>
        </w:tc>
        <w:tc>
          <w:tcPr>
            <w:tcW w:w="21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Фаза 2 (конец мес. 18)</w:t>
            </w:r>
          </w:p>
        </w:tc>
        <w:tc>
          <w:tcPr>
            <w:tcW w:w="21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Фаза 3 (конец мес. 36)</w:t>
            </w:r>
          </w:p>
        </w:tc>
      </w:tr>
      <w:tr>
        <w:trPr>
          <w:cantSplit/>
        </w:trPr>
        <w:tc>
          <w:tcPr>
            <w:tcW w:w="3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Кумулятивный бюджет, млн руб.</w:t>
            </w:r>
          </w:p>
        </w:tc>
        <w:tc>
          <w:tcPr>
            <w:tcW w:w="1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19,8</w:t>
            </w:r>
          </w:p>
        </w:tc>
        <w:tc>
          <w:tcPr>
            <w:tcW w:w="21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56,0</w:t>
            </w:r>
          </w:p>
        </w:tc>
        <w:tc>
          <w:tcPr>
            <w:tcW w:w="21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112,7</w:t>
            </w:r>
          </w:p>
        </w:tc>
      </w:tr>
      <w:tr>
        <w:trPr>
          <w:cantSplit/>
        </w:trPr>
        <w:tc>
          <w:tcPr>
            <w:tcW w:w="3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Кумулятивная выручка Π, млн руб.</w:t>
            </w:r>
          </w:p>
        </w:tc>
        <w:tc>
          <w:tcPr>
            <w:tcW w:w="1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1,7</w:t>
            </w:r>
          </w:p>
        </w:tc>
        <w:tc>
          <w:tcPr>
            <w:tcW w:w="21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18,7</w:t>
            </w:r>
          </w:p>
        </w:tc>
        <w:tc>
          <w:tcPr>
            <w:tcW w:w="21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153,7</w:t>
            </w:r>
          </w:p>
        </w:tc>
      </w:tr>
      <w:tr>
        <w:trPr>
          <w:cantSplit/>
        </w:trPr>
        <w:tc>
          <w:tcPr>
            <w:tcW w:w="3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Кумулятивная выручка Р, млн руб.</w:t>
            </w:r>
          </w:p>
        </w:tc>
        <w:tc>
          <w:tcPr>
            <w:tcW w:w="1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3,3</w:t>
            </w:r>
          </w:p>
        </w:tc>
        <w:tc>
          <w:tcPr>
            <w:tcW w:w="21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77,3</w:t>
            </w:r>
          </w:p>
        </w:tc>
        <w:tc>
          <w:tcPr>
            <w:tcW w:w="21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352,3</w:t>
            </w:r>
          </w:p>
        </w:tc>
      </w:tr>
      <w:tr>
        <w:trPr>
          <w:cantSplit/>
        </w:trPr>
        <w:tc>
          <w:tcPr>
            <w:tcW w:w="3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Кумулятивная выручка О, млн руб.</w:t>
            </w:r>
          </w:p>
        </w:tc>
        <w:tc>
          <w:tcPr>
            <w:tcW w:w="1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46,5</w:t>
            </w:r>
          </w:p>
        </w:tc>
        <w:tc>
          <w:tcPr>
            <w:tcW w:w="21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184,5</w:t>
            </w:r>
          </w:p>
        </w:tc>
        <w:tc>
          <w:tcPr>
            <w:tcW w:w="21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764,5</w:t>
            </w:r>
          </w:p>
        </w:tc>
      </w:tr>
      <w:tr>
        <w:trPr>
          <w:cantSplit/>
        </w:trPr>
        <w:tc>
          <w:tcPr>
            <w:tcW w:w="3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Чистый эффект Π, млн руб.</w:t>
            </w:r>
          </w:p>
        </w:tc>
        <w:tc>
          <w:tcPr>
            <w:tcW w:w="1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−18,1</w:t>
            </w:r>
          </w:p>
        </w:tc>
        <w:tc>
          <w:tcPr>
            <w:tcW w:w="21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−37,3</w:t>
            </w:r>
          </w:p>
        </w:tc>
        <w:tc>
          <w:tcPr>
            <w:tcW w:w="21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+41,0</w:t>
            </w:r>
          </w:p>
        </w:tc>
      </w:tr>
      <w:tr>
        <w:trPr>
          <w:cantSplit/>
        </w:trPr>
        <w:tc>
          <w:tcPr>
            <w:tcW w:w="3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Чистый эффект Р, млн руб.</w:t>
            </w:r>
          </w:p>
        </w:tc>
        <w:tc>
          <w:tcPr>
            <w:tcW w:w="1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−16,5</w:t>
            </w:r>
          </w:p>
        </w:tc>
        <w:tc>
          <w:tcPr>
            <w:tcW w:w="21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+21,3</w:t>
            </w:r>
          </w:p>
        </w:tc>
        <w:tc>
          <w:tcPr>
            <w:tcW w:w="21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+239,6</w:t>
            </w:r>
          </w:p>
        </w:tc>
      </w:tr>
      <w:tr>
        <w:trPr>
          <w:cantSplit/>
        </w:trPr>
        <w:tc>
          <w:tcPr>
            <w:tcW w:w="3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Чистый эффект О, млн руб.</w:t>
            </w:r>
          </w:p>
        </w:tc>
        <w:tc>
          <w:tcPr>
            <w:tcW w:w="1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+26,7</w:t>
            </w:r>
          </w:p>
        </w:tc>
        <w:tc>
          <w:tcPr>
            <w:tcW w:w="21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+128,5</w:t>
            </w:r>
          </w:p>
        </w:tc>
        <w:tc>
          <w:tcPr>
            <w:tcW w:w="21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+651,8</w:t>
            </w:r>
          </w:p>
        </w:tc>
      </w:tr>
      <w:tr>
        <w:trPr>
          <w:cantSplit/>
        </w:trPr>
        <w:tc>
          <w:tcPr>
            <w:tcW w:w="3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ROI Π, %</w:t>
            </w:r>
          </w:p>
        </w:tc>
        <w:tc>
          <w:tcPr>
            <w:tcW w:w="1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−91,4</w:t>
            </w:r>
          </w:p>
        </w:tc>
        <w:tc>
          <w:tcPr>
            <w:tcW w:w="21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−66,6</w:t>
            </w:r>
          </w:p>
        </w:tc>
        <w:tc>
          <w:tcPr>
            <w:tcW w:w="21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+36,4</w:t>
            </w:r>
          </w:p>
        </w:tc>
      </w:tr>
      <w:tr>
        <w:trPr>
          <w:cantSplit/>
        </w:trPr>
        <w:tc>
          <w:tcPr>
            <w:tcW w:w="3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ROI Р, %</w:t>
            </w:r>
          </w:p>
        </w:tc>
        <w:tc>
          <w:tcPr>
            <w:tcW w:w="1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−83,3</w:t>
            </w:r>
          </w:p>
        </w:tc>
        <w:tc>
          <w:tcPr>
            <w:tcW w:w="21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+38,0</w:t>
            </w:r>
          </w:p>
        </w:tc>
        <w:tc>
          <w:tcPr>
            <w:tcW w:w="21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+212,6</w:t>
            </w:r>
          </w:p>
        </w:tc>
      </w:tr>
      <w:tr>
        <w:trPr>
          <w:cantSplit/>
        </w:trPr>
        <w:tc>
          <w:tcPr>
            <w:tcW w:w="3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ROI О, %</w:t>
            </w:r>
          </w:p>
        </w:tc>
        <w:tc>
          <w:tcPr>
            <w:tcW w:w="1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+134,8</w:t>
            </w:r>
          </w:p>
        </w:tc>
        <w:tc>
          <w:tcPr>
            <w:tcW w:w="21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+229,5</w:t>
            </w:r>
          </w:p>
        </w:tc>
        <w:tc>
          <w:tcPr>
            <w:tcW w:w="21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+578,4</w:t>
            </w:r>
          </w:p>
        </w:tc>
      </w:tr>
      <w:tr>
        <w:trPr>
          <w:cantSplit/>
        </w:trPr>
        <w:tc>
          <w:tcPr>
            <w:tcW w:w="3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Срок окупаемости (Π / Р / О), мес.</w:t>
            </w:r>
          </w:p>
        </w:tc>
        <w:tc>
          <w:tcPr>
            <w:tcW w:w="1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— / — / 6</w:t>
            </w:r>
          </w:p>
        </w:tc>
        <w:tc>
          <w:tcPr>
            <w:tcW w:w="21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— / 14–15 / —</w:t>
            </w:r>
          </w:p>
        </w:tc>
        <w:tc>
          <w:tcPr>
            <w:tcW w:w="21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32–33 / — / —</w:t>
            </w:r>
          </w:p>
        </w:tc>
      </w:tr>
    </w:tbl>
    <w:p>
      <w:pPr>
        <w:spacing w:before="0" w:after="0" w:line="240" w:lineRule="auto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Источник: расчёт автора по данным таблиц 3.2.6, 3.3.1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Расчёт даёт три устойчивых вывода. Во-первых, во всех трёх сценариях стратегия выходит в положительную зону ROI к концу горизонта 36 месяцев, что подтверждает экономическую целесообразность её реализации. Во-вторых, срок окупаемости в реалистическом сценарии Р — 14–15 месяцев — приходится на фазу 2 и совпадает с выходом первой коммерческой сделки уровня 1 и накоплением 60+ подключений уровня 2; это операционно достижимый горизонт для крупного регионального банка с действующей биометрической вертикалью. В-третьих, оптимистический сценарий О даёт окупаемость уже к концу фазы 1 (мес. 6) при ROI +134,8 %, что подтверждает наличие у стратегии существенного апсайда при условии своевременного получения сертификаций NIST FRTE и iBeta Level 2 и активного отклика партнёрской сети интеграторов и вендоров оборудования.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Чувствительность модели к ключевым предпосылкам. Снижение среднего чека сделки уровня 1 с 40 до 30 млн руб. (на 25 %) уменьшает выручку Р за 36 месяцев на 30 млн руб. (с 352,3 до 322,3 млн руб.), но не выводит сценарий Р из положительного ROI (+186 %). Снижение числа подключений уровня 2 в фазе 3 на 30 % (с 200 до 140 в сценарии Р) уменьшает кумулятивную выручку Р на ≈ 60 млн руб. до 292,3 млн руб. при ROI +159 %. Перенос получения сертификаций NIST FRTE и iBeta на фазу 3 (вместо фазы 2) сдвигает сценарий ближе к Π и увеличивает срок окупаемости в Р на 4–6 месяцев. Эти три точки чувствительности фиксируются как зоны управленческого внимания на контрольных точках КТ2 и КТ4 (§ 3.3.4).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Помимо численного ROI стратегия даёт три качественных типа эффекта, не входящих в численную оценку, но фиксируемых как самостоятельные результаты. Первый — косвенный эффект для основной деятельности банка: переток клиентов в банковскую экосистему через Face2Pay, рост платёжных оборотов АББ через биоэквайринг по СБП, прирост аудитории мобильного приложения АБО за счёт сценариев регистрации в ЕБС и закрепление позиций АББ в транспортных проектах [26, с. 17, 30–31]. Второй — имиджевый и стратегический эффект: закрепление статуса федерального игрока на рынке биометрии, увеличение премии оценки бренда банка за счёт расширения референсной базы и возможность переноса разработанной коммуникационной модели на другие продукты ИТ-портфеля АББ. Третий — регуляторный эффект: закрепление статуса аккредитованного оператора КБС за счёт публичной регуляторной коммуникации (подраздел 3.2.4) и снижение риска утраты статуса при ужесточении подзаконных актов № 572-ФЗ [2; 3; 4]. Косвенный, имиджевый и регуляторный эффекты не входят в формальный расчёт ROI, но образуют дополнительный пласт обоснования экономической целесообразности стратегии.</w:t>
      </w:r>
    </w:p>
    <w:p>
      <w:pPr>
        <w:keepNext/>
        <w:keepLines/>
        <w:spacing w:before="200" w:after="120" w:line="360" w:lineRule="auto"/>
        <w:jc w:val="center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b/>
          <w:bCs/>
          <w:color w:val="000000"/>
          <w:sz w:val="28"/>
          <w:szCs w:val="28"/>
          <w:lang w:val="ru-RU"/>
        </w:rPr>
        <w:t xml:space="preserve">3.3.3. Матрица рисков реализации стратегии и способы их снижения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Управление рисками стратегии строится как двухслойная матрица. Нижний слой — реализационные риски, которые зависят от качества внедрения и управляются мероприятиями параграфа 3.2; верхний слой — остаточные регуляторные и репутационные риски рынка биометрии, которые стратегия не снимает, а ослабляет (за счёт регуляторного контента и доказательной базы) и обходит (за счёт массового канала через банковскую экосистему). Двухслойная конструкция отвечает на ожидаемое замечание о том, что часть рисков биометрии лежит за пределами управляемости отдельной маркетинговой стратегии, и одновременно показывает, что эти риски учтены в проекте. Используется типология рисков из таблицы 1.1.1 параграфа 1.1 — технические, рыночные, финансовые, репутационные, регуляторные, организационные, конкурентные [15, с. 117]; каждый риск оценивается по двум осям — вероятности (низкая, средняя, высокая) и потенциальному ущербу (низкий, средний, высокий, очень высокий).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Реализационные риски стратегии и способы их снижения сведены в таблице 3.3.3.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Таблица 3.3.3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Реализационные риски стратегии продвижения Face2 и меры реагирования</w:t>
      </w:r>
    </w:p>
    <w:tbl>
      <w:tblPr>
        <w:tblW w:w="963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4"/>
        <w:gridCol w:w="3109"/>
        <w:gridCol w:w="1139"/>
        <w:gridCol w:w="725"/>
        <w:gridCol w:w="3109"/>
      </w:tblGrid>
      <w:tr>
        <w:trPr>
          <w:tblHeader/>
          <w:cantSplit/>
        </w:trPr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Тип риска</w:t>
            </w:r>
          </w:p>
        </w:tc>
        <w:tc>
          <w:tcPr>
            <w:tcW w:w="3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Содержание риска</w:t>
            </w:r>
          </w:p>
        </w:tc>
        <w:tc>
          <w:tcPr>
            <w:tcW w:w="11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Вероятность</w:t>
            </w:r>
          </w:p>
        </w:tc>
        <w:tc>
          <w:tcPr>
            <w:tcW w:w="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Ущерб</w:t>
            </w:r>
          </w:p>
        </w:tc>
        <w:tc>
          <w:tcPr>
            <w:tcW w:w="3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Способ снижения</w:t>
            </w:r>
          </w:p>
        </w:tc>
      </w:tr>
      <w:tr>
        <w:trPr>
          <w:cantSplit/>
        </w:trPr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Финансовый</w:t>
            </w:r>
          </w:p>
        </w:tc>
        <w:tc>
          <w:tcPr>
            <w:tcW w:w="3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Превышение бюджета фазы 1 (CAPEX на сайт, контентную студию, брендинг)</w:t>
            </w:r>
          </w:p>
        </w:tc>
        <w:tc>
          <w:tcPr>
            <w:tcW w:w="11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Средняя</w:t>
            </w:r>
          </w:p>
        </w:tc>
        <w:tc>
          <w:tcPr>
            <w:tcW w:w="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Средний</w:t>
            </w:r>
          </w:p>
        </w:tc>
        <w:tc>
          <w:tcPr>
            <w:tcW w:w="3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Поэтапное финансирование с квартальной ревизией; KPI-контроль по 3.3.1; перенос статей между фазами</w:t>
            </w:r>
          </w:p>
        </w:tc>
      </w:tr>
      <w:tr>
        <w:trPr>
          <w:cantSplit/>
        </w:trPr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Финансовый</w:t>
            </w:r>
          </w:p>
        </w:tc>
        <w:tc>
          <w:tcPr>
            <w:tcW w:w="3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Низкая отдача OPEX-расходов на контекстную рекламу и SMM</w:t>
            </w:r>
          </w:p>
        </w:tc>
        <w:tc>
          <w:tcPr>
            <w:tcW w:w="11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Средняя</w:t>
            </w:r>
          </w:p>
        </w:tc>
        <w:tc>
          <w:tcPr>
            <w:tcW w:w="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Низкий</w:t>
            </w:r>
          </w:p>
        </w:tc>
        <w:tc>
          <w:tcPr>
            <w:tcW w:w="3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Контрольные точки по итогам мес. 3 и 6; A/B-тестирование креативов; перенос бюджета между статьями OPEX</w:t>
            </w:r>
          </w:p>
        </w:tc>
      </w:tr>
      <w:tr>
        <w:trPr>
          <w:cantSplit/>
        </w:trPr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Рыночный</w:t>
            </w:r>
          </w:p>
        </w:tc>
        <w:tc>
          <w:tcPr>
            <w:tcW w:w="3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Низкая конверсия face2.ru в заявку (ниже 1,5 %)</w:t>
            </w:r>
          </w:p>
        </w:tc>
        <w:tc>
          <w:tcPr>
            <w:tcW w:w="11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Средняя</w:t>
            </w:r>
          </w:p>
        </w:tc>
        <w:tc>
          <w:tcPr>
            <w:tcW w:w="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Средний</w:t>
            </w:r>
          </w:p>
        </w:tc>
        <w:tc>
          <w:tcPr>
            <w:tcW w:w="3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A/B-тестирование посадочных страниц; пересборка офферов 3.2.2; уточнение CTA-механики</w:t>
            </w:r>
          </w:p>
        </w:tc>
      </w:tr>
      <w:tr>
        <w:trPr>
          <w:cantSplit/>
        </w:trPr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Рыночный</w:t>
            </w:r>
          </w:p>
        </w:tc>
        <w:tc>
          <w:tcPr>
            <w:tcW w:w="3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Срыв пилотных проектов фазы 2 у внешних клиентов</w:t>
            </w:r>
          </w:p>
        </w:tc>
        <w:tc>
          <w:tcPr>
            <w:tcW w:w="11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Средняя</w:t>
            </w:r>
          </w:p>
        </w:tc>
        <w:tc>
          <w:tcPr>
            <w:tcW w:w="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Высокий</w:t>
            </w:r>
          </w:p>
        </w:tc>
        <w:tc>
          <w:tcPr>
            <w:tcW w:w="3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Опора на внутренний кейс АББ (5 тыс. сотрудников, 200 биотерминалов) как референс; стандартизованные технические требования к пилотам [27; 28]</w:t>
            </w:r>
          </w:p>
        </w:tc>
      </w:tr>
      <w:tr>
        <w:trPr>
          <w:cantSplit/>
        </w:trPr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Технический</w:t>
            </w:r>
          </w:p>
        </w:tc>
        <w:tc>
          <w:tcPr>
            <w:tcW w:w="3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Сбои интеграции при подключении объектов уровня 2</w:t>
            </w:r>
          </w:p>
        </w:tc>
        <w:tc>
          <w:tcPr>
            <w:tcW w:w="11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Низкая</w:t>
            </w:r>
          </w:p>
        </w:tc>
        <w:tc>
          <w:tcPr>
            <w:tcW w:w="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Средний</w:t>
            </w:r>
          </w:p>
        </w:tc>
        <w:tc>
          <w:tcPr>
            <w:tcW w:w="3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Поэтапное масштабирование подключений; sandbox-тестирование; готовая документация Face2 [28; 29]</w:t>
            </w:r>
          </w:p>
        </w:tc>
      </w:tr>
      <w:tr>
        <w:trPr>
          <w:cantSplit/>
        </w:trPr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Организационный</w:t>
            </w:r>
          </w:p>
        </w:tc>
        <w:tc>
          <w:tcPr>
            <w:tcW w:w="3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Дефицит маркетинговой команды для контентного конвейера и PR-сопровождения</w:t>
            </w:r>
          </w:p>
        </w:tc>
        <w:tc>
          <w:tcPr>
            <w:tcW w:w="11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Высокая</w:t>
            </w:r>
          </w:p>
        </w:tc>
        <w:tc>
          <w:tcPr>
            <w:tcW w:w="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Средний</w:t>
            </w:r>
          </w:p>
        </w:tc>
        <w:tc>
          <w:tcPr>
            <w:tcW w:w="3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Планирование штата маркетинговой службы уже в фазе 1; альтернатива — внешнее агентство с фиксированным KPI</w:t>
            </w:r>
          </w:p>
        </w:tc>
      </w:tr>
      <w:tr>
        <w:trPr>
          <w:cantSplit/>
        </w:trPr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Конкурентный</w:t>
            </w:r>
          </w:p>
        </w:tc>
        <w:tc>
          <w:tcPr>
            <w:tcW w:w="3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Ускоренное расширение ПАО «Сбербанк» в B2G и в регионах за пределами Москвы и Санкт-Петербурга</w:t>
            </w:r>
          </w:p>
        </w:tc>
        <w:tc>
          <w:tcPr>
            <w:tcW w:w="11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Средняя</w:t>
            </w:r>
          </w:p>
        </w:tc>
        <w:tc>
          <w:tcPr>
            <w:tcW w:w="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Высокий</w:t>
            </w:r>
          </w:p>
        </w:tc>
        <w:tc>
          <w:tcPr>
            <w:tcW w:w="3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Опора на регуляторный капитал и партнёрства с Минцифры РФ, Минтрансом РФ и НСПК как защитное преимущество [26, с. 30–31; 38]</w:t>
            </w:r>
          </w:p>
        </w:tc>
      </w:tr>
      <w:tr>
        <w:trPr>
          <w:cantSplit/>
        </w:trPr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Конкурентный</w:t>
            </w:r>
          </w:p>
        </w:tc>
        <w:tc>
          <w:tcPr>
            <w:tcW w:w="3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Технологический ответ VisionLabs (Deepfake Detection 2.0, продуктовое расширение)</w:t>
            </w:r>
          </w:p>
        </w:tc>
        <w:tc>
          <w:tcPr>
            <w:tcW w:w="11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Средняя</w:t>
            </w:r>
          </w:p>
        </w:tc>
        <w:tc>
          <w:tcPr>
            <w:tcW w:w="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Средний</w:t>
            </w:r>
          </w:p>
        </w:tc>
        <w:tc>
          <w:tcPr>
            <w:tcW w:w="3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Подача заявок на NIST FRTE и iBeta Level 2 в фазе 1; закрепление продуктового лидерства Face2 в сегменте КБС [40]</w:t>
            </w:r>
          </w:p>
        </w:tc>
      </w:tr>
    </w:tbl>
    <w:p>
      <w:pPr>
        <w:spacing w:before="0" w:after="0" w:line="240" w:lineRule="auto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Источник: составлено автором по данным таблицы 1.1.1, [15, с. 117; 27; 38; 40; 28; 29]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Остаточные регуляторные и репутационные риски рынка биометрии и способы их снижения сведены в таблице 3.3.4. Эти риски стратегия Face2 не устраняет — они являются объективными свойствами рынка, на котором работает аккредитованный оператор КБС, — но снижает их вероятность через регуляторно ориентированное позиционирование и контентный конвейер 3.2.4 и снижает их ущерб через диверсификацию каналов и устойчивую инфраструктуру.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Таблица 3.3.4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Остаточные регуляторные и репутационные риски рынка биометрии и меры реагирования</w:t>
      </w:r>
    </w:p>
    <w:tbl>
      <w:tblPr>
        <w:tblW w:w="963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376"/>
        <w:gridCol w:w="3177"/>
        <w:gridCol w:w="1165"/>
        <w:gridCol w:w="741"/>
        <w:gridCol w:w="3177"/>
      </w:tblGrid>
      <w:tr>
        <w:trPr>
          <w:tblHeader/>
          <w:cantSplit/>
        </w:trPr>
        <w:tc>
          <w:tcPr>
            <w:tcW w:w="1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Тип риска</w:t>
            </w:r>
          </w:p>
        </w:tc>
        <w:tc>
          <w:tcPr>
            <w:tcW w:w="3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Содержание риска</w:t>
            </w:r>
          </w:p>
        </w:tc>
        <w:tc>
          <w:tcPr>
            <w:tcW w:w="1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Вероятность</w:t>
            </w:r>
          </w:p>
        </w:tc>
        <w:tc>
          <w:tcPr>
            <w:tcW w:w="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Ущерб</w:t>
            </w:r>
          </w:p>
        </w:tc>
        <w:tc>
          <w:tcPr>
            <w:tcW w:w="3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Способ снижения</w:t>
            </w:r>
          </w:p>
        </w:tc>
      </w:tr>
      <w:tr>
        <w:trPr>
          <w:cantSplit/>
        </w:trPr>
        <w:tc>
          <w:tcPr>
            <w:tcW w:w="1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Регуляторный</w:t>
            </w:r>
          </w:p>
        </w:tc>
        <w:tc>
          <w:tcPr>
            <w:tcW w:w="3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Изменение № 572-ФЗ или подзаконных актов Банка России и Минцифры РФ ([2; 3; 4])</w:t>
            </w:r>
          </w:p>
        </w:tc>
        <w:tc>
          <w:tcPr>
            <w:tcW w:w="1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Средняя</w:t>
            </w:r>
          </w:p>
        </w:tc>
        <w:tc>
          <w:tcPr>
            <w:tcW w:w="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Высокий</w:t>
            </w:r>
          </w:p>
        </w:tc>
        <w:tc>
          <w:tcPr>
            <w:tcW w:w="3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Юридическое сопровождение; координация с ЦБТ [37]; гибкая архитектура КБС, позволяющая адаптировать схему сбора и обработки векторов</w:t>
            </w:r>
          </w:p>
        </w:tc>
      </w:tr>
      <w:tr>
        <w:trPr>
          <w:cantSplit/>
        </w:trPr>
        <w:tc>
          <w:tcPr>
            <w:tcW w:w="1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Регуляторный</w:t>
            </w:r>
          </w:p>
        </w:tc>
        <w:tc>
          <w:tcPr>
            <w:tcW w:w="3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Ужесточение требований к согласию граждан на сдачу биометрии</w:t>
            </w:r>
          </w:p>
        </w:tc>
        <w:tc>
          <w:tcPr>
            <w:tcW w:w="1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Средняя</w:t>
            </w:r>
          </w:p>
        </w:tc>
        <w:tc>
          <w:tcPr>
            <w:tcW w:w="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Средний</w:t>
            </w:r>
          </w:p>
        </w:tc>
        <w:tc>
          <w:tcPr>
            <w:tcW w:w="3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Превентивная адаптация UX регистрации в ЕБС; обучающий контент 3.2.4</w:t>
            </w:r>
          </w:p>
        </w:tc>
      </w:tr>
      <w:tr>
        <w:trPr>
          <w:cantSplit/>
        </w:trPr>
        <w:tc>
          <w:tcPr>
            <w:tcW w:w="1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Регуляторный</w:t>
            </w:r>
          </w:p>
        </w:tc>
        <w:tc>
          <w:tcPr>
            <w:tcW w:w="3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Отзыв или приостановление аккредитации одного из участников рынка</w:t>
            </w:r>
          </w:p>
        </w:tc>
        <w:tc>
          <w:tcPr>
            <w:tcW w:w="1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Низкая</w:t>
            </w:r>
          </w:p>
        </w:tc>
        <w:tc>
          <w:tcPr>
            <w:tcW w:w="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Очень высокий</w:t>
            </w:r>
          </w:p>
        </w:tc>
        <w:tc>
          <w:tcPr>
            <w:tcW w:w="3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Жёсткое соблюдение пятиуровневой регуляторной конструкции (КБС, ЕБС, ФСБ, ФСТЭК, реестр Минцифры); внутренний регуляторный аудит</w:t>
            </w:r>
          </w:p>
        </w:tc>
      </w:tr>
      <w:tr>
        <w:trPr>
          <w:cantSplit/>
        </w:trPr>
        <w:tc>
          <w:tcPr>
            <w:tcW w:w="1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Репутационный</w:t>
            </w:r>
          </w:p>
        </w:tc>
        <w:tc>
          <w:tcPr>
            <w:tcW w:w="3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Утечка биометрических данных у любого оператора рынка (даже не у Ак Барс Банка)</w:t>
            </w:r>
          </w:p>
        </w:tc>
        <w:tc>
          <w:tcPr>
            <w:tcW w:w="1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Средняя</w:t>
            </w:r>
          </w:p>
        </w:tc>
        <w:tc>
          <w:tcPr>
            <w:tcW w:w="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Высокий</w:t>
            </w:r>
          </w:p>
        </w:tc>
        <w:tc>
          <w:tcPr>
            <w:tcW w:w="3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Готовность кризисного PR-плана; проактивная коммуникация о криптозащите векторов; явная демонстрация архитектуры безопасности в материалах 3.2.4</w:t>
            </w:r>
          </w:p>
        </w:tc>
      </w:tr>
      <w:tr>
        <w:trPr>
          <w:cantSplit/>
        </w:trPr>
        <w:tc>
          <w:tcPr>
            <w:tcW w:w="1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Репутационный</w:t>
            </w:r>
          </w:p>
        </w:tc>
        <w:tc>
          <w:tcPr>
            <w:tcW w:w="3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Негативный медиа-кейс по теме «биометрия как инструмент слежки»</w:t>
            </w:r>
          </w:p>
        </w:tc>
        <w:tc>
          <w:tcPr>
            <w:tcW w:w="1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Высокая</w:t>
            </w:r>
          </w:p>
        </w:tc>
        <w:tc>
          <w:tcPr>
            <w:tcW w:w="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Средний</w:t>
            </w:r>
          </w:p>
        </w:tc>
        <w:tc>
          <w:tcPr>
            <w:tcW w:w="3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Регулярный регуляторный контент-конвейер 3.2.4; работа с лидерами мнений в IT-сообществе</w:t>
            </w:r>
          </w:p>
        </w:tc>
      </w:tr>
      <w:tr>
        <w:trPr>
          <w:cantSplit/>
        </w:trPr>
        <w:tc>
          <w:tcPr>
            <w:tcW w:w="1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Технический внешний</w:t>
            </w:r>
          </w:p>
        </w:tc>
        <w:tc>
          <w:tcPr>
            <w:tcW w:w="3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Атака на инфраструктуру ЕБС или КБС</w:t>
            </w:r>
          </w:p>
        </w:tc>
        <w:tc>
          <w:tcPr>
            <w:tcW w:w="1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Низкая</w:t>
            </w:r>
          </w:p>
        </w:tc>
        <w:tc>
          <w:tcPr>
            <w:tcW w:w="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Очень высокий</w:t>
            </w:r>
          </w:p>
        </w:tc>
        <w:tc>
          <w:tcPr>
            <w:tcW w:w="3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Сертификация ФСБ и ФСТЭК; резервирование; внешний аудит кибербезопасности</w:t>
            </w:r>
          </w:p>
        </w:tc>
      </w:tr>
      <w:tr>
        <w:trPr>
          <w:cantSplit/>
        </w:trPr>
        <w:tc>
          <w:tcPr>
            <w:tcW w:w="1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Социальный</w:t>
            </w:r>
          </w:p>
        </w:tc>
        <w:tc>
          <w:tcPr>
            <w:tcW w:w="3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Снижение доверия населения к биометрии на фоне общественной дискуссии</w:t>
            </w:r>
          </w:p>
        </w:tc>
        <w:tc>
          <w:tcPr>
            <w:tcW w:w="1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Средняя</w:t>
            </w:r>
          </w:p>
        </w:tc>
        <w:tc>
          <w:tcPr>
            <w:tcW w:w="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Высокий</w:t>
            </w:r>
          </w:p>
        </w:tc>
        <w:tc>
          <w:tcPr>
            <w:tcW w:w="3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Долгосрочная образовательная коммуникация в направлении В; партнёрства с экспертным сообществом</w:t>
            </w:r>
          </w:p>
        </w:tc>
      </w:tr>
    </w:tbl>
    <w:p>
      <w:pPr>
        <w:spacing w:before="0" w:after="0" w:line="240" w:lineRule="auto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Источник: составлено автором по данным таблицы 1.1.1, [15, с. 117; 16, с. 43–48; 24, с. 100–110; 25, с. 112–115; 1; 36; 35; 32; 37; 2; 3; 4]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Двухслойная матрица рисков связана с диагностикой барьеров биометрии, проведённой в параграфе 1.3 и в подразделе 3.1.1: реализационный слой (таблица 3.3.3) содержит управляемые риски, прямо адресуемые мероприятиями параграфа 3.2, а остаточный слой (таблица 3.3.4) соответствует объективным барьерам рынка биометрии — недоверию пользователей, регуляторной нестабильности, репутационным эффектам отраслевых утечек. Стратегия 3.2 эти барьеры не отменяет — она их ослабляет за счёт регуляторного и доказательного контента и обходит за счёт массового канала через банковскую экосистему (направление В в таблице 3.2.1).</w:t>
      </w:r>
    </w:p>
    <w:p>
      <w:pPr>
        <w:keepNext/>
        <w:keepLines/>
        <w:spacing w:before="200" w:after="120" w:line="360" w:lineRule="auto"/>
        <w:jc w:val="center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b/>
          <w:bCs/>
          <w:color w:val="000000"/>
          <w:sz w:val="28"/>
          <w:szCs w:val="28"/>
          <w:lang w:val="ru-RU"/>
        </w:rPr>
        <w:t xml:space="preserve">3.3.4. Организационный план внедрения стратегии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Организационный план переводит трёхфазную содержательную логику этапов реализации, обоснованную в подразделе 3.2.5, в плоскость календаря, распределения ответственности и контрольных точек. Содержательная логика и оргплан намеренно разнесены между параграфами 3.2 и 3.3 (содержательная — что именно делается в каждой фазе — закрепляется в подразделе 3.2.5; организационная — кто и в какие сроки это делает — в настоящем подразделе), что соответствует принципу разделения предметной и управленческой плоскостей внедрения.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Распределение ответственности строится по матрице RACI (Responsible — исполнитель, Accountable — ответственный, Consulted — консультирующий, Informed — информируемый). В состав участников входят маркетинговая (продуктовая) служба Face2 в составе АББ, команда Face2 в составе АО «Социальная карта», PR-функция АББ, юридическая служба банка, CISO, подразделение продаж B2B, партнёрское подразделение, а также внешние партнёры — рекламное агентство, контент-студия и организаторы отраслевых мероприятий. Полная RACI-матрица распределения ответственности по десяти ключевым мероприятиям параграфа 3.2 приведена в Приложении Б. Ключевые роли: маркетинговая служба — accountable по переоснащению face2.ru, контент-конвейеру, PR-размещениям и референсной программе; команда Face2 — accountable по сертификациям NIST FRTE и iBeta; продажи B2B — accountable по пилотам уровня 1; партнёрское подразделение — accountable по партнёрской сети уровня 2; юридическая служба — accountable по регуляторным обзорам в контенте.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Календарный план разворачивает мероприятия параграфа 3.2 на горизонт 36 месяцев (12 кварталов Q1–Q12) и фиксирует шесть контрольных точек, в которых принимается решение «продолжать — корректировать — пересобирать»: КТ1 (мес. 3) — запуск face2.ru с CTA-механикой и первые регуляторные публикации; КТ2 (мес. 6) — конец фазы 1, формирование линейки спикеров, подача заявок на сертификации; КТ3 (мес. 9) — старт фазы 2, первые пилоты уровня 1 и первые подключения уровня 2; КТ4 (мес. 12) — годовой отчёт по KPI и корректировка бюджета; КТ5 (мес. 18) — конец фазы 2, оценка выручки относительно реалистического сценария и решение о входе в фазу 3; КТ6 (мес. 24 и мес. 36) — точки фазы 3, оценка NPS, доли повторных продаж и географической экспансии. Полный календарный план с распределением мероприятий по 12 кварталам приведён в Приложении В.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Календарь Приложения В показывает три устойчивых наблюдения. Во-первых, фаза активации (Q1–Q2) сосредоточена на разовых мероприятиях запуска инфраструктуры (переоснащение сайта, формирование линейки спикеров, бренд в соцсетях, заявки на сертификации), которые завершаются в первом полугодии и далее не повторяются. Во-вторых, фаза масштабирования (Q3–Q6) представляет собой плотную параллельную работу всех каналов и направлений — от конференций и пилотов до размещений в СМИ и развития банковской экосистемы; именно эта фаза несёт основную организационную нагрузку и требует устойчивой команды. В-третьих, фаза закрепления (Q7–Q12) переводит стратегию в режим сопровождения с постепенным наращиванием референсной программы и снижением активности в части офлайн-конференций.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Вывод по параграфу 3.3. Эффективность стратегии оценена на четырёх уровнях. Система KPI (3.3.1) — двумерная матрица «направление × этап воронки» из 18 метрик (Приложение А); принципиальные решения — сценарность Π/Р/О и четыре типа метрик (охват, вовлечение, конверсия, коммерческий результат). Экономическая оценка (3.3.2) при бюджете 112,7 млн руб. за 36 месяцев и выручке 153,7 / 352,3 / 764,5 млн руб. в сценариях Π / Р / О даёт ROI +36,4 % / +212,6 % / +578,4 % и срок окупаемости 32–33 мес. (Π) / 14–15 мес. (Р) / 6 мес. (О); численный эффект дополняется косвенным, имиджевым и регуляторным. Двухслойная матрица рисков (3.3.3) разводит реализационные риски, управляемые мероприятиями 3.2, и остаточные регуляторные и репутационные риски рынка биометрии. Организационный план (3.3.4) — RACI-матрица из десяти мероприятий (Приложение Б) и календарь на 12 кварталов с шестью контрольными точками (Приложение В). Совокупно: восемь пробелов главы 2 покрыты KPI, бюджет окупается во всех трёх сценариях в пределах 36 месяцев, риски ослаблены или обойдены, внедрение обеспечено распределением ответственности. Практическая значимость — готовность стратегии к применению в ПАО «Ак Барс Банк» для масштабирования Face2 за пределы Республики Татарстан без инвестиций в собственный B2C-маркетинг федерального масштаба. Главное условие успеха — качественное прохождение фазы активации (мес. 1–6); главный неуправляемый риск — изменение № 572-ФЗ, демпфируемое регуляторным капиталом банка.</w:t>
      </w:r>
    </w:p>
    <w:p>
      <w:pPr>
        <w:spacing w:before="0" w:after="0" w:line="240" w:lineRule="auto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</w:p>
    <w:p>
      <w:pPr>
        <w:spacing w:before="0" w:after="0" w:line="360" w:lineRule="auto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br w:type="page"/>
      </w:r>
    </w:p>
    <w:p>
      <w:pPr>
        <w:keepNext/>
        <w:keepLines/>
        <w:spacing w:before="240" w:after="120" w:line="360" w:lineRule="auto"/>
        <w:jc w:val="center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b/>
          <w:bCs/>
          <w:color w:val="000000"/>
          <w:sz w:val="28"/>
          <w:szCs w:val="28"/>
          <w:lang w:val="ru-RU"/>
        </w:rPr>
        <w:t xml:space="preserve">ВЫВОД ПО ГЛАВЕ 3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Глава 3 переводит управленческую повестку главы 2 в работающую стратегию. Параграф 3.1 формулирует цель и семь задач, выделяет шесть приоритетных сегментов в разрезе двухуровневой модели продаж, определяет позиционирование «Биометрия по закону, банковский уровень доверия» и обосновывает выбор интегрированной push-pull-стратегии с асимметричным усилением pull-контура на втором уровне продаж. Параграф 3.2 разворачивает её в комплекс мероприятий: три направления продвижения, шесть отраслевых офферов, четыре группы каналов с достройкой банковской экосистемы как самостоятельного pull-канала, контентную и PR-стратегию с линейкой из четырёх спикеров и планом независимой международной верификации (NIST FRTE и iBeta Level 2), трёхфазный план реализации и численный бюджет 112,7 млн руб. за 36 месяцев в разрезе CAPEX (10,6 млн руб.) и OPEX (96,8 млн руб.). Параграф 3.3 проверяет стратегию через систему KPI из 18 показателей, сценарную оценку выручки 153,7 / 352,3 / 764,5 млн руб., расчёт ROI +36,4 % / +212,6 % / +578,4 % и срока окупаемости 32–33 / 14–15 / 6 мес. в сценариях Π / Р / О, двухслойную матрицу рисков и организационный план с RACI-матрицей и календарём на 12 кварталов. Восемь пробелов продвижения, выявленных в главе 2, покрыты мероприятиями главы 3 без пропусков и дублирования. Стратегия экономически целесообразна во всех трёх сценариях при бюджете менее 1 % от чистых процентных доходов АББ за 2025 год и пригодна к применению в ПАО «Ак Барс Банк» для масштабирования Face2 за пределы Республики Татарстан.</w:t>
      </w:r>
    </w:p>
    <w:p>
      <w:pPr>
        <w:spacing w:before="0" w:after="0" w:line="240" w:lineRule="auto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</w:p>
    <w:p>
      <w:pPr>
        <w:spacing w:before="0" w:after="0" w:line="360" w:lineRule="auto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br w:type="page"/>
      </w:r>
    </w:p>
    <w:p>
      <w:pPr>
        <w:keepNext/>
        <w:keepLines/>
        <w:spacing w:before="240" w:after="120" w:line="360" w:lineRule="auto"/>
        <w:jc w:val="center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b/>
          <w:bCs/>
          <w:color w:val="000000"/>
          <w:sz w:val="28"/>
          <w:szCs w:val="28"/>
          <w:lang w:val="ru-RU"/>
        </w:rPr>
        <w:t xml:space="preserve">ЗАКЛЮЧЕНИЕ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Выпускная квалификационная работа посвящена разработке стратегии продвижения инновационного биометрического продукта Face2 ПАО «Ак Барс Банк» в условиях массовой коммерциализации российского рынка биометрии и ужесточения регуляторного контура обработки биометрических персональных данных. Поставленная цель достигнута, шесть задач исследования решены последовательно в трёх главах работы.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В первой главе систематизированы теоретические основы стратегического продвижения инновационных продуктов и сформирован методический инструментарий, использованный во второй и третьей главах. Раскрыты сущность и пять признаков инновационного продукта (новизна, технологичность, ценность для потребителя, конкурентоспособность, повышенный уровень риска); по теории диффузии Э. Роджерса аудитория разделена на пять групп, что задало ориентир работы стратегии 2026–2028 годов на ранних последователей и раннее большинство. На основе моделей STP и 7P, а также маркетинговой воронки с обязательным этапом «Доверие» обосновано отнесение биометрических систем к высокотехнологичным инновационным продуктам повышенного риска и сформулированы четыре условия их успешного продвижения — правовое, социально-психологическое, технологическое и экономическое. Зафиксирована специфика биометрии в банковском секторе: продвижение здесь начинается с барьеров, а не с информирования, что переводит инструменты § 1.2 в особую конфигурацию — с акцентом на элементы People, Process и Physical evidence в комплексе 7P и расширением этапа «Доверие» в воронке.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Во второй главе проведён анализ деятельности ПАО «Ак Барс Банк», российского рынка биометрии и текущего состояния продвижения Face2. Установлено, что банк располагает совокупными активами 1 157 340 млн рублей, чистыми процентными доходами 58 135 млн рублей за 2025 год, рейтингами уровня «A» по национальной шкале и подтверждённым ESG-статусом, а также аккредитацией Минцифры России в качестве оператора КБС (решение № 4-А от 15 ноября 2023 года), сертификацией ФСБ и ФСТЭК и стажем работы с ЕБС с 10 июля 2018 года. Банк входит в число банков по № 115-ФЗ под номером 101 в перечне Банка России и обладает банковской экосистемой, включающей 930 тыс. активных пользователей мобильного приложения и 450 131 действующую «Карту жителя Республики Татарстан». Продуктовая линейка Face2 разделена на два уровня продаж: уровень 1 — поставка КБС под ключ аккредитованным операторам, уровень 2 — подключение конечных объектов по транзакционной или абонементной модели.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Российский рынок биометрии прошёл точку массовой коммерциализации: 145,9 млн биометрических платежей и 112,5 млрд рублей оборота за девять месяцев 2025 года, более 10 млн пользователей ЕБС к началу 2026 года, средний чек биометрического платежа около 770 рублей. Анализ через PESTEL и пять сил М. Портера показал, что отрасль относится к структурно привлекательным с высокими барьерами входа (572-ФЗ, аккредитация Минцифры, сертификации ФСБ и ФСТЭК, реестр отечественного ПО) и умеренной интенсивностью соперничества внутри отдельных слоёв; ужесточение ответственности по № 420-ФЗ и № 421-ФЗ от 30 ноября 2024 года превращает регуляторный статус в защитный «ров» для аккредитованного оператора. Сравнительный анализ Face2 с ключевыми конкурентами (ПАО «Сбербанк», VisionLabs, OVISION) и балльная экспертная оценка по восьми ключевым факторам успеха, настроенным под целевой сегмент B2B и B2G со сценариями работы с физическими лицами через ЕБС в банковской экосистеме, вывели Face2 на разделённую вторую позицию (4,10) после ПАО «Сбербанк» (4,25) и наравне с VisionLabs (4,10) при отрыве от OVISION на 0,60 балла. Чувствительность результата к выбору весов проверена: при равных весах ранжирование меняется, что подтверждает сегментно-ориентированный характер оценки.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Диагностика текущего продвижения через STP, 7P, маркетинговую воронку и SWOT выявила структурную асимметрию push- и pull-контуров и восемь связанных пробелов: канальный, контентный, сегментный, доказательный, People, конверсионный, лояльностный и географический. Пробелы сгруппированы в три кластера — охвата (1, 3, 8), аргументации (2, 4, 5) и инфраструктуры воронки (6, 7) — и составили управленческую повестку для главы 3.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В третьей главе на основе результатов диагностики разработана стратегия продвижения Face2 и оценена её эффективность. Сформулированы цель и семь задач стратегии на горизонте 2026–2028 годов, выбрано позиционирование «Биометрия по закону, банковский уровень доверия» и обоснован выбор интегрированной push-pull-стратегии с асимметричным усилением pull-контура на втором уровне продаж. Комплекс маркетинговых мероприятий разворачивается в шести подразделах: три направления продвижения (B2B длинного цикла, B2B/B2G короткого цикла, B2C-слой), шесть отраслевых офферов под приоритетные сегменты (банки и МФО, ритейл и вендинг, транспорт, гостеприимство, СКУД промышленных предприятий, госучреждения), четыре группы каналов с достройкой банковской экосистемы как самостоятельного pull-канала, контентная и PR-стратегия с публичной линейкой из четырёх ролей-спикеров (CISO, юрист по № 572-ФЗ, продакт-менеджер, амбассадоры) и планом независимой международной верификации точности (NIST FRTE и iBeta Level 2), трёхфазный план реализации и численный бюджет. Все восемь пробелов главы 2 распределены между мероприятиями главы 3 без пропусков и дублирования.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Экономическое обоснование стратегии выполнено в трёх сценариях. Бюджет составляет 112,7 млн рублей за тридцать шесть месяцев (CAPEX 10,6 млн руб., OPEX 96,8 млн руб., резерв 5,3 млн руб.) — менее одного процента от чистых процентных доходов ПАО «Ак Барс Банк» за 2025 год. Расчётная выручка стратегии — 153,7 / 352,3 / 764,5 млн рублей в пессимистическом, реалистическом и оптимистическом сценариях соответственно. Соответствующие значения ROI на конец горизонта — +36,4 % / +212,6 % / +578,4 %. Срок окупаемости стратегии — 32–33 месяца в пессимистическом сценарии, 14–15 месяцев в реалистическом и 6 месяцев в оптимистическом. Стратегия экономически целесообразна во всех трёх сценариях. Помимо численного эффекта зафиксированы три качественных типа результата — косвенный (переток клиентов в банковскую экосистему), имиджевый (закрепление статуса федерального игрока) и регуляторный (укрепление статуса аккредитованного оператора). Анализ чувствительности модели к снижению среднего чека уровня 1, числа подключений уровня 2 и переносу сертификаций показал, что при ухудшении предпосылок на 25–30 % реалистический сценарий сохраняет положительный ROI выше +150 %.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Управление рисками стратегии построено как двухслойная матрица: реализационный слой содержит управляемые риски, прямо адресуемые мероприятиями главы 3, а остаточный слой — объективные регуляторные и репутационные риски рынка биометрии, которые стратегия не отменяет, но ослабляет за счёт регуляторного и доказательного контента и обходит за счёт массового канала через банковскую экосистему. Организационный план внедрения построен на RACI-матрице из десяти мероприятий и календарном плане на двенадцать кварталов с шестью контрольными точками; распределение ответственности и календарь развёрнуты в Приложениях Б и В.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Положения, вынесенные на защиту, подтверждены: продвижение биометрических банковских продуктов формируется через перенастройку, а не замену стандартных инструментов; конкурентная позиция Face2 определяется сегментно-ориентированным сочетанием регуляторного капитала, банковской экосистемы и продуктовой линейки; восемь пробелов продвижения сгруппированы в три кластера с адресными мероприятиями и метриками; разработанная стратегия экономически целесообразна во всех трёх сценариях.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Теоретическая значимость работы состоит в адаптации классических маркетинговых моделей (STP, 7P, маркетинговой воронки) к специфике биометрических продуктов, функционирующих в условиях государственного регулирования обработки персональных данных, и в формализации трёхкластерной диагностики пробелов продвижения как самостоятельного методического приёма. Практическая значимость заключается в готовности разработанной стратегии и комплекса мероприятий к применению в деятельности ПАО «Ак Барс Банк» для масштабирования Face2 за пределы Республики Татарстан без инвестиций в собственный B2C-маркетинг федерального масштаба, а также в переносимости предложенных подходов на других аккредитованных операторов коммерческих биометрических систем. Главным условием успеха реализации является качественное прохождение фазы активации (месяцы 1–6) с запуском обновлённого face2.ru, формированием публичной линейки спикеров и подачей заявок на независимые сертификации; главным неуправляемым риском — изменение № 572-ФЗ, демпфируемое регуляторным капиталом банка.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Перспективными направлениями дальнейших исследований представляются: количественный мониторинг эффективности предложенных мероприятий по мере их внедрения и сопоставление фактических значений ROI и срока окупаемости с расчётными в трёх сценариях; оценка влияния федеральных законов № 420-ФЗ и № 421-ФЗ от 30 ноября 2024 года на динамику пользовательского доверия к операторам биометрии и на структуру коммуникационных сообщений; сравнительный анализ моделей продвижения биометрических продуктов в банковской сфере России и в других странах с государственными системами биометрической идентификации; разработка отдельной модели продвижения для B2C-сегмента биометрических платежей с учётом ограничений № 572-ФЗ на массовые стимулы.</w:t>
      </w:r>
    </w:p>
    <w:p>
      <w:pPr>
        <w:spacing w:before="0" w:after="0" w:line="240" w:lineRule="auto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</w:p>
    <w:p>
      <w:pPr>
        <w:spacing w:before="0" w:after="0" w:line="360" w:lineRule="auto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br w:type="page"/>
      </w:r>
    </w:p>
    <w:p>
      <w:pPr>
        <w:keepNext/>
        <w:keepLines/>
        <w:spacing w:before="240" w:after="120" w:line="360" w:lineRule="auto"/>
        <w:jc w:val="center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b/>
          <w:bCs/>
          <w:color w:val="000000"/>
          <w:sz w:val="28"/>
          <w:szCs w:val="28"/>
          <w:lang w:val="ru-RU"/>
        </w:rPr>
        <w:t xml:space="preserve">СПИСОК ИСПОЛЬЗОВАННЫХ ИСТОЧНИКОВ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_Список оформлен в соответствии с ГОСТ Р 7.0.100-2018 и Положением о выпускной квалификационной работе ИУЭиФ КФУ. Внутри разделов соблюдён алфавитный порядок (для нормативных правовых актов — по юридической силе и дате принятия); внутри ВКР используется сквозная нумерация арабскими цифрами._</w:t>
      </w:r>
    </w:p>
    <w:p>
      <w:pPr>
        <w:keepNext/>
        <w:keepLines/>
        <w:spacing w:before="200" w:after="120" w:line="360" w:lineRule="auto"/>
        <w:jc w:val="center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b/>
          <w:bCs/>
          <w:color w:val="000000"/>
          <w:sz w:val="28"/>
          <w:szCs w:val="28"/>
          <w:lang w:val="ru-RU"/>
        </w:rPr>
        <w:t xml:space="preserve">I. Нормативные правовые акты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1. Об осуществлении идентификации и (или) аутентификации физических лиц с использованием биометрических персональных данных, о внесении изменений в отдельные законодательные акты Российской Федерации и признании утратившими силу отдельных положений законодательных актов Российской Федерации : Федер. закон от 29 дек. 2022 г. № 572-ФЗ : [принят Гос. Думой 21 дек. 2022 г. : одобрен Советом Федерации 23 дек. 2022 г.] // Официальный интернет-портал правовой информации. — URL: http://pravo.gov.ru (дата обращения: 31.05.2026).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2. О порядке проведения коммерческими биометрическими системами идентификации и (или) аутентификации с использованием биометрических персональных данных : Указание Банка России от 25 сент. 2023 г. № 6541-У // Официальный сайт Банка России. — URL: https://www.cbr.ru/ (дата обращения: 31.05.2026).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3. О повышении внимания кредитных организаций к отдельным операциям клиентов : Методические рекомендации Банка России от 20 дек. 2023 г. № 18-МР // Официальный сайт Банка России. — URL: https://www.cbr.ru/ (дата обращения: 31.05.2026).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4. О повышении внимания кредитных организаций к отдельным операциям клиентов — физических лиц : Методические рекомендации Банка России от 23 дек. 2023 г. № 19-МР // Официальный сайт Банка России. — URL: https://www.cbr.ru/ (дата обращения: 31.05.2026).</w:t>
      </w:r>
    </w:p>
    <w:p>
      <w:pPr>
        <w:keepNext/>
        <w:keepLines/>
        <w:spacing w:before="200" w:after="120" w:line="360" w:lineRule="auto"/>
        <w:jc w:val="center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b/>
          <w:bCs/>
          <w:color w:val="000000"/>
          <w:sz w:val="28"/>
          <w:szCs w:val="28"/>
          <w:lang w:val="ru-RU"/>
        </w:rPr>
        <w:t xml:space="preserve">II. Монографии, учебники и учебные пособия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5. Голубков, Е. П. Маркетинг для профессионалов: практический курс : учебник и практикум для бакалавриата и магистратуры / Е. П. Голубков. — Москва : Издательство Юрайт, 2023. — 474 с.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6. Катаев, А. В. Digital-маркетинг : учебное пособие / А. В. Катаев, Т. М. Катаева, И. А. Названова. — Ростов-на-Дону ; Таганрог : Издательство Южного федерального университета, 2021. — 163 с.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7. Катаева, Т. М. Цифровой маркетинг : учебное пособие / Т. М. Катаева, А. В. Катаев, И. А. Названова. — Ростов-на-Дону ; Таганрог : Издательство Южного федерального университета, 2022. — 168 с.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8. Котлер, Ф. Маркетинг менеджмент. Экспресс-курс / Ф. Котлер ; перевод с английского Д. Раевской. — 2-е изд. — Санкт-Петербург : Питер, 2006. — 464 с. — (Серия «Деловой бестселлер»).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9. Котлер, Ф. Основы маркетинга / Ф. Котлер ; перевод с английского В. Б. Боброва ; общая редакция и вступительная статья Е. М. Пеньковой. — Москва : Прогресс, 1991. — 736 с.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10. Ламбен, Ж.-Ж. Стратегический маркетинг. Европейская перспектива / Ж.-Ж. Ламбен ; перевод с французского. — Санкт-Петербург : Наука, 1996. — 589 с.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11. Портер, М. Конкурентная стратегия: Методика анализа отраслей и конкурентов / Майкл Портер ; перевод с английского И. Минервина. — Москва : Альпина Бизнес Букс, 2005. — 454 с.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12. Тебекин, А. В. Инновационный менеджмент : учебник для бакалавров / А. В. Тебекин. — Москва : Издательство Юрайт, 2020. — 481 с. — (Серия «Бакалавр. Академический курс»).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13. Управление инновациями : учебник для академического бакалавриата / под редакцией Е. А. Мальцевой. — Москва : Издательство Юрайт, 2022. — 256 с.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14. Шумпетер, Й. А. Теория экономического развития / Й. А. Шумпетер ; перевод с немецкого В. С. Автономова, М. С. Любского, А. Ю. Чепуренко. — Москва : Прогресс, 1982. — 455 с.</w:t>
      </w:r>
    </w:p>
    <w:p>
      <w:pPr>
        <w:keepNext/>
        <w:keepLines/>
        <w:spacing w:before="200" w:after="120" w:line="360" w:lineRule="auto"/>
        <w:jc w:val="center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b/>
          <w:bCs/>
          <w:color w:val="000000"/>
          <w:sz w:val="28"/>
          <w:szCs w:val="28"/>
          <w:lang w:val="ru-RU"/>
        </w:rPr>
        <w:t xml:space="preserve">III. Статьи в периодических изданиях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15. Биометрическая идентификация: сущность и применение технологии в платёжной индустрии // Финансы: теория и практика. — 2022. — Т. 26, № 1. — С. 28–40. — URL: https://cyberleninka.ru/ (дата обращения: 31.05.2026).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16. Биометрия в банках и факторы, сдерживающие её развитие // Банковские услуги. — 2021. — № 4. — С. 36–52. — URL: https://cyberleninka.ru/ (дата обращения: 31.05.2026).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17. Идентификация фазы развития и технологической зрелости инновационных продуктов на основе параметров демонстративного потребления / Е. В. Линская [и др.] // Новое в экономической кибернетике. — 2023. — № 1. — С. 188–195. — DOI 10.5281/zenodo.18048804.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18. Маркетинговые стратегии инновационных продуктов и пути их совершенствования // Стратегии бизнеса. — 2022. — Т. 10, № 5. — С. 3–8. — URL: https://cyberleninka.ru/ (дата обращения: 31.05.2026).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19. Маркетинговые стратегии продвижения инновационного продукта на рынок // Экономика и предпринимательство. — 2021. — № 11. — С. 3–9. — URL: https://cyberleninka.ru/ (дата обращения: 31.05.2026).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20. Необходимость маркетинга в продвижении инновационных продуктов // Креативная экономика. — 2020. — Т. 14, № 7. — С. 9–16. — URL: https://cyberleninka.ru/ (дата обращения: 31.05.2026).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21. Оборевич, А. А. Стратегия продвижения инновационного продукта на промышленном рынке: концептуальная модель / А. А. Оборевич, О. А. Третьяк // Российский журнал менеджмента. — 2021. — Т. 19, № 1. — С. 88–110.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22. Особенности маркетинга инноваций // Вопросы инновационной экономики. — 2020. — Т. 10, № 4. — С. 9–18. — URL: https://cyberleninka.ru/ (дата обращения: 31.05.2026).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23. Правовое регулирование использования биометрии в банковской сфере и проблемы по её охране // Юридическая наука. — 2022. — № 2. — С. 90–96. — URL: https://cyberleninka.ru/ (дата обращения: 31.05.2026).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24. Применение биометрической идентификации в банках: проблемы и перспективы // Финансовые рынки и банки. — 2021. — № 6. — С. 100–110. — URL: https://cyberleninka.ru/ (дата обращения: 31.05.2026).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25. Проблемы и перспективы развития биометрических технологий в банковской деятельности // Вестник науки. — 2022. — № 5. — С. 112–119. — URL: https://cyberleninka.ru/ (дата обращения: 31.05.2026).</w:t>
      </w:r>
    </w:p>
    <w:p>
      <w:pPr>
        <w:keepNext/>
        <w:keepLines/>
        <w:spacing w:before="200" w:after="120" w:line="360" w:lineRule="auto"/>
        <w:jc w:val="center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b/>
          <w:bCs/>
          <w:color w:val="000000"/>
          <w:sz w:val="28"/>
          <w:szCs w:val="28"/>
          <w:lang w:val="ru-RU"/>
        </w:rPr>
        <w:t xml:space="preserve">IV. Финансовая отчётность и корпоративные документы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26. Ак Барс Банк : Годовой отчёт за 2024 год / ПАО «АК БАРС» БАНК. — Казань, 2025. — 40 с. — URL: https://www.akbars.ru/about/reports/ (дата обращения: 31.05.2026).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27. Биометрия АК БАРС БАНКа (Face2) : презентационные и проектные материалы / ПАО «АК БАРС» БАНК. — Казань, 2025. — Внутренний документ банка, предоставлен автору в ходе преддипломной практики.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28. Информационная система Face2. Руководство по развёртыванию. Версия 1.0 / АО «Социальная Карта». — Казань, 2025. — Документ разработчика программного обеспечения, предоставлен автору в ходе преддипломной практики.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29. Информационная система Face2. Функциональные возможности продукта. Версия 1.0 / АО «Социальная Карта». — Казань, 2025. — Документ разработчика программного обеспечения, предоставлен автору в ходе преддипломной практики.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30. Раскрываемая годовая бухгалтерская (финансовая) отчётность за 2024 год / ПАО «АК БАРС» БАНК. — Казань, 2025. — URL: https://www.akbars.ru/about/reports/ (дата обращения: 31.05.2026).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31. Финансовая отчётность ПАО «АК БАРС» БАНК за 2023 год. — Казань, 2024. — URL: https://www.akbars.ru/about/reports/ (дата обращения: 31.05.2026).</w:t>
      </w:r>
    </w:p>
    <w:p>
      <w:pPr>
        <w:keepNext/>
        <w:keepLines/>
        <w:spacing w:before="200" w:after="120" w:line="360" w:lineRule="auto"/>
        <w:jc w:val="center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b/>
          <w:bCs/>
          <w:color w:val="000000"/>
          <w:sz w:val="28"/>
          <w:szCs w:val="28"/>
          <w:lang w:val="ru-RU"/>
        </w:rPr>
        <w:t xml:space="preserve">V. Электронные ресурсы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32. Арялина, М. Узнать одного из тысячи: как биометрические системы стали нашей повседневностью / М. Арялина // Ведомости. Инновации и технологии. — 2026. — 11 марта. — URL: https://www.vedomosti.ru/ (дата обращения: 31.05.2026).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33. Банк России. Обзор международного рынка биометрических технологий и их применение в финансовом секторе. — Москва, 2018. — 25 с. — URL: https://www.cbr.ru/ (дата обращения: 31.05.2026).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34. Банк России. Платежи с использованием биометрии и QR-кодов во II квартале 2025 года : пресс-релиз. — Москва, 2025. — URL: https://www.cbr.ru/press/event/ (дата обращения: 31.05.2026).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35. Банк России. Перечень банков, соответствующих требованиям пункта 5.7 статьи 7 Федерального закона от 7 августа 2001 г. № 115-ФЗ : по состоянию на 4 мая 2026 г. — Москва, 2026. — URL: https://www.cbr.ru/ (дата обращения: 31.05.2026).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36. Банк России. Удалённая идентификация : описание механизма и этапы пользовательского пути. — Москва, [2024]. — URL: https://www.cbr.ru/ (дата обращения: 31.05.2026).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37. Единая биометрическая система : официальный сайт оператора / АО «Центр биометрических технологий». — Москва, 2025. — URL: https://ebs.ru/citizens/ (дата обращения: 31.05.2026).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38. Оплата улыбкой : статистика биометрических платежей ПАО Сбербанк за август 2024 года. — URL: https://www.sber.ru/ (дата обращения: 31.05.2026).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39. TAdviser. АК БАРС Банк : подключение к Единой биометрической системе (2018) : проектная карточка // TAdviser. Государство. Бизнес. ИТ. — URL: https://www.tadviser.ru/ (дата обращения: 31.05.2026).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40. VisionLabs : официальный сайт компании. — URL: https://visionlabs.ru/ (дата обращения: 31.05.2026).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41. OVISION : официальный сайт компании. — URL: https://ovision.ru/ (дата обращения: 31.05.2026).</w:t>
      </w:r>
    </w:p>
    <w:p>
      <w:pPr>
        <w:spacing w:before="0" w:after="0" w:line="240" w:lineRule="auto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</w:p>
    <w:p>
      <w:pPr>
        <w:keepNext/>
        <w:keepLines/>
        <w:spacing w:before="240" w:after="120" w:line="360" w:lineRule="auto"/>
        <w:jc w:val="center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b/>
          <w:bCs/>
          <w:color w:val="000000"/>
          <w:sz w:val="28"/>
          <w:szCs w:val="28"/>
          <w:lang w:val="ru-RU"/>
        </w:rPr>
        <w:t xml:space="preserve">ПРИЛОЖЕНИЯ</w:t>
      </w:r>
    </w:p>
    <w:p>
      <w:pPr>
        <w:keepNext/>
        <w:keepLines/>
        <w:spacing w:before="200" w:after="120" w:line="360" w:lineRule="auto"/>
        <w:jc w:val="center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b/>
          <w:bCs/>
          <w:color w:val="000000"/>
          <w:sz w:val="28"/>
          <w:szCs w:val="28"/>
          <w:lang w:val="ru-RU"/>
        </w:rPr>
        <w:t xml:space="preserve">Приложение А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Система ключевых показателей результативности (KPI) стратегии продвижения Face2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Двумерная матрица из 18 показателей: строки — три направления продвижения из таблицы 3.2.1; столбцы — шесть этапов маркетинговой воронки § 1.2 (Осведомлённость, Интерес, Доверие, Пилот, Принятие, Лояльность). Источник: составлено автором на основе таблицы 3.2.1, шестиэтапной воронки § 1.2, [6, с. 64; 7, с. 64; 8, с. 412; 10, с. 156].</w:t>
      </w:r>
    </w:p>
    <w:tbl>
      <w:tblPr>
        <w:tblW w:w="963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43"/>
        <w:gridCol w:w="1490"/>
        <w:gridCol w:w="1490"/>
        <w:gridCol w:w="1490"/>
        <w:gridCol w:w="1242"/>
        <w:gridCol w:w="1490"/>
        <w:gridCol w:w="1490"/>
      </w:tblGrid>
      <w:tr>
        <w:trPr>
          <w:tblHeader/>
          <w:cantSplit/>
        </w:trPr>
        <w:tc>
          <w:tcPr>
            <w:tcW w:w="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Направление 3.2.1 \ Этап воронки</w:t>
            </w:r>
          </w:p>
        </w:tc>
        <w:tc>
          <w:tcPr>
            <w:tcW w:w="1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Осведомлённость</w:t>
            </w:r>
          </w:p>
        </w:tc>
        <w:tc>
          <w:tcPr>
            <w:tcW w:w="1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Интерес</w:t>
            </w:r>
          </w:p>
        </w:tc>
        <w:tc>
          <w:tcPr>
            <w:tcW w:w="1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Доверие</w:t>
            </w:r>
          </w:p>
        </w:tc>
        <w:tc>
          <w:tcPr>
            <w:tcW w:w="1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Пилот</w:t>
            </w:r>
          </w:p>
        </w:tc>
        <w:tc>
          <w:tcPr>
            <w:tcW w:w="1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Принятие</w:t>
            </w:r>
          </w:p>
        </w:tc>
        <w:tc>
          <w:tcPr>
            <w:tcW w:w="1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Лояльность</w:t>
            </w:r>
          </w:p>
        </w:tc>
      </w:tr>
      <w:tr>
        <w:trPr>
          <w:cantSplit/>
        </w:trPr>
        <w:tc>
          <w:tcPr>
            <w:tcW w:w="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А. B2B длинного цикла (уровень 1)</w:t>
            </w:r>
          </w:p>
        </w:tc>
        <w:tc>
          <w:tcPr>
            <w:tcW w:w="1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Цитируемость в деловых СМИ; число публикаций экспертного контента</w:t>
            </w:r>
          </w:p>
        </w:tc>
        <w:tc>
          <w:tcPr>
            <w:tcW w:w="1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Число входящих RFP; число запросов на демо</w:t>
            </w:r>
          </w:p>
        </w:tc>
        <w:tc>
          <w:tcPr>
            <w:tcW w:w="1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Число подтверждённых референсов; результаты NIST FRTE и iBeta Level 2</w:t>
            </w:r>
          </w:p>
        </w:tc>
        <w:tc>
          <w:tcPr>
            <w:tcW w:w="1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Число активных пилотов; средняя длительность пилота</w:t>
            </w:r>
          </w:p>
        </w:tc>
        <w:tc>
          <w:tcPr>
            <w:tcW w:w="1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Число подписанных контрактов уровня 1; выручка КБС под ключ</w:t>
            </w:r>
          </w:p>
        </w:tc>
        <w:tc>
          <w:tcPr>
            <w:tcW w:w="1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Доля контрактов с расширением модулей; NPS клиентов уровня 1</w:t>
            </w:r>
          </w:p>
        </w:tc>
      </w:tr>
      <w:tr>
        <w:trPr>
          <w:cantSplit/>
        </w:trPr>
        <w:tc>
          <w:tcPr>
            <w:tcW w:w="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Б. B2B/B2G короткого цикла (уровень 2)</w:t>
            </w:r>
          </w:p>
        </w:tc>
        <w:tc>
          <w:tcPr>
            <w:tcW w:w="1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Уникальные посетители face2.ru; охват контекстной рекламы</w:t>
            </w:r>
          </w:p>
        </w:tc>
        <w:tc>
          <w:tcPr>
            <w:tcW w:w="1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Заявки через CTA-механику; загрузки типовых КП по шести сегментам</w:t>
            </w:r>
          </w:p>
        </w:tc>
        <w:tc>
          <w:tcPr>
            <w:tcW w:w="1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Число просмотров кейсового и регуляторного контента; CTR доказательного контента</w:t>
            </w:r>
          </w:p>
        </w:tc>
        <w:tc>
          <w:tcPr>
            <w:tcW w:w="1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Число подключений в пилотном статусе</w:t>
            </w:r>
          </w:p>
        </w:tc>
        <w:tc>
          <w:tcPr>
            <w:tcW w:w="1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Число коммерческих подключений; выручка Face2Pay, Face2Pass, Face2Check-in</w:t>
            </w:r>
          </w:p>
        </w:tc>
        <w:tc>
          <w:tcPr>
            <w:tcW w:w="1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Доля повторных продаж модулей; LTV подключённого объекта</w:t>
            </w:r>
          </w:p>
        </w:tc>
      </w:tr>
      <w:tr>
        <w:trPr>
          <w:cantSplit/>
        </w:trPr>
        <w:tc>
          <w:tcPr>
            <w:tcW w:w="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В. B2C-слой</w:t>
            </w:r>
          </w:p>
        </w:tc>
        <w:tc>
          <w:tcPr>
            <w:tcW w:w="1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Регистрации в ЕБС через приложение АБО АББ; охват в «Карте жителя РТ»</w:t>
            </w:r>
          </w:p>
        </w:tc>
        <w:tc>
          <w:tcPr>
            <w:tcW w:w="1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Активации Face2Pay в метрополитене; число первых транзакций</w:t>
            </w:r>
          </w:p>
        </w:tc>
        <w:tc>
          <w:tcPr>
            <w:tcW w:w="1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Доля повторных транзакций; снижение оттока после первой неудачной попытки</w:t>
            </w:r>
          </w:p>
        </w:tc>
        <w:tc>
          <w:tcPr>
            <w:tcW w:w="1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— (этап не применим к B2C)</w:t>
            </w:r>
          </w:p>
        </w:tc>
        <w:tc>
          <w:tcPr>
            <w:tcW w:w="1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Доля активных пользователей; средняя частота транзакций на пользователя</w:t>
            </w:r>
          </w:p>
        </w:tc>
        <w:tc>
          <w:tcPr>
            <w:tcW w:w="1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NPS B2C; доля рекомендующих</w:t>
            </w:r>
          </w:p>
        </w:tc>
      </w:tr>
    </w:tbl>
    <w:p>
      <w:pPr>
        <w:spacing w:before="0" w:after="0" w:line="240" w:lineRule="auto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Каждый KPI имеет три атрибута: целевое значение в трёх сценариях (Π / Р / О) на конец каждой фазы; метод измерения (внутренние логи face2.ru, инструменты медиа-мониторинга, CRM банка, отчётность маркетинговой службы); допущение о бенчмарке. Ключевые ориентиры реалистического сценария (Р) приведены в § 3.3.1 основного текста.</w:t>
      </w:r>
    </w:p>
    <w:p>
      <w:pPr>
        <w:keepNext/>
        <w:keepLines/>
        <w:spacing w:before="200" w:after="120" w:line="360" w:lineRule="auto"/>
        <w:jc w:val="center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b/>
          <w:bCs/>
          <w:color w:val="000000"/>
          <w:sz w:val="28"/>
          <w:szCs w:val="28"/>
          <w:lang w:val="ru-RU"/>
        </w:rPr>
        <w:t xml:space="preserve">Приложение Б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RACI-матрица распределения ответственности по мероприятиям стратегии продвижения Face2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Условные обозначения: R — Responsible (исполнитель); A — Accountable (ответственный); C — Consulted (консультирующий); I — Informed (информируемый). Источник: составлено автором с учётом организационной структуры банка [26, с. 4] и распределения функций по подразделам 3.2.1–3.2.5.</w:t>
      </w:r>
    </w:p>
    <w:tbl>
      <w:tblPr>
        <w:tblW w:w="9632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56"/>
        <w:gridCol w:w="1134"/>
        <w:gridCol w:w="652"/>
        <w:gridCol w:w="872"/>
        <w:gridCol w:w="959"/>
        <w:gridCol w:w="652"/>
        <w:gridCol w:w="652"/>
        <w:gridCol w:w="1134"/>
        <w:gridCol w:w="1221"/>
      </w:tblGrid>
      <w:tr>
        <w:trPr>
          <w:tblHeader/>
          <w:cantSplit/>
        </w:trPr>
        <w:tc>
          <w:tcPr>
            <w:tcW w:w="2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Мероприятие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Маркетинговая служба</w:t>
            </w:r>
          </w:p>
        </w:tc>
        <w:tc>
          <w:tcPr>
            <w:tcW w:w="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Команда Face2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PR-функция</w:t>
            </w:r>
          </w:p>
        </w:tc>
        <w:tc>
          <w:tcPr>
            <w:tcW w:w="9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Юридическая служба</w:t>
            </w:r>
          </w:p>
        </w:tc>
        <w:tc>
          <w:tcPr>
            <w:tcW w:w="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CISO</w:t>
            </w:r>
          </w:p>
        </w:tc>
        <w:tc>
          <w:tcPr>
            <w:tcW w:w="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Продажи B2B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Партнёрское подразделение</w:t>
            </w:r>
          </w:p>
        </w:tc>
        <w:tc>
          <w:tcPr>
            <w:tcW w:w="12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Внешние партнёры</w:t>
            </w:r>
          </w:p>
        </w:tc>
      </w:tr>
      <w:tr>
        <w:trPr>
          <w:cantSplit/>
        </w:trPr>
        <w:tc>
          <w:tcPr>
            <w:tcW w:w="2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Переоснащение face2.ru под CTA-механику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A</w:t>
            </w:r>
          </w:p>
        </w:tc>
        <w:tc>
          <w:tcPr>
            <w:tcW w:w="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R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C</w:t>
            </w:r>
          </w:p>
        </w:tc>
        <w:tc>
          <w:tcPr>
            <w:tcW w:w="9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C</w:t>
            </w:r>
          </w:p>
        </w:tc>
        <w:tc>
          <w:tcPr>
            <w:tcW w:w="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I</w:t>
            </w:r>
          </w:p>
        </w:tc>
        <w:tc>
          <w:tcPr>
            <w:tcW w:w="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I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I</w:t>
            </w:r>
          </w:p>
        </w:tc>
        <w:tc>
          <w:tcPr>
            <w:tcW w:w="12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R (агентство)</w:t>
            </w:r>
          </w:p>
        </w:tc>
      </w:tr>
      <w:tr>
        <w:trPr>
          <w:cantSplit/>
        </w:trPr>
        <w:tc>
          <w:tcPr>
            <w:tcW w:w="2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Контентный конвейер (3 типа контента)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A</w:t>
            </w:r>
          </w:p>
        </w:tc>
        <w:tc>
          <w:tcPr>
            <w:tcW w:w="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C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R</w:t>
            </w:r>
          </w:p>
        </w:tc>
        <w:tc>
          <w:tcPr>
            <w:tcW w:w="9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C</w:t>
            </w:r>
          </w:p>
        </w:tc>
        <w:tc>
          <w:tcPr>
            <w:tcW w:w="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C</w:t>
            </w:r>
          </w:p>
        </w:tc>
        <w:tc>
          <w:tcPr>
            <w:tcW w:w="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I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I</w:t>
            </w:r>
          </w:p>
        </w:tc>
        <w:tc>
          <w:tcPr>
            <w:tcW w:w="12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R (студия)</w:t>
            </w:r>
          </w:p>
        </w:tc>
      </w:tr>
      <w:tr>
        <w:trPr>
          <w:cantSplit/>
        </w:trPr>
        <w:tc>
          <w:tcPr>
            <w:tcW w:w="2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Заявки на NIST FRTE и iBeta Level 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I</w:t>
            </w:r>
          </w:p>
        </w:tc>
        <w:tc>
          <w:tcPr>
            <w:tcW w:w="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A/R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C</w:t>
            </w:r>
          </w:p>
        </w:tc>
        <w:tc>
          <w:tcPr>
            <w:tcW w:w="9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C</w:t>
            </w:r>
          </w:p>
        </w:tc>
        <w:tc>
          <w:tcPr>
            <w:tcW w:w="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C</w:t>
            </w:r>
          </w:p>
        </w:tc>
        <w:tc>
          <w:tcPr>
            <w:tcW w:w="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I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I</w:t>
            </w:r>
          </w:p>
        </w:tc>
        <w:tc>
          <w:tcPr>
            <w:tcW w:w="12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R (лаборатория)</w:t>
            </w:r>
          </w:p>
        </w:tc>
      </w:tr>
      <w:tr>
        <w:trPr>
          <w:cantSplit/>
        </w:trPr>
        <w:tc>
          <w:tcPr>
            <w:tcW w:w="2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Участие в отраслевых конференциях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A</w:t>
            </w:r>
          </w:p>
        </w:tc>
        <w:tc>
          <w:tcPr>
            <w:tcW w:w="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C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R</w:t>
            </w:r>
          </w:p>
        </w:tc>
        <w:tc>
          <w:tcPr>
            <w:tcW w:w="9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I</w:t>
            </w:r>
          </w:p>
        </w:tc>
        <w:tc>
          <w:tcPr>
            <w:tcW w:w="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C</w:t>
            </w:r>
          </w:p>
        </w:tc>
        <w:tc>
          <w:tcPr>
            <w:tcW w:w="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C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C</w:t>
            </w:r>
          </w:p>
        </w:tc>
        <w:tc>
          <w:tcPr>
            <w:tcW w:w="12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R (организаторы)</w:t>
            </w:r>
          </w:p>
        </w:tc>
      </w:tr>
      <w:tr>
        <w:trPr>
          <w:cantSplit/>
        </w:trPr>
        <w:tc>
          <w:tcPr>
            <w:tcW w:w="2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Развитие партнёрской сети интеграторов и вендоров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C</w:t>
            </w:r>
          </w:p>
        </w:tc>
        <w:tc>
          <w:tcPr>
            <w:tcW w:w="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C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I</w:t>
            </w:r>
          </w:p>
        </w:tc>
        <w:tc>
          <w:tcPr>
            <w:tcW w:w="9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I</w:t>
            </w:r>
          </w:p>
        </w:tc>
        <w:tc>
          <w:tcPr>
            <w:tcW w:w="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I</w:t>
            </w:r>
          </w:p>
        </w:tc>
        <w:tc>
          <w:tcPr>
            <w:tcW w:w="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C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A/R</w:t>
            </w:r>
          </w:p>
        </w:tc>
        <w:tc>
          <w:tcPr>
            <w:tcW w:w="12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I</w:t>
            </w:r>
          </w:p>
        </w:tc>
      </w:tr>
      <w:tr>
        <w:trPr>
          <w:cantSplit/>
        </w:trPr>
        <w:tc>
          <w:tcPr>
            <w:tcW w:w="2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Пилоты уровня 1 (КБС под ключ)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C</w:t>
            </w:r>
          </w:p>
        </w:tc>
        <w:tc>
          <w:tcPr>
            <w:tcW w:w="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R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I</w:t>
            </w:r>
          </w:p>
        </w:tc>
        <w:tc>
          <w:tcPr>
            <w:tcW w:w="9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C</w:t>
            </w:r>
          </w:p>
        </w:tc>
        <w:tc>
          <w:tcPr>
            <w:tcW w:w="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C</w:t>
            </w:r>
          </w:p>
        </w:tc>
        <w:tc>
          <w:tcPr>
            <w:tcW w:w="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A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C</w:t>
            </w:r>
          </w:p>
        </w:tc>
        <w:tc>
          <w:tcPr>
            <w:tcW w:w="12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I</w:t>
            </w:r>
          </w:p>
        </w:tc>
      </w:tr>
      <w:tr>
        <w:trPr>
          <w:cantSplit/>
        </w:trPr>
        <w:tc>
          <w:tcPr>
            <w:tcW w:w="2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Подключения объектов уровня 2 (Face2Pay/Pass/Check-in)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A</w:t>
            </w:r>
          </w:p>
        </w:tc>
        <w:tc>
          <w:tcPr>
            <w:tcW w:w="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R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I</w:t>
            </w:r>
          </w:p>
        </w:tc>
        <w:tc>
          <w:tcPr>
            <w:tcW w:w="9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I</w:t>
            </w:r>
          </w:p>
        </w:tc>
        <w:tc>
          <w:tcPr>
            <w:tcW w:w="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I</w:t>
            </w:r>
          </w:p>
        </w:tc>
        <w:tc>
          <w:tcPr>
            <w:tcW w:w="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C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R</w:t>
            </w:r>
          </w:p>
        </w:tc>
        <w:tc>
          <w:tcPr>
            <w:tcW w:w="12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I</w:t>
            </w:r>
          </w:p>
        </w:tc>
      </w:tr>
      <w:tr>
        <w:trPr>
          <w:cantSplit/>
        </w:trPr>
        <w:tc>
          <w:tcPr>
            <w:tcW w:w="2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Регуляторные обзоры в контенте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C</w:t>
            </w:r>
          </w:p>
        </w:tc>
        <w:tc>
          <w:tcPr>
            <w:tcW w:w="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I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C</w:t>
            </w:r>
          </w:p>
        </w:tc>
        <w:tc>
          <w:tcPr>
            <w:tcW w:w="9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A/R</w:t>
            </w:r>
          </w:p>
        </w:tc>
        <w:tc>
          <w:tcPr>
            <w:tcW w:w="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C</w:t>
            </w:r>
          </w:p>
        </w:tc>
        <w:tc>
          <w:tcPr>
            <w:tcW w:w="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I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I</w:t>
            </w:r>
          </w:p>
        </w:tc>
        <w:tc>
          <w:tcPr>
            <w:tcW w:w="12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I</w:t>
            </w:r>
          </w:p>
        </w:tc>
      </w:tr>
      <w:tr>
        <w:trPr>
          <w:cantSplit/>
        </w:trPr>
        <w:tc>
          <w:tcPr>
            <w:tcW w:w="2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PR-размещения в деловых федеральных СМИ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A</w:t>
            </w:r>
          </w:p>
        </w:tc>
        <w:tc>
          <w:tcPr>
            <w:tcW w:w="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C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R</w:t>
            </w:r>
          </w:p>
        </w:tc>
        <w:tc>
          <w:tcPr>
            <w:tcW w:w="9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C</w:t>
            </w:r>
          </w:p>
        </w:tc>
        <w:tc>
          <w:tcPr>
            <w:tcW w:w="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C</w:t>
            </w:r>
          </w:p>
        </w:tc>
        <w:tc>
          <w:tcPr>
            <w:tcW w:w="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I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I</w:t>
            </w:r>
          </w:p>
        </w:tc>
        <w:tc>
          <w:tcPr>
            <w:tcW w:w="12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R (агентство)</w:t>
            </w:r>
          </w:p>
        </w:tc>
      </w:tr>
      <w:tr>
        <w:trPr>
          <w:cantSplit/>
        </w:trPr>
        <w:tc>
          <w:tcPr>
            <w:tcW w:w="2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Референсная программа фазы 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A</w:t>
            </w:r>
          </w:p>
        </w:tc>
        <w:tc>
          <w:tcPr>
            <w:tcW w:w="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R</w:t>
            </w:r>
          </w:p>
        </w:tc>
        <w:tc>
          <w:tcPr>
            <w:tcW w:w="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C</w:t>
            </w:r>
          </w:p>
        </w:tc>
        <w:tc>
          <w:tcPr>
            <w:tcW w:w="9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I</w:t>
            </w:r>
          </w:p>
        </w:tc>
        <w:tc>
          <w:tcPr>
            <w:tcW w:w="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I</w:t>
            </w:r>
          </w:p>
        </w:tc>
        <w:tc>
          <w:tcPr>
            <w:tcW w:w="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C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C</w:t>
            </w:r>
          </w:p>
        </w:tc>
        <w:tc>
          <w:tcPr>
            <w:tcW w:w="12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I</w:t>
            </w:r>
          </w:p>
        </w:tc>
      </w:tr>
    </w:tbl>
    <w:p>
      <w:pPr>
        <w:spacing w:before="0" w:after="0" w:line="240" w:lineRule="auto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</w:p>
    <w:p>
      <w:pPr>
        <w:keepNext/>
        <w:keepLines/>
        <w:spacing w:before="200" w:after="120" w:line="360" w:lineRule="auto"/>
        <w:jc w:val="center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b/>
          <w:bCs/>
          <w:color w:val="000000"/>
          <w:sz w:val="28"/>
          <w:szCs w:val="28"/>
          <w:lang w:val="ru-RU"/>
        </w:rPr>
        <w:t xml:space="preserve">Приложение В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Календарный план реализации стратегии продвижения Face2 с контрольными точками</w:t>
      </w:r>
    </w:p>
    <w:p>
      <w:pPr>
        <w:spacing w:before="0" w:after="0" w:line="360" w:lineRule="auto"/>
        <w:ind w:firstLine="708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  <w:r>
        <w:rPr>
          <w:rFonts w:ascii="Times New Roman" w:hAnsi="Times New Roman" w:cs="Times New Roman" w:eastAsia="Times New Roman"/>
          <w:color w:val="000000"/>
          <w:sz w:val="28"/>
          <w:szCs w:val="28"/>
          <w:lang w:val="ru-RU"/>
        </w:rPr>
        <w:t xml:space="preserve">Условные обозначения: «X» — высокая интенсивность мероприятия в квартале, «x» — низкая интенсивность, пустая ячейка — мероприятие не ведётся. Контрольные точки КТ1–КТ6 описаны в § 3.3.4 основного текста. Источник: составлено автором на основе § 3.2.5 и логики контрольных точек § 3.3.4.</w:t>
      </w:r>
    </w:p>
    <w:tbl>
      <w:tblPr>
        <w:tblW w:w="963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904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</w:tblGrid>
      <w:tr>
        <w:trPr>
          <w:tblHeader/>
          <w:cantSplit/>
        </w:trPr>
        <w:tc>
          <w:tcPr>
            <w:tcW w:w="29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Мероприятие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Q1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Q2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Q3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Q4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Q5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Q6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Q7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Q8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Q9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Q10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Q11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Q12</w:t>
            </w:r>
          </w:p>
        </w:tc>
      </w:tr>
      <w:tr>
        <w:trPr>
          <w:cantSplit/>
        </w:trPr>
        <w:tc>
          <w:tcPr>
            <w:tcW w:w="29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Переоснащение face2.ru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X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X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/>
            </w:r>
          </w:p>
        </w:tc>
      </w:tr>
      <w:tr>
        <w:trPr>
          <w:cantSplit/>
        </w:trPr>
        <w:tc>
          <w:tcPr>
            <w:tcW w:w="29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Контентный конвейер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X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X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X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X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X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X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X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X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X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X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X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X</w:t>
            </w:r>
          </w:p>
        </w:tc>
      </w:tr>
      <w:tr>
        <w:trPr>
          <w:cantSplit/>
        </w:trPr>
        <w:tc>
          <w:tcPr>
            <w:tcW w:w="29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Линейка спикеров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X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X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/>
            </w:r>
          </w:p>
        </w:tc>
      </w:tr>
      <w:tr>
        <w:trPr>
          <w:cantSplit/>
        </w:trPr>
        <w:tc>
          <w:tcPr>
            <w:tcW w:w="29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Заявки на NIST FRTE и iBeta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X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X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X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X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/>
            </w:r>
          </w:p>
        </w:tc>
      </w:tr>
      <w:tr>
        <w:trPr>
          <w:cantSplit/>
        </w:trPr>
        <w:tc>
          <w:tcPr>
            <w:tcW w:w="29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Бренд Face2 в социальных сетях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X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X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/>
            </w:r>
          </w:p>
        </w:tc>
      </w:tr>
      <w:tr>
        <w:trPr>
          <w:cantSplit/>
        </w:trPr>
        <w:tc>
          <w:tcPr>
            <w:tcW w:w="29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Типовые отраслевые КП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X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X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/>
            </w:r>
          </w:p>
        </w:tc>
      </w:tr>
      <w:tr>
        <w:trPr>
          <w:cantSplit/>
        </w:trPr>
        <w:tc>
          <w:tcPr>
            <w:tcW w:w="29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Отраслевые конференции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x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X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X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X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X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x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x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x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x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/>
            </w:r>
          </w:p>
        </w:tc>
      </w:tr>
      <w:tr>
        <w:trPr>
          <w:cantSplit/>
        </w:trPr>
        <w:tc>
          <w:tcPr>
            <w:tcW w:w="29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Пилоты уровня 1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x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X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X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X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X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X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X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X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X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X</w:t>
            </w:r>
          </w:p>
        </w:tc>
      </w:tr>
      <w:tr>
        <w:trPr>
          <w:cantSplit/>
        </w:trPr>
        <w:tc>
          <w:tcPr>
            <w:tcW w:w="29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Подключения объектов уровня 2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X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X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X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X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X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X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X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X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X</w:t>
            </w:r>
          </w:p>
        </w:tc>
      </w:tr>
      <w:tr>
        <w:trPr>
          <w:cantSplit/>
        </w:trPr>
        <w:tc>
          <w:tcPr>
            <w:tcW w:w="29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Размещения в деловых СМИ и ИТ-каталогах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x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X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X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X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X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X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x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x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x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x</w:t>
            </w:r>
          </w:p>
        </w:tc>
      </w:tr>
      <w:tr>
        <w:trPr>
          <w:cantSplit/>
        </w:trPr>
        <w:tc>
          <w:tcPr>
            <w:tcW w:w="29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Банковская экосистема как канал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x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X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X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X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X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X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X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X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X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X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X</w:t>
            </w:r>
          </w:p>
        </w:tc>
      </w:tr>
      <w:tr>
        <w:trPr>
          <w:cantSplit/>
        </w:trPr>
        <w:tc>
          <w:tcPr>
            <w:tcW w:w="29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Референсная программа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x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X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X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X</w:t>
            </w:r>
          </w:p>
        </w:tc>
      </w:tr>
      <w:tr>
        <w:trPr>
          <w:cantSplit/>
        </w:trPr>
        <w:tc>
          <w:tcPr>
            <w:tcW w:w="29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Контрольные точки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КТ1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КТ2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КТ3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КТ4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КТ5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КТ6</w:t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rPr>
                <w:rFonts w:ascii="Times New Roman" w:hAnsi="Times New Roman" w:cs="Times New Roman" w:eastAsia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z w:val="24"/>
                <w:szCs w:val="24"/>
                <w:lang w:val="ru-RU"/>
              </w:rPr>
              <w:t xml:space="preserve">КТ6</w:t>
            </w:r>
          </w:p>
        </w:tc>
      </w:tr>
    </w:tbl>
    <w:p>
      <w:pPr>
        <w:spacing w:before="0" w:after="0" w:line="240" w:lineRule="auto"/>
        <w:jc w:val="both"/>
        <w:rPr>
          <w:rFonts w:ascii="Times New Roman" w:hAnsi="Times New Roman" w:cs="Times New Roman" w:eastAsia="Times New Roman"/>
          <w:sz w:val="28"/>
          <w:szCs w:val="28"/>
          <w:lang w:val="ru-RU"/>
        </w:rPr>
      </w:pPr>
    </w:p>
    <w:sectPr>
      <w:pgSz w:w="11906" w:h="16838"/>
      <w:pgMar w:top="1134" w:right="567" w:bottom="1134" w:left="1701" w:header="720" w:footer="720" w:gutter="0"/>
      <w:cols w:space="708"/>
      <w:docGrid w:linePitch="360"/>
    </w:sectPr>
  </w:body>
</w:document>
</file>

<file path=word/fontTable.xml><?xml version="1.0" encoding="utf-8"?>
<w:fonts xmlns:w="http://schemas.openxmlformats.org/wordprocessingml/2006/main">
  <w:font w:name="Times New Roman">
    <w:panose1 w:val="02020603050405020304"/>
    <w:charset w:val="CC"/>
    <w:family w:val="roman"/>
    <w:pitch w:val="variable"/>
  </w:font>
  <w:font w:name="Courier New">
    <w:panose1 w:val="02070309020205020404"/>
    <w:charset w:val="CC"/>
    <w:family w:val="modern"/>
    <w:pitch w:val="fixed"/>
  </w:font>
</w:fonts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>
  <w:zoom w:percent="100"/>
  <w:defaultTabStop w:val="708"/>
  <w:characterSpacingControl w:val="doNotCompress"/>
  <w:compat>
    <w:compatSetting w:name="compatibilityMode" w:uri="http://schemas.microsoft.com/office/word" w:val="15"/>
  </w:compat>
  <w:themeFontLang w:val="ru-RU"/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 w:eastAsia="Times New Roman"/>
        <w:sz w:val="28"/>
        <w:szCs w:val="28"/>
        <w:lang w:val="ru-RU" w:eastAsia="ru-RU" w:bidi="ar-SA"/>
      </w:rPr>
    </w:rPrDefault>
    <w:pPrDefault>
      <w:pPr>
        <w:spacing w:before="0" w:after="0" w:line="360" w:lineRule="auto"/>
        <w:jc w:val="both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fontTable" Target="fontTable.xml"/>
  <Relationship Id="rId4" Type="http://schemas.openxmlformats.org/officeDocument/2006/relationships/numbering" Target="numbering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VKR-md2docx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ВКР ГОТОВОЕ</dc:title>
  <dc:creator>Автор</dc:creator>
  <cp:lastModifiedBy>Автор</cp:lastModifiedBy>
</cp:coreProperties>
</file>