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t>ВВЕДЕНИЕ</w:t>
      </w:r>
    </w:p>
    <w:p w:rsidR="00C4374C" w:rsidRDefault="00522436">
      <w:pPr>
        <w:ind w:firstLine="708"/>
      </w:pPr>
      <w:r>
        <w:rPr>
          <w:color w:val="000000"/>
        </w:rPr>
        <w:t>Актуальность темы выпускной квалификационной работы обусловлена переходом российского рынка биометрических технологий в стадию массовой коммерциализации при одновременном ужесточении регуляторного контура обработки биометрических персональных данных. По данным Банка России, за девять месяцев 2025 года в Российской Федерации совершено 145,9 млн биометрических платежей с оборотом 112,5 млрд рублей, а число зарегистрированных в Единой биометрической системе пользователей превысило десять миллионов. Темп прироста биометрических операций за II квартал 2025 года в годовом сопоставлении составил одиннадцать раз, что выводит биометрию из стадии пилотных проектов в стадию массового платёжного канала, сопоставимого по динамике с QR-</w:t>
      </w:r>
      <w:proofErr w:type="spellStart"/>
      <w:r>
        <w:rPr>
          <w:color w:val="000000"/>
        </w:rPr>
        <w:t>эквайрингом</w:t>
      </w:r>
      <w:proofErr w:type="spellEnd"/>
      <w:r>
        <w:rPr>
          <w:color w:val="000000"/>
        </w:rPr>
        <w:t>.</w:t>
      </w:r>
    </w:p>
    <w:p w:rsidR="00C4374C" w:rsidRDefault="00522436">
      <w:pPr>
        <w:ind w:firstLine="708"/>
      </w:pPr>
      <w:r>
        <w:rPr>
          <w:color w:val="000000"/>
        </w:rPr>
        <w:t xml:space="preserve">Параллельно происходит ужесточение нормативной базы. Федеральный закон от 29 декабря 2022 года № 572-ФЗ отнёс биометрические векторы к специальной категории персональных данных, обязал хранить их в государственной информационной системе ЕБС и ограничил круг участников рынка аккредитованными операторами коммерческих биометрических систем (КБС). Федеральные законы № 420-ФЗ и № 421-ФЗ от 30 ноября 2024 года повысили ответственность за неправомерное обращение с биометрией до уголовной (до пяти лет лишения свободы) и установили административные штрафы до 20 млн рублей и до 1–3 % годового дохода компании при повторных нарушениях. Это превращает регуляторный статус из формальности в основной защитный «ров» для аккредитованного оператора и одновременно </w:t>
      </w:r>
      <w:r w:rsidR="00875DD8">
        <w:rPr>
          <w:color w:val="000000"/>
        </w:rPr>
        <w:t>–</w:t>
      </w:r>
      <w:r>
        <w:rPr>
          <w:color w:val="000000"/>
        </w:rPr>
        <w:t xml:space="preserve"> в главное условие участия в массовом рынке.</w:t>
      </w:r>
    </w:p>
    <w:p w:rsidR="00C4374C" w:rsidRDefault="00522436">
      <w:pPr>
        <w:ind w:firstLine="708"/>
      </w:pPr>
      <w:r>
        <w:rPr>
          <w:color w:val="000000"/>
        </w:rPr>
        <w:t xml:space="preserve">В этих условиях для ПАО «Ак Барс Банк», получившего статус оператора КБС по решению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 № 4-А от 15 ноября 2023 года и работающего с ЕБС с 10 июля 2018 года, разработка стратегии продвижения биометрического продукта Face2 становится самостоятельной управленческой задачей. Решение этой задачи определяет возможности масштабирования </w:t>
      </w:r>
      <w:r>
        <w:rPr>
          <w:color w:val="000000"/>
        </w:rPr>
        <w:lastRenderedPageBreak/>
        <w:t xml:space="preserve">продукта за пределы Республики Татарстан, активизации банковской экосистемы как канала продвижения и достройки конверсионной инфраструктуры. Без формализованной стратегии накопленный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>-правовой капитал банка не конвертируется в коммерческое присутствие на федеральном рынке, что и обусловливает прикладную актуальность настоящей работы.</w:t>
      </w:r>
    </w:p>
    <w:p w:rsidR="00C4374C" w:rsidRDefault="00522436">
      <w:pPr>
        <w:ind w:firstLine="708"/>
      </w:pPr>
      <w:r>
        <w:rPr>
          <w:color w:val="000000"/>
        </w:rPr>
        <w:t xml:space="preserve">Степень разработанности проблемы характеризуется неравномерностью научного освоения смежных областей. Теоретические основы маркетинга инноваций и стратегического управления продвижением новых продуктов раскрыты в работах Ф. </w:t>
      </w:r>
      <w:proofErr w:type="spellStart"/>
      <w:r>
        <w:rPr>
          <w:color w:val="000000"/>
        </w:rPr>
        <w:t>Котлера</w:t>
      </w:r>
      <w:proofErr w:type="spellEnd"/>
      <w:r>
        <w:rPr>
          <w:color w:val="000000"/>
        </w:rPr>
        <w:t xml:space="preserve">, Й. </w:t>
      </w:r>
      <w:proofErr w:type="spellStart"/>
      <w:r>
        <w:rPr>
          <w:color w:val="000000"/>
        </w:rPr>
        <w:t>Шумпетера</w:t>
      </w:r>
      <w:proofErr w:type="spellEnd"/>
      <w:r>
        <w:rPr>
          <w:color w:val="000000"/>
        </w:rPr>
        <w:t xml:space="preserve">, Э. </w:t>
      </w:r>
      <w:proofErr w:type="spellStart"/>
      <w:r>
        <w:rPr>
          <w:color w:val="000000"/>
        </w:rPr>
        <w:t>Роджерса</w:t>
      </w:r>
      <w:proofErr w:type="spellEnd"/>
      <w:r>
        <w:rPr>
          <w:color w:val="000000"/>
        </w:rPr>
        <w:t xml:space="preserve">, Г. Л. </w:t>
      </w:r>
      <w:proofErr w:type="spellStart"/>
      <w:r>
        <w:rPr>
          <w:color w:val="000000"/>
        </w:rPr>
        <w:t>Багиева</w:t>
      </w:r>
      <w:proofErr w:type="spellEnd"/>
      <w:r>
        <w:rPr>
          <w:color w:val="000000"/>
        </w:rPr>
        <w:t xml:space="preserve">, Р. А. </w:t>
      </w:r>
      <w:proofErr w:type="spellStart"/>
      <w:r>
        <w:rPr>
          <w:color w:val="000000"/>
        </w:rPr>
        <w:t>Фатхутдинова</w:t>
      </w:r>
      <w:proofErr w:type="spellEnd"/>
      <w:r>
        <w:rPr>
          <w:color w:val="000000"/>
        </w:rPr>
        <w:t xml:space="preserve">, П. Н. </w:t>
      </w:r>
      <w:proofErr w:type="spellStart"/>
      <w:r>
        <w:rPr>
          <w:color w:val="000000"/>
        </w:rPr>
        <w:t>Завлина</w:t>
      </w:r>
      <w:proofErr w:type="spellEnd"/>
      <w:r>
        <w:rPr>
          <w:color w:val="000000"/>
        </w:rPr>
        <w:t xml:space="preserve">, А. А. </w:t>
      </w:r>
      <w:proofErr w:type="spellStart"/>
      <w:r>
        <w:rPr>
          <w:color w:val="000000"/>
        </w:rPr>
        <w:t>Трифиловой</w:t>
      </w:r>
      <w:proofErr w:type="spellEnd"/>
      <w:r>
        <w:rPr>
          <w:color w:val="000000"/>
        </w:rPr>
        <w:t xml:space="preserve"> и других авторов; модели STP, 7P и маркетинговой воронки традиционно применяются к технологическим продуктам и подробно описаны в учебной и научной литературе. Вопросы банковского маркетинга и цифровой трансформации финансовых организаций представлены в современных публикациях по финансовому сектору. Правовое регулирование биометрии в банковской сфере и проблемы её охраны исследованы в работах по банковскому и информационному праву. Вместе с тем продвижение биометрических технологий рассматривается преимущественно в правовом и техническом аспектах, тогда как комплексные маркетинговые модели, учитывающие двухуровневую структуру продаж (поставка КБС под ключ и подключение конечных объектов), привязку продукта к государственной инфраструктуре ЕБС, асимметрию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 и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>-каналов и необходимость преодоления психологических барьеров аудитории, в опубликованных источниках остаются недостаточно проработанными. Это формирует научный пробел, восполнение которого возможно через адаптацию классических маркетинговых моделей к специфике биометрии и через эмпирический анализ конкретного продукта, что и составляет содержание настоящей работы.</w:t>
      </w:r>
    </w:p>
    <w:p w:rsidR="00C4374C" w:rsidRDefault="00522436">
      <w:pPr>
        <w:ind w:firstLine="708"/>
      </w:pPr>
      <w:r>
        <w:rPr>
          <w:color w:val="000000"/>
        </w:rPr>
        <w:t xml:space="preserve">Целью выпускной квалификационной работы является разработка стратегии продвижения инновационного биометрического продукта Face2 ПАО «Ак Барс Банк» на основе анализа теоретических подходов к маркетингу </w:t>
      </w:r>
      <w:r>
        <w:rPr>
          <w:color w:val="000000"/>
        </w:rPr>
        <w:lastRenderedPageBreak/>
        <w:t>инноваций, состояния российского рынка биометрии и конкурентной позиции продукта.</w:t>
      </w:r>
    </w:p>
    <w:p w:rsidR="00C4374C" w:rsidRDefault="00522436">
      <w:pPr>
        <w:ind w:firstLine="708"/>
      </w:pPr>
      <w:r>
        <w:rPr>
          <w:color w:val="000000"/>
        </w:rPr>
        <w:t>Для достижения поставленной цели сформулированы следующие задачи: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раскрыть сущность инновационных продуктов и систематизировать маркетинговые стратегии их продвижения;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выявить специфику продвижения биометрических технологий в банковском секторе и условия её успешной коммерциализации;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дать организационно-экономическую характеристику ПАО «Ак Барс Банк» и продукта Face2;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проанализировать российский рынок биометрии, конкурентную среду и определить позицию Face2;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оценить текущее состояние продвижения продукта и выявить пробелы коммуникационной архитектуры;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разработать комплекс мероприятий стратегии продвижения Face2 и обосновать её экономическую эффективность.</w:t>
      </w:r>
    </w:p>
    <w:p w:rsidR="00C4374C" w:rsidRDefault="00522436">
      <w:pPr>
        <w:ind w:firstLine="708"/>
      </w:pPr>
      <w:r>
        <w:rPr>
          <w:color w:val="000000"/>
        </w:rPr>
        <w:t>Объектом исследования выступает ПАО «Ак Барс Банк» как разработчик и аккредитованный оператор коммерческой биометрической системы Face2.</w:t>
      </w:r>
    </w:p>
    <w:p w:rsidR="00C4374C" w:rsidRDefault="00522436">
      <w:pPr>
        <w:ind w:firstLine="708"/>
      </w:pPr>
      <w:r>
        <w:rPr>
          <w:color w:val="000000"/>
        </w:rPr>
        <w:t>Предметом исследования являются управленческие и маркетинговые отношения, возникающие в процессе формирования и реализации стратегии продвижения биометрического продукта на российском рынке.</w:t>
      </w:r>
    </w:p>
    <w:p w:rsidR="00C4374C" w:rsidRDefault="00522436">
      <w:pPr>
        <w:ind w:firstLine="708"/>
      </w:pPr>
      <w:r>
        <w:rPr>
          <w:color w:val="000000"/>
        </w:rPr>
        <w:t xml:space="preserve">Методологическую основу исследования составил системный подход, дополненный общенаучными методами анализа, синтеза и сравнения, а также прикладными методами стратегического и маркетингового анализа: PESTEL-анализом, SWOT-анализом, моделью пяти сил М. Портера, концепцией STP, расширенной моделью комплекса маркетинга 7P, сравнительной балльной экспертной оценкой по ключевым факторам успеха, маркетинговой воронкой с этапом «Доверие», сценарным анализом экономического эффекта (пессимистический, реалистический, оптимистический сценарии), а также графическим и табличным методами представления данных. Численный расчёт бюджета и выручки построен на отраслевых </w:t>
      </w:r>
      <w:proofErr w:type="spellStart"/>
      <w:r>
        <w:rPr>
          <w:color w:val="000000"/>
        </w:rPr>
        <w:t>бенчмарках</w:t>
      </w:r>
      <w:proofErr w:type="spellEnd"/>
      <w:r>
        <w:rPr>
          <w:color w:val="000000"/>
        </w:rPr>
        <w:t xml:space="preserve"> B2B-маркетинга и </w:t>
      </w:r>
      <w:r>
        <w:rPr>
          <w:color w:val="000000"/>
        </w:rPr>
        <w:lastRenderedPageBreak/>
        <w:t>публичных данных Банка России о среднем чеке и динамике биометрических платежей.</w:t>
      </w:r>
    </w:p>
    <w:p w:rsidR="00C4374C" w:rsidRDefault="00522436">
      <w:pPr>
        <w:ind w:firstLine="708"/>
      </w:pPr>
      <w:r>
        <w:rPr>
          <w:color w:val="000000"/>
        </w:rPr>
        <w:t xml:space="preserve">Информационной базой исследования послужили: годовая отчётность ПАО «Ак Барс Банк» за 2023–2025 годы и финансовая отчётность по российским стандартам учёта; статистические материалы и пресс-релизы Банка России о биометрических и QR-операциях; нормативно-правовые акты Российской Федерации (572-ФЗ, 420-ФЗ, 421-ФЗ, 115-ФЗ, Указание Банка России № 6541-У, методические рекомендации Банка России); публикации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 и АО «Центр биометрических технологий»; специализированные научные источники по маркетингу инноваций, банковскому маркетингу и правовому регулированию биометрии; материалы преддипломной практики автора в ПАО «Ак Барс Банк» (внутренние презентационные материалы по продукту Face2 и техническая документация на информационную систему Face2 АО «Социальная Карта», использованная с разрешения банка); открытые материалы конкурентов </w:t>
      </w:r>
      <w:r w:rsidR="00875DD8">
        <w:rPr>
          <w:color w:val="000000"/>
        </w:rPr>
        <w:t>–</w:t>
      </w:r>
      <w:r>
        <w:rPr>
          <w:color w:val="000000"/>
        </w:rPr>
        <w:t xml:space="preserve"> ПАО «Сбербанк»,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, OVISION </w:t>
      </w:r>
      <w:r w:rsidR="00875DD8">
        <w:rPr>
          <w:color w:val="000000"/>
        </w:rPr>
        <w:t>–</w:t>
      </w:r>
      <w:r>
        <w:rPr>
          <w:color w:val="000000"/>
        </w:rPr>
        <w:t xml:space="preserve"> и проектная карточка </w:t>
      </w:r>
      <w:proofErr w:type="spellStart"/>
      <w:r>
        <w:rPr>
          <w:color w:val="000000"/>
        </w:rPr>
        <w:t>TAdviser</w:t>
      </w:r>
      <w:proofErr w:type="spellEnd"/>
      <w:r>
        <w:rPr>
          <w:color w:val="000000"/>
        </w:rPr>
        <w:t xml:space="preserve"> о подключении банка к ЕБС в 2018 году.</w:t>
      </w:r>
    </w:p>
    <w:p w:rsidR="00C4374C" w:rsidRDefault="00522436">
      <w:pPr>
        <w:ind w:firstLine="708"/>
      </w:pPr>
      <w:r>
        <w:rPr>
          <w:color w:val="000000"/>
        </w:rPr>
        <w:t xml:space="preserve">Научная новизна работы заключается в трёх результатах. Во-первых, классические маркетинговые модели (STP, 7P, маркетинговая воронка) адаптированы к специфике биометрических продуктов в банковском секторе путём перераспределения веса элементов 7P в пользу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и встраивания обязательного этапа «Доверие» между интересом и пробным использованием. Во-вторых, для Face2 выполнена сравнительная балльная экспертная оценка по восьми ключевым факторам успеха, настроенным под целевой сегмент B2B и B2G со сценариями работы с физическими лицами через ЕБС в банковской экосистеме; результат проверен на чувствительность к выбору весов. В-третьих, разработана интегрированная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-стратегия с асимметричным усилением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>-контура на втором уровне продаж, в которой банковская экосистема (мобильное приложение, «Карта жителя Республики Татарстан», офисная сеть) включается в качестве самостоятельного канала продвижения биометрического продукта.</w:t>
      </w:r>
    </w:p>
    <w:p w:rsidR="00C4374C" w:rsidRDefault="00522436">
      <w:pPr>
        <w:ind w:firstLine="708"/>
      </w:pPr>
      <w:r>
        <w:rPr>
          <w:color w:val="000000"/>
        </w:rPr>
        <w:lastRenderedPageBreak/>
        <w:t>Положения, выносимые на защиту: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продвижение биометрических банковских продуктов формируется не из стандартных инструментов общей рекламы, а из их перенастройки: расширения этапа «Доверие» в воронке, усиления элементов </w:t>
      </w:r>
      <w:proofErr w:type="spellStart"/>
      <w:r w:rsidR="00522436">
        <w:rPr>
          <w:color w:val="000000"/>
        </w:rPr>
        <w:t>People</w:t>
      </w:r>
      <w:proofErr w:type="spellEnd"/>
      <w:r w:rsidR="00522436">
        <w:rPr>
          <w:color w:val="000000"/>
        </w:rPr>
        <w:t xml:space="preserve">, </w:t>
      </w:r>
      <w:proofErr w:type="spellStart"/>
      <w:r w:rsidR="00522436">
        <w:rPr>
          <w:color w:val="000000"/>
        </w:rPr>
        <w:t>Process</w:t>
      </w:r>
      <w:proofErr w:type="spellEnd"/>
      <w:r w:rsidR="00522436">
        <w:rPr>
          <w:color w:val="000000"/>
        </w:rPr>
        <w:t xml:space="preserve"> и </w:t>
      </w:r>
      <w:proofErr w:type="spellStart"/>
      <w:r w:rsidR="00522436">
        <w:rPr>
          <w:color w:val="000000"/>
        </w:rPr>
        <w:t>Physical</w:t>
      </w:r>
      <w:proofErr w:type="spellEnd"/>
      <w:r w:rsidR="00522436">
        <w:rPr>
          <w:color w:val="000000"/>
        </w:rPr>
        <w:t xml:space="preserve"> </w:t>
      </w:r>
      <w:proofErr w:type="spellStart"/>
      <w:r w:rsidR="00522436">
        <w:rPr>
          <w:color w:val="000000"/>
        </w:rPr>
        <w:t>evidence</w:t>
      </w:r>
      <w:proofErr w:type="spellEnd"/>
      <w:r w:rsidR="00522436">
        <w:rPr>
          <w:color w:val="000000"/>
        </w:rPr>
        <w:t xml:space="preserve"> в комплексе 7P и сочетания </w:t>
      </w:r>
      <w:proofErr w:type="spellStart"/>
      <w:r w:rsidR="00522436">
        <w:rPr>
          <w:color w:val="000000"/>
        </w:rPr>
        <w:t>push</w:t>
      </w:r>
      <w:proofErr w:type="spellEnd"/>
      <w:r w:rsidR="00522436">
        <w:rPr>
          <w:color w:val="000000"/>
        </w:rPr>
        <w:t xml:space="preserve">-инструментов B2B/B2G с </w:t>
      </w:r>
      <w:proofErr w:type="spellStart"/>
      <w:r w:rsidR="00522436">
        <w:rPr>
          <w:color w:val="000000"/>
        </w:rPr>
        <w:t>pull</w:t>
      </w:r>
      <w:proofErr w:type="spellEnd"/>
      <w:r w:rsidR="00522436">
        <w:rPr>
          <w:color w:val="000000"/>
        </w:rPr>
        <w:t xml:space="preserve">-инструментами B2C при первичности </w:t>
      </w:r>
      <w:proofErr w:type="spellStart"/>
      <w:r w:rsidR="00522436">
        <w:rPr>
          <w:color w:val="000000"/>
        </w:rPr>
        <w:t>push</w:t>
      </w:r>
      <w:proofErr w:type="spellEnd"/>
      <w:r w:rsidR="00522436">
        <w:rPr>
          <w:color w:val="000000"/>
        </w:rPr>
        <w:t>;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конкурентная позиция Face2 определяется не лидерством в массовом B2C-эквайринге, а сегментно-ориентированным сочетанием </w:t>
      </w:r>
      <w:proofErr w:type="spellStart"/>
      <w:r w:rsidR="00522436">
        <w:rPr>
          <w:color w:val="000000"/>
        </w:rPr>
        <w:t>регуляторно</w:t>
      </w:r>
      <w:proofErr w:type="spellEnd"/>
      <w:r w:rsidR="00522436">
        <w:rPr>
          <w:color w:val="000000"/>
        </w:rPr>
        <w:t>-правового капитала, банковской экосистемы и продуктовой линейки под банковские сценарии, что подтверждается балльной оценкой по восьми ключевым факторам успеха;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продвижение Face2 имеет структурную асимметрию </w:t>
      </w:r>
      <w:proofErr w:type="spellStart"/>
      <w:r w:rsidR="00522436">
        <w:rPr>
          <w:color w:val="000000"/>
        </w:rPr>
        <w:t>push</w:t>
      </w:r>
      <w:proofErr w:type="spellEnd"/>
      <w:r w:rsidR="00522436">
        <w:rPr>
          <w:color w:val="000000"/>
        </w:rPr>
        <w:t xml:space="preserve">- и </w:t>
      </w:r>
      <w:proofErr w:type="spellStart"/>
      <w:r w:rsidR="00522436">
        <w:rPr>
          <w:color w:val="000000"/>
        </w:rPr>
        <w:t>pull</w:t>
      </w:r>
      <w:proofErr w:type="spellEnd"/>
      <w:r w:rsidR="00522436">
        <w:rPr>
          <w:color w:val="000000"/>
        </w:rPr>
        <w:t xml:space="preserve">-контуров и восемь связанных пробелов, группирующихся в три кластера </w:t>
      </w:r>
      <w:r>
        <w:rPr>
          <w:color w:val="000000"/>
        </w:rPr>
        <w:t>–</w:t>
      </w:r>
      <w:r w:rsidR="00522436">
        <w:rPr>
          <w:color w:val="000000"/>
        </w:rPr>
        <w:t xml:space="preserve"> охвата, аргументации и инфраструктуры воронки, </w:t>
      </w:r>
      <w:r>
        <w:rPr>
          <w:color w:val="000000"/>
        </w:rPr>
        <w:t>–</w:t>
      </w:r>
      <w:r w:rsidR="00522436">
        <w:rPr>
          <w:color w:val="000000"/>
        </w:rPr>
        <w:t xml:space="preserve"> каждый из которых имеет адресное мероприятие в стратегии и адресный показатель в системе KPI;</w:t>
      </w:r>
    </w:p>
    <w:p w:rsidR="00C4374C" w:rsidRDefault="00875DD8">
      <w:pPr>
        <w:ind w:firstLine="708"/>
      </w:pPr>
      <w:r>
        <w:rPr>
          <w:color w:val="000000"/>
        </w:rPr>
        <w:t>–</w:t>
      </w:r>
      <w:r w:rsidR="00522436">
        <w:rPr>
          <w:color w:val="000000"/>
        </w:rPr>
        <w:t xml:space="preserve"> разработанная интегрированная </w:t>
      </w:r>
      <w:proofErr w:type="spellStart"/>
      <w:r w:rsidR="00522436">
        <w:rPr>
          <w:color w:val="000000"/>
        </w:rPr>
        <w:t>push</w:t>
      </w:r>
      <w:proofErr w:type="spellEnd"/>
      <w:r w:rsidR="00522436">
        <w:rPr>
          <w:color w:val="000000"/>
        </w:rPr>
        <w:t>-</w:t>
      </w:r>
      <w:proofErr w:type="spellStart"/>
      <w:r w:rsidR="00522436">
        <w:rPr>
          <w:color w:val="000000"/>
        </w:rPr>
        <w:t>pull</w:t>
      </w:r>
      <w:proofErr w:type="spellEnd"/>
      <w:r w:rsidR="00522436">
        <w:rPr>
          <w:color w:val="000000"/>
        </w:rPr>
        <w:t xml:space="preserve">-стратегия с асимметричным усилением </w:t>
      </w:r>
      <w:proofErr w:type="spellStart"/>
      <w:r w:rsidR="00522436">
        <w:rPr>
          <w:color w:val="000000"/>
        </w:rPr>
        <w:t>pull</w:t>
      </w:r>
      <w:proofErr w:type="spellEnd"/>
      <w:r w:rsidR="00522436">
        <w:rPr>
          <w:color w:val="000000"/>
        </w:rPr>
        <w:t>-контура на втором уровне продаж экономически целесообразна в трёх сценариях с расчётным ROI от +36 % до +578 % и сроком окупаемости от шести до тридцати трёх месяцев при бюджете 112,7 млн рублей за тридцать шесть месяцев.</w:t>
      </w:r>
    </w:p>
    <w:p w:rsidR="00C4374C" w:rsidRDefault="00522436">
      <w:pPr>
        <w:ind w:firstLine="708"/>
      </w:pPr>
      <w:r>
        <w:rPr>
          <w:color w:val="000000"/>
        </w:rPr>
        <w:t xml:space="preserve">Теоретическая значимость работы заключается в адаптации классических маркетинговых моделей к специфике биометрических продуктов, функционирующих в условиях государственного регулирования обработки персональных данных, и в формализации </w:t>
      </w:r>
      <w:proofErr w:type="spellStart"/>
      <w:r>
        <w:rPr>
          <w:color w:val="000000"/>
        </w:rPr>
        <w:t>трёхкластерной</w:t>
      </w:r>
      <w:proofErr w:type="spellEnd"/>
      <w:r>
        <w:rPr>
          <w:color w:val="000000"/>
        </w:rPr>
        <w:t xml:space="preserve"> диагностики пробелов продвижения как самостоятельного методического приёма. Практическая значимость состоит в возможности применения разработанной стратегии и комплекса мероприятий в деятельности ПАО «Ак Барс Банк» для масштабирования продукта Face2 за пределы Республики Татарстан, активизации банковской экосистемы как канала продвижения и достройки </w:t>
      </w:r>
      <w:r>
        <w:rPr>
          <w:color w:val="000000"/>
        </w:rPr>
        <w:lastRenderedPageBreak/>
        <w:t>конверсионной инфраструктуры; предложенные решения переносимы и на других аккредитованных операторов коммерческих биометрических систем.</w:t>
      </w:r>
    </w:p>
    <w:p w:rsidR="00C4374C" w:rsidRDefault="00522436">
      <w:pPr>
        <w:ind w:firstLine="708"/>
      </w:pPr>
      <w:r>
        <w:rPr>
          <w:color w:val="000000"/>
        </w:rPr>
        <w:t>Апробация результатов исследования. Промежуточные результаты работы обсуждены с маркетинговой и продуктовой службами ПАО «Ак Барс Банк» в ходе преддипломной практики автора; сделанные на основе представленной балльной оценки и матрицы пробелов выводы о приоритетах коммуникационной архитектуры использованы при подготовке внутренних материалов по продукту Face2.</w:t>
      </w:r>
    </w:p>
    <w:p w:rsidR="00522436" w:rsidRDefault="00522436">
      <w:pPr>
        <w:ind w:firstLine="708"/>
        <w:rPr>
          <w:color w:val="000000"/>
        </w:rPr>
      </w:pPr>
      <w:r>
        <w:rPr>
          <w:color w:val="000000"/>
        </w:rPr>
        <w:t>Структура выпускной квалификационной работы определяется логикой решения поставленных задач и включает введение, три главы, выводы по главам, заключение, список из 41 использованного источника и три приложения. В первой главе раскрываются теоретические основы стратегического продвижения инновационных продуктов и формулируется методический инструментарий. Во второй главе проводится анализ деятельности ПАО «Ак Барс Банк», российского рынка биометрии и текущего продвижения продукта Face2 с диагностикой восьми пробелов коммуникационной архитектуры. В третьей главе на основе результатов диагностики разрабатывается стратегия продвижения Face2, формируется комплекс маркетинговых мероприятий и оценивается их эффективность через систему ключевых показателей, расчёт ROI и срока окупаемости в трёх сценариях, матрицу рисков и организационный план внедрения. Работа содержит 34 таблицы и 9 рисунков в основном тексте, а также три приложения с развёрнутыми материалами (система KPI, RACI-матрица, календарный план реализации).</w:t>
      </w:r>
      <w:r>
        <w:rPr>
          <w:color w:val="000000"/>
        </w:rPr>
        <w:br w:type="page"/>
      </w: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ГЛАВА 1. ТЕОРЕТИЧЕСКИЕ ОСНОВЫ СТРАТЕГИЧЕСКОГО ПРОДВИЖЕНИЯ ИННОВАЦИОННЫХ ПРОДУКТОВ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1.1. Сущность и особенности инновационных продуктов</w:t>
      </w:r>
    </w:p>
    <w:p w:rsidR="00C4374C" w:rsidRDefault="00522436">
      <w:pPr>
        <w:ind w:firstLine="708"/>
      </w:pPr>
      <w:r>
        <w:rPr>
          <w:color w:val="000000"/>
        </w:rPr>
        <w:t xml:space="preserve">Инновационный продукт </w:t>
      </w:r>
      <w:r w:rsidR="00875DD8">
        <w:rPr>
          <w:color w:val="000000"/>
        </w:rPr>
        <w:t>–</w:t>
      </w:r>
      <w:r>
        <w:rPr>
          <w:color w:val="000000"/>
        </w:rPr>
        <w:t xml:space="preserve"> результат научно-технической и интеллектуальной деятельности с качественно новыми характеристиками, удовлетворяющий существующие или формирующий новые потребности рынка. Й. </w:t>
      </w:r>
      <w:proofErr w:type="spellStart"/>
      <w:r>
        <w:rPr>
          <w:color w:val="000000"/>
        </w:rPr>
        <w:t>Шумпетер</w:t>
      </w:r>
      <w:proofErr w:type="spellEnd"/>
      <w:r>
        <w:rPr>
          <w:color w:val="000000"/>
        </w:rPr>
        <w:t xml:space="preserve"> определял инновацию как коммерциализацию новых комбинаций производственных факторов [12, с. 33]; Ф. </w:t>
      </w:r>
      <w:proofErr w:type="spellStart"/>
      <w:r>
        <w:rPr>
          <w:color w:val="000000"/>
        </w:rPr>
        <w:t>Котлер</w:t>
      </w:r>
      <w:proofErr w:type="spellEnd"/>
      <w:r>
        <w:rPr>
          <w:color w:val="000000"/>
        </w:rPr>
        <w:t xml:space="preserve"> относит </w:t>
      </w:r>
      <w:proofErr w:type="gramStart"/>
      <w:r>
        <w:rPr>
          <w:color w:val="000000"/>
        </w:rPr>
        <w:t>к инновационным товары</w:t>
      </w:r>
      <w:proofErr w:type="gramEnd"/>
      <w:r>
        <w:rPr>
          <w:color w:val="000000"/>
        </w:rPr>
        <w:t xml:space="preserve"> и услуги с новыми или существенно улучшенными характеристиками, обеспечивающими дополнительную ценность для потребителя [8, с. 48]. Российская школа увязывает инновационную активность с конкурентоспособностью предприятия и национальной экономики [13, с. 14; 14, с. 9].</w:t>
      </w:r>
    </w:p>
    <w:p w:rsidR="00C4374C" w:rsidRDefault="00522436">
      <w:pPr>
        <w:ind w:firstLine="708"/>
      </w:pPr>
      <w:r>
        <w:rPr>
          <w:color w:val="000000"/>
        </w:rPr>
        <w:t>Инновационный продукт отличают пять взаимосвязанных признаков: новизна, технологичность, ценность для потребителя, конкурентоспособность и повышенный уровень риска [12, с. 132; 20, с. 5] (рисунок 1.1.1). Чем выше степень новизны и технологической сложности, тем больше ресурсов требуется на продвижение и тем выше цена ошибки маркетинговых решений [22, с. 51; 20, с. 9].</w:t>
      </w:r>
    </w:p>
    <w:p w:rsidR="00C4374C" w:rsidRDefault="00522436">
      <w:pPr>
        <w:ind w:firstLine="708"/>
      </w:pPr>
      <w:r>
        <w:rPr>
          <w:color w:val="000000"/>
        </w:rPr>
        <w:t>Рис. 1.1.1. Основные характеристики инновационного продукта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 xml:space="preserve">По объекту изменений инновации делятся на продуктовые, процессные, маркетинговые и организационные; по степени новизны </w:t>
      </w:r>
      <w:r w:rsidR="00875DD8">
        <w:rPr>
          <w:color w:val="000000"/>
        </w:rPr>
        <w:t>–</w:t>
      </w:r>
      <w:r>
        <w:rPr>
          <w:color w:val="000000"/>
        </w:rPr>
        <w:t xml:space="preserve"> на радикальные и инкрементальные [12, с. 165–169; 14, с. 41]. Биометрические решения одновременно являются продуктовой инновацией (новый цифровой сервис) и процессной (изменение способа идентификации и обслуживания), поэтому требуют двухуровневой коммуникации </w:t>
      </w:r>
      <w:r w:rsidR="00875DD8">
        <w:rPr>
          <w:color w:val="000000"/>
        </w:rPr>
        <w:t>–</w:t>
      </w:r>
      <w:r>
        <w:rPr>
          <w:color w:val="000000"/>
        </w:rPr>
        <w:t xml:space="preserve"> с конечным пользователем и с организацией-заказчиком [15, с. 29; 24, с. 102].</w:t>
      </w:r>
    </w:p>
    <w:p w:rsidR="00C4374C" w:rsidRDefault="00522436">
      <w:pPr>
        <w:ind w:firstLine="708"/>
      </w:pPr>
      <w:r>
        <w:rPr>
          <w:color w:val="000000"/>
        </w:rPr>
        <w:lastRenderedPageBreak/>
        <w:t>Инновационный продукт характеризуется высоким уровнем неопределённости рыночного успеха [12, с. 178; 19, с. 4]: реакция потребителя плохо прогнозируется, а сам продукт часто требует изменения поведенческих паттернов. Поэтому в продвижение встраиваются образовательные программы, демонстрационные мероприятия и пробные версии, снижающие воспринимаемый риск покупки [22, с. 51; 20, с. 9]. Группы рисков, с которыми сталкивается организация при выводе продукта на рынок, систематизированы в таблице 1.1.1.</w:t>
      </w:r>
    </w:p>
    <w:p w:rsidR="00C4374C" w:rsidRDefault="00522436">
      <w:pPr>
        <w:ind w:firstLine="708"/>
      </w:pPr>
      <w:r>
        <w:rPr>
          <w:color w:val="000000"/>
        </w:rPr>
        <w:t>Таблица 1.1.1</w:t>
      </w:r>
    </w:p>
    <w:p w:rsidR="00C4374C" w:rsidRDefault="00522436">
      <w:pPr>
        <w:ind w:firstLine="708"/>
      </w:pPr>
      <w:r>
        <w:rPr>
          <w:color w:val="000000"/>
        </w:rPr>
        <w:t>Основные риски, связанные с внедрением инновационного продукта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3960"/>
        <w:gridCol w:w="3960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Группа рисков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Управленческий ответ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Технические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Сбои разработки, недостаточная зрелость технологии, проблемы интеграции с существующей инфраструктурой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Пилотные проекты, тестирование, поэтапное масштабирование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Рыночные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Низкая осведомлённость аудитории, недоверие к новой технологии, отсутствие сформированного спроса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Образовательная коммуникация, демонстрации, работа с ранними последователями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Финансовые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Высокая стоимость разработки, длительный срок окупаемости, сложность прогнозирования возврата инвестиций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Поэтапное финансирование, KPI-контроль, гибкая ценовая стратегия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Репутационные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Негативный опыт первых пользователей, формирование устойчивых предубеждений к продукту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Управление качеством, мониторинг отзывов, оперативное реагирование на инциденты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Регуляторные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Изменение нормативно-правовой базы, требования регуляторов к работе с данными, лицензирование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Юридическое сопровождение, аудит соответствия, соблюдение требований регулятора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[12, с. 178; 13, с. 78; 19, с. 4]</w:t>
      </w:r>
    </w:p>
    <w:p w:rsidR="00C4374C" w:rsidRDefault="00522436">
      <w:pPr>
        <w:ind w:firstLine="708"/>
      </w:pPr>
      <w:r>
        <w:rPr>
          <w:color w:val="000000"/>
        </w:rPr>
        <w:t xml:space="preserve">Для биометрических продуктов этот набор рисков особенно значим: регуляторная и </w:t>
      </w:r>
      <w:proofErr w:type="spellStart"/>
      <w:r>
        <w:rPr>
          <w:color w:val="000000"/>
        </w:rPr>
        <w:t>репутационная</w:t>
      </w:r>
      <w:proofErr w:type="spellEnd"/>
      <w:r>
        <w:rPr>
          <w:color w:val="000000"/>
        </w:rPr>
        <w:t xml:space="preserve"> составляющие здесь имеют тот же вес, что и технические [13, с. 78].</w:t>
      </w:r>
    </w:p>
    <w:p w:rsidR="00C4374C" w:rsidRDefault="00522436">
      <w:pPr>
        <w:ind w:firstLine="708"/>
        <w:rPr>
          <w:color w:val="000000"/>
        </w:rPr>
      </w:pPr>
      <w:r>
        <w:rPr>
          <w:color w:val="000000"/>
        </w:rPr>
        <w:t xml:space="preserve">Восприятие инновации потребителями неоднородно. Согласно </w:t>
      </w:r>
      <w:proofErr w:type="gramStart"/>
      <w:r>
        <w:rPr>
          <w:color w:val="000000"/>
        </w:rPr>
        <w:t>теории диффузии</w:t>
      </w:r>
      <w:proofErr w:type="gramEnd"/>
      <w:r>
        <w:rPr>
          <w:color w:val="000000"/>
        </w:rPr>
        <w:t xml:space="preserve"> Э. </w:t>
      </w:r>
      <w:proofErr w:type="spellStart"/>
      <w:r>
        <w:rPr>
          <w:color w:val="000000"/>
        </w:rPr>
        <w:t>Роджерса</w:t>
      </w:r>
      <w:proofErr w:type="spellEnd"/>
      <w:r>
        <w:rPr>
          <w:color w:val="000000"/>
        </w:rPr>
        <w:t xml:space="preserve">, аудитория делится на пять групп </w:t>
      </w:r>
      <w:r w:rsidR="00875DD8">
        <w:rPr>
          <w:color w:val="000000"/>
        </w:rPr>
        <w:t>–</w:t>
      </w:r>
      <w:r>
        <w:rPr>
          <w:color w:val="000000"/>
        </w:rPr>
        <w:t xml:space="preserve"> новаторов, ранних последователей, раннее большинство, позднее большинство и консерваторов (рисунок 1.1.2): для новаторов значима технологическая новизна, для раннего </w:t>
      </w:r>
      <w:r>
        <w:rPr>
          <w:color w:val="000000"/>
        </w:rPr>
        <w:lastRenderedPageBreak/>
        <w:t xml:space="preserve">большинства </w:t>
      </w:r>
      <w:r w:rsidR="00875DD8">
        <w:rPr>
          <w:color w:val="000000"/>
        </w:rPr>
        <w:t>–</w:t>
      </w:r>
      <w:r>
        <w:rPr>
          <w:color w:val="000000"/>
        </w:rPr>
        <w:t xml:space="preserve"> надёжность и доказательная база, для консерваторов </w:t>
      </w:r>
      <w:r w:rsidR="00875DD8">
        <w:rPr>
          <w:color w:val="000000"/>
        </w:rPr>
        <w:t>–</w:t>
      </w:r>
      <w:r>
        <w:rPr>
          <w:color w:val="000000"/>
        </w:rPr>
        <w:t xml:space="preserve"> привычные сценарии использования [14, с. 156]. В фазе вывода целесообразно ориентироваться на новаторов и ранних последователей и через них собирать первичные доказательства надёжности для более консервативных сегментов [18, с. 6; 19, с. 5].</w:t>
      </w:r>
    </w:p>
    <w:p w:rsidR="00522436" w:rsidRDefault="00522436">
      <w:pPr>
        <w:ind w:firstLine="708"/>
      </w:pPr>
    </w:p>
    <w:p w:rsidR="00C4374C" w:rsidRDefault="00522436">
      <w:pPr>
        <w:ind w:firstLine="708"/>
      </w:pPr>
      <w:r>
        <w:rPr>
          <w:color w:val="000000"/>
        </w:rPr>
        <w:t xml:space="preserve">Рис. 1.1.2. Модель диффузии инноваций Э. </w:t>
      </w:r>
      <w:proofErr w:type="spellStart"/>
      <w:r>
        <w:rPr>
          <w:color w:val="000000"/>
        </w:rPr>
        <w:t>Роджерса</w:t>
      </w:r>
      <w:proofErr w:type="spellEnd"/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Жизненный цикл инновационного продукта включает разработку, внедрение, рост, зрелость и спад (рисунок 1.1.3). От традиционной модели его отличают короткая стадия зрелости и высокая динамика смены технологических поколений [12, с. 201; 14, с. 178]. На этапе внедрения основная нагрузка ложится на информационные и образовательные коммуникации, демонстрацию преимуществ, работу с возражениями и стимулирование пробного использования; без них даже технологически состоятельный продукт не доходит до массовой аудитории [20, с. 11; 12, с. 204].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Рис. 1.1.3. Жизненный цикл инновационного продукта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 xml:space="preserve">Цифровые инновационные продукты </w:t>
      </w:r>
      <w:r w:rsidR="00875DD8">
        <w:rPr>
          <w:color w:val="000000"/>
        </w:rPr>
        <w:t>–</w:t>
      </w:r>
      <w:r>
        <w:rPr>
          <w:color w:val="000000"/>
        </w:rPr>
        <w:t xml:space="preserve"> отдельная категория: виртуальны, распространяются через цифровые каналы, зависят от инфраструктуры и быстро устаревают [6, с. 14]. Банковские цифровые инновации (мобильный банкинг, бесконтактные платежи, удалённое открытие счёта, биометрическая идентификация) работают с чувствительными персональными и финансовыми данными и предъявляют повышенные требования к защите информации, нормативно-правовому соответствию и доверию пользователей [16, с. 38; 23, с. 91; 24, с. 105].</w:t>
      </w:r>
    </w:p>
    <w:p w:rsidR="00C4374C" w:rsidRDefault="00522436">
      <w:pPr>
        <w:ind w:firstLine="708"/>
      </w:pPr>
      <w:r>
        <w:rPr>
          <w:color w:val="000000"/>
        </w:rPr>
        <w:t xml:space="preserve">Биометрические системы </w:t>
      </w:r>
      <w:r w:rsidR="00875DD8">
        <w:rPr>
          <w:color w:val="000000"/>
        </w:rPr>
        <w:t>–</w:t>
      </w:r>
      <w:r>
        <w:rPr>
          <w:color w:val="000000"/>
        </w:rPr>
        <w:t xml:space="preserve"> крайний случай этого подкласса с четырьмя усиливающими признаками: высокая технологическая сложность (компьютерное зрение, ИИ, криптозащита векторов) [15, с. 30]; работа с </w:t>
      </w:r>
      <w:r>
        <w:rPr>
          <w:color w:val="000000"/>
        </w:rPr>
        <w:lastRenderedPageBreak/>
        <w:t xml:space="preserve">биометрическими векторами лица или голоса как со специальной категорией персональных данных [23, с. 92]; жёсткий нормативно-правовой контур (572-ФЗ, аккредитация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, сертификация ФСБ и ФСТЭК, уголовная ответственность за неправомерное обращение) [23, с. 93–95]; значительные психологические барьеры </w:t>
      </w:r>
      <w:r w:rsidR="00875DD8">
        <w:rPr>
          <w:color w:val="000000"/>
        </w:rPr>
        <w:t>–</w:t>
      </w:r>
      <w:r>
        <w:rPr>
          <w:color w:val="000000"/>
        </w:rPr>
        <w:t xml:space="preserve"> страх утечки, несанкционированного использования и невозможности отозвать сданный образец [16, с. 41; 25, с. 112]. Сочетание этих факторов требует особой стратегии продвижения, в которой стандартное информирование и стимулирование спроса дополняются образовательной составляющей, систематической работой с возражениями, демонстрацией мер защиты данных и подтверждением правовой корректности технологии [16, с. 47; 24, с. 108; 25, с. 119]. В параграфе 1.2 рассматриваются базовые маркетинговые стратегии продвижения инновационных продуктов, а в параграфе 1.3 они адаптируются к специфике биометрических технологий в банковском секторе.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1.2. Маркетинговые стратегии продвижения</w:t>
      </w:r>
    </w:p>
    <w:p w:rsidR="00C4374C" w:rsidRDefault="00522436">
      <w:pPr>
        <w:ind w:firstLine="708"/>
      </w:pPr>
      <w:r>
        <w:rPr>
          <w:color w:val="000000"/>
        </w:rPr>
        <w:t xml:space="preserve">Стратегия продвижения инновационного продукта </w:t>
      </w:r>
      <w:r w:rsidR="00875DD8">
        <w:rPr>
          <w:color w:val="000000"/>
        </w:rPr>
        <w:t>–</w:t>
      </w:r>
      <w:r>
        <w:rPr>
          <w:color w:val="000000"/>
        </w:rPr>
        <w:t xml:space="preserve"> комплексный план маркетинговых коммуникаций, направленный на информирование целевой аудитории, формирование интереса, стимулирование пробных покупок и обеспечение долгосрочной лояльности [18, с. 4; 19, с. 3]. В отличие от традиционных товаров, продвижение инноваций требует преодоления психологических барьеров </w:t>
      </w:r>
      <w:r w:rsidR="00875DD8">
        <w:rPr>
          <w:color w:val="000000"/>
        </w:rPr>
        <w:t>–</w:t>
      </w:r>
      <w:r>
        <w:rPr>
          <w:color w:val="000000"/>
        </w:rPr>
        <w:t xml:space="preserve"> недостаточной осведомлённости, опасений о надёжности, инерции потребительского поведения [22, с. 49; 20, с. 7]. Согласно учебным материалам по экономике инноваций, типовые проблемы при продвижении: отсутствие сформированного рынка сбыта, низкая осведомлённость покупателей, ограниченное число первых потребителей и необходимость образовательных форм коммуникации [12, с. 178–181]. Для технологических продуктов, ценность которых не очевидна на этапе первого знакомства, эти проблемы особенно значимы [20, с. 9].</w:t>
      </w:r>
    </w:p>
    <w:p w:rsidR="00C4374C" w:rsidRDefault="00522436">
      <w:pPr>
        <w:ind w:firstLine="708"/>
      </w:pPr>
      <w:r>
        <w:rPr>
          <w:color w:val="000000"/>
        </w:rPr>
        <w:t xml:space="preserve">Разработка стратегии продвижения нового продукта осуществляется поэтапно: анализ рынка и конкурентов; определение целевой аудитории; </w:t>
      </w:r>
      <w:r>
        <w:rPr>
          <w:color w:val="000000"/>
        </w:rPr>
        <w:lastRenderedPageBreak/>
        <w:t>формирование ценностного предложения; выбор каналов продвижения; тестирование коммуникаций; оценка результатов и корректировка [18, с. 5; 8, с. 412; 10, с. 156].</w:t>
      </w:r>
    </w:p>
    <w:p w:rsidR="00C4374C" w:rsidRDefault="00522436">
      <w:pPr>
        <w:ind w:firstLine="708"/>
      </w:pPr>
      <w:r>
        <w:rPr>
          <w:color w:val="000000"/>
        </w:rPr>
        <w:t>Стратегические подходы делятся на проталкивание (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, через посредников и партнёров), вытягивание (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, через прямое воздействие на конечных потребителей) [8, с. 567; 10, с. 198] и интегрированную стратегию, сочетающую оба подхода; партнёрская стратегия расширяет охват через совместные проекты с другими организациями [18, с. 7; 19, с. 7]. Для биометрических продуктов наиболее подходит интегрированная стратегия </w:t>
      </w:r>
      <w:r w:rsidR="00875DD8">
        <w:rPr>
          <w:color w:val="000000"/>
        </w:rPr>
        <w:t>–</w:t>
      </w:r>
      <w:r>
        <w:rPr>
          <w:color w:val="000000"/>
        </w:rPr>
        <w:t xml:space="preserve"> нужна работа и с организациями-заказчиками, и с конечными пользователями [16, с. 48; 24, с. 106]. Линейка Face2 включает решения для контроля доступа, учёта рабочего времени, оплаты по лицу, подтверждения возраста, регистрации в гостинице и внедрения коммерческой биометрической системы [27], что требует сочетания B2C-, B2B- и внутренних корпоративных коммуникаций. Для цифровых банковских продуктов также важна стратегия прямого маркетинга, обеспечивающая обратную связь и персонализацию сообщений [6, с. 87; 8, с. 612].</w:t>
      </w:r>
    </w:p>
    <w:p w:rsidR="00C4374C" w:rsidRDefault="00522436">
      <w:pPr>
        <w:ind w:firstLine="708"/>
      </w:pPr>
      <w:r>
        <w:rPr>
          <w:color w:val="000000"/>
        </w:rPr>
        <w:t xml:space="preserve">Базовый инструмент разработки стратегии </w:t>
      </w:r>
      <w:r w:rsidR="00875DD8">
        <w:rPr>
          <w:color w:val="000000"/>
        </w:rPr>
        <w:t>–</w:t>
      </w:r>
      <w:r>
        <w:rPr>
          <w:color w:val="000000"/>
        </w:rPr>
        <w:t xml:space="preserve"> модель STP: сегментация рынка, выбор целевых сегментов и позиционирование продукта (рисунок 1.2.1) [8, с. 314; 10, с. 175]. Логика STP делает продвижение управляемым процессом: компания работает только с сегментами, для которых ценностное предложение значимо, и формирует под каждый сегмент собственное позиционирование. Для биометрических банковских продуктов это особенно важно </w:t>
      </w:r>
      <w:r w:rsidR="00875DD8">
        <w:rPr>
          <w:color w:val="000000"/>
        </w:rPr>
        <w:t>–</w:t>
      </w:r>
      <w:r>
        <w:rPr>
          <w:color w:val="000000"/>
        </w:rPr>
        <w:t xml:space="preserve"> аудитории и сценарии использования принципиально разные.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Рис. 1.2.1. Модель STP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 xml:space="preserve">В случае Face2 целевые аудитории различаются по характеру использования: сотрудники банка (важны удобство и скорость), корпоративные клиенты (безопасность и эффективность бизнес-процессов), партнёрские </w:t>
      </w:r>
      <w:r>
        <w:rPr>
          <w:color w:val="000000"/>
        </w:rPr>
        <w:lastRenderedPageBreak/>
        <w:t xml:space="preserve">организации, конечные пользователи цифровых сервисов (простота, надёжность, защита персональных данных) [27]. Для биометрических банковских продуктов ключевые аспекты позиционирования </w:t>
      </w:r>
      <w:r w:rsidR="00875DD8">
        <w:rPr>
          <w:color w:val="000000"/>
        </w:rPr>
        <w:t>–</w:t>
      </w:r>
      <w:r>
        <w:rPr>
          <w:color w:val="000000"/>
        </w:rPr>
        <w:t xml:space="preserve"> безопасность, удобство и технологическая </w:t>
      </w:r>
      <w:proofErr w:type="spellStart"/>
      <w:r>
        <w:rPr>
          <w:color w:val="000000"/>
        </w:rPr>
        <w:t>инновационность</w:t>
      </w:r>
      <w:proofErr w:type="spellEnd"/>
      <w:r>
        <w:rPr>
          <w:color w:val="000000"/>
        </w:rPr>
        <w:t xml:space="preserve"> [16, с. 49; 24, с. 107].</w:t>
      </w:r>
    </w:p>
    <w:p w:rsidR="00C4374C" w:rsidRDefault="00522436">
      <w:pPr>
        <w:ind w:firstLine="708"/>
      </w:pPr>
      <w:r>
        <w:rPr>
          <w:color w:val="000000"/>
        </w:rPr>
        <w:t>Расширенная модель комплекса маркетинга 7P включает продукт, цену, каналы, продвижение, персонал, процессы и доказательства надёжности [8, с. 354; 10, с. 215]. Для цифровых и банковских продуктов её ценность формируется не только функциональными характеристиками, но и качеством пользовательского опыта, уровнем доверия и прозрачностью процессов [6, с. 92] (таблица 1.2.1).</w:t>
      </w:r>
    </w:p>
    <w:p w:rsidR="00C4374C" w:rsidRDefault="00522436">
      <w:pPr>
        <w:ind w:firstLine="708"/>
      </w:pPr>
      <w:r>
        <w:rPr>
          <w:color w:val="000000"/>
        </w:rPr>
        <w:t>Таблица 1.2.1</w:t>
      </w:r>
    </w:p>
    <w:p w:rsidR="00C4374C" w:rsidRDefault="00522436">
      <w:pPr>
        <w:ind w:firstLine="708"/>
      </w:pPr>
      <w:r>
        <w:rPr>
          <w:color w:val="000000"/>
        </w:rPr>
        <w:t>Расширенный комплекс маркетинга 7P применительно к инновационному продукту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2"/>
        <w:gridCol w:w="3475"/>
        <w:gridCol w:w="4740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Элемент 7P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Значение для продвижения инновационного продукта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Характеристики, функции и ценность продукта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Позволяет показать, какую проблему решает продукт и чем он отличается от существующих решений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Стоимость использования или внедрения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Влияет на готовность потребителя попробовать продукт и оценить его выгоду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Place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Каналы распространения и доступность продукта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Определяет, через какие каналы продукт становится доступен целевой аудитории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Promotion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Инструменты продвижения и коммуникации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Формирует осведомлённость, интерес и доверие к новому продукту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People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Сотрудники и консультанты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Влияют на качество объяснения продукта и сопровождение пользователей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Process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Процесс использования продукта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Определяет удобство, простоту и скорость взаимодействия пользователя с продуктом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Physical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evidence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Доказательства надёжности и качества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Помогают снизить недоверие к инновации через отзывы, кейсы, сертификаты, демонстрации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[8, с. 354; 10, с. 215]</w:t>
      </w:r>
    </w:p>
    <w:p w:rsidR="00C4374C" w:rsidRDefault="00522436">
      <w:pPr>
        <w:ind w:firstLine="708"/>
      </w:pPr>
      <w:bookmarkStart w:id="0" w:name="_GoBack"/>
      <w:bookmarkEnd w:id="0"/>
      <w:r>
        <w:rPr>
          <w:color w:val="000000"/>
        </w:rPr>
        <w:t xml:space="preserve">Для инновационных технологических продуктов особое значение имеют элементы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именно они снижают недоверие потребителей и формируют положительный пользовательский опыт [16, с. 50; 24, с. 109].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Продвижение инновационного продукта рассматривается через шестиэтапную маркетинговую воронку </w:t>
      </w:r>
      <w:r w:rsidR="00875DD8">
        <w:rPr>
          <w:color w:val="000000"/>
        </w:rPr>
        <w:t>–</w:t>
      </w:r>
      <w:r>
        <w:rPr>
          <w:color w:val="000000"/>
        </w:rPr>
        <w:t xml:space="preserve"> осведомлённость, интерес, доверие, пробное использование, принятие, лояльность [6, с. 64; 7, с. 64]. Ключевое отличие воронки инновационного продукта от традиционного товара </w:t>
      </w:r>
      <w:r w:rsidR="00875DD8">
        <w:rPr>
          <w:color w:val="000000"/>
        </w:rPr>
        <w:t>–</w:t>
      </w:r>
      <w:r>
        <w:rPr>
          <w:color w:val="000000"/>
        </w:rPr>
        <w:t xml:space="preserve"> наличие отдельного этапа «Доверие» между интересом и пробным использованием. Без этого этапа потенциальный пользователь не переходит к практическому взаимодействию с технологией, поэтому именно на формирование доверия должна быть направлена основная часть коммуникационных усилий и бюджета на ранних стадиях [20, с. 11; 19, с. 6]. На начальном этапе вывода приоритетны информирование, разъяснение функций и преимуществ, снижение воспринимаемых рисков [18, с. 6; 20, с. 10]; по мере распространения акцент смещается на эмоциональную привязанность к бренду, повторные использования и сообщество лояльных пользователей [8, с. 478]. Цифровые каналы дают точное </w:t>
      </w:r>
      <w:proofErr w:type="spellStart"/>
      <w:r>
        <w:rPr>
          <w:color w:val="000000"/>
        </w:rPr>
        <w:t>таргетирование</w:t>
      </w:r>
      <w:proofErr w:type="spellEnd"/>
      <w:r>
        <w:rPr>
          <w:color w:val="000000"/>
        </w:rPr>
        <w:t>, оперативную обратную связь, персонализацию и измеримость [6, с. 78; 7, с. 78]; интернет-маркетинг включает SEO, контекстную рекламу и контент-маркетинг [6, с. 102; 7, с. 102]. Социальные медиа эффективны за счёт вирусного распространения, дискуссий с пользователями, работы с лидерами мнений и сообществ [6, с. 134; 7, с. 134]. Каналы продвижения инновационного продукта систематизированы в таблице 1.2.2.</w:t>
      </w:r>
    </w:p>
    <w:p w:rsidR="00C4374C" w:rsidRDefault="00522436">
      <w:pPr>
        <w:ind w:firstLine="708"/>
      </w:pPr>
      <w:r>
        <w:rPr>
          <w:color w:val="000000"/>
        </w:rPr>
        <w:t>Таблица 1.2.2</w:t>
      </w:r>
    </w:p>
    <w:p w:rsidR="00C4374C" w:rsidRDefault="00522436">
      <w:pPr>
        <w:ind w:firstLine="708"/>
      </w:pPr>
      <w:r>
        <w:rPr>
          <w:color w:val="000000"/>
        </w:rPr>
        <w:t>Каналы продвижения инновационного продукта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976"/>
        <w:gridCol w:w="4252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Канал продвижения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Цель использования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Особенности применения для инновационного продукта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Официальный сайт организации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Размещение основной информации о продукте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Позволяет представить описание продукта, преимущества, условия использования и ответы на частые вопросы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PR и деловые СМИ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Формирование доверия и экспертного имиджа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Помогает объяснить значимость инновации и повысить узнаваемость продукта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Социальные сети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Расширение охвата аудитории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Позволяют простым языком объяснить преимущества продукта и работать с возражениями пользователей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Демо</w:t>
            </w:r>
            <w:proofErr w:type="spellEnd"/>
            <w:r>
              <w:rPr>
                <w:color w:val="000000"/>
                <w:sz w:val="24"/>
                <w:szCs w:val="24"/>
              </w:rPr>
              <w:t>-презентации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Показ продукта в действии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Позволяют потенциальным пользователям увидеть работу продукта и снизить недоверие к новой технологии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Контент-маркетинг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Обучение и информирование аудитории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Включает статьи, инструкции, обзоры, видеоматериалы, которые помогают снизить неопределённость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Пилотные проекты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Проверка продукта в ограниченном масштабе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Позволяют собрать обратную связь и подтвердить практическую ценность продукта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Партнёрские каналы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Расширение охвата через другие организации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Эффективны для продвижения сложных технологических решений на B2B-рынке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Отраслевые мероприятия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Выход на профессиональную аудиторию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Подходят для продвижения инноваций среди компаний, экспертов и потенциальных партнёров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[6, с. 102–135; 7, с. 102–135; 20, с. 12]</w:t>
      </w:r>
    </w:p>
    <w:p w:rsidR="00C4374C" w:rsidRDefault="00522436">
      <w:pPr>
        <w:ind w:firstLine="708"/>
      </w:pPr>
      <w:r>
        <w:rPr>
          <w:color w:val="000000"/>
        </w:rPr>
        <w:t xml:space="preserve">Для инновационных продуктов особенно важны не только рекламные каналы, но и образовательные, экспертные и демонстрационные форматы [20, с. 12; 19, с. 7]. Стратегия работы с ранними последователями критична: они выполняют функцию «послов бренда», формируют первичные отзывы и влияют на решения более консервативных сегментов [14, с. 161; 17, с. 47]. Привлечение ранних последователей требует эксклюзивного раннего доступа, специальных ценовых условий, возможности участия в тестировании и доработке продукта [21, с. 15; 19, с. 8]; управление отзывами предполагает мониторинг обратной связи, оперативное реагирование и публичную демонстрацию учёта пользовательских предложений [18, с. 8; 21, с. 17]. Для Face2 ранние последователи </w:t>
      </w:r>
      <w:r w:rsidR="00875DD8">
        <w:rPr>
          <w:color w:val="000000"/>
        </w:rPr>
        <w:t>–</w:t>
      </w:r>
      <w:r>
        <w:rPr>
          <w:color w:val="000000"/>
        </w:rPr>
        <w:t xml:space="preserve"> технологически ориентированные сотрудники банка, корпоративные клиенты, заинтересованные в </w:t>
      </w:r>
      <w:proofErr w:type="spellStart"/>
      <w:r>
        <w:rPr>
          <w:color w:val="000000"/>
        </w:rPr>
        <w:t>цифровизации</w:t>
      </w:r>
      <w:proofErr w:type="spellEnd"/>
      <w:r>
        <w:rPr>
          <w:color w:val="000000"/>
        </w:rPr>
        <w:t>, и партнёрские организации, готовые участвовать в пилотах [27].</w:t>
      </w:r>
    </w:p>
    <w:p w:rsidR="00C4374C" w:rsidRDefault="00522436">
      <w:pPr>
        <w:ind w:firstLine="708"/>
      </w:pPr>
      <w:r>
        <w:rPr>
          <w:color w:val="000000"/>
        </w:rPr>
        <w:t xml:space="preserve">Ценовая стратегия определяет баланс между возвратом инвестиций, конкурентным позиционированием и доступностью [8, с. 392; 10, с. 224]: стратегия снятия сливок (высокая начальная цена для ранних последователей со снижением для массовых сегментов), стратегия проникновения (низкая цена для захвата доли рынка) [8, с. 396]. Для банковских инновационных продуктов </w:t>
      </w:r>
      <w:r>
        <w:rPr>
          <w:color w:val="000000"/>
        </w:rPr>
        <w:lastRenderedPageBreak/>
        <w:t xml:space="preserve">характерна стратегия бесплатной базовой функциональности с монетизацией через дополнительные услуги </w:t>
      </w:r>
      <w:r w:rsidR="00875DD8">
        <w:rPr>
          <w:color w:val="000000"/>
        </w:rPr>
        <w:t>–</w:t>
      </w:r>
      <w:r>
        <w:rPr>
          <w:color w:val="000000"/>
        </w:rPr>
        <w:t xml:space="preserve"> она минимизирует барьеры принятия [24, с. 110]. Партнёрская стратегия формирует альянсы с обладателями комплементарных продуктов, доступа к аудитории или релевантной экспертизы [18, с. 9; 19, с. 8]; для биометрических банковских продуктов потенциальные партнёры </w:t>
      </w:r>
      <w:r w:rsidR="00875DD8">
        <w:rPr>
          <w:color w:val="000000"/>
        </w:rPr>
        <w:t>–</w:t>
      </w:r>
      <w:r>
        <w:rPr>
          <w:color w:val="000000"/>
        </w:rPr>
        <w:t xml:space="preserve"> производители оборудования, разработчики ОС, платёжные системы, </w:t>
      </w:r>
      <w:proofErr w:type="spellStart"/>
      <w:r>
        <w:rPr>
          <w:color w:val="000000"/>
        </w:rPr>
        <w:t>ритейлеры</w:t>
      </w:r>
      <w:proofErr w:type="spellEnd"/>
      <w:r>
        <w:rPr>
          <w:color w:val="000000"/>
        </w:rPr>
        <w:t xml:space="preserve"> [16, с. 51; 27]. Совместные кампании дают синергетический эффект и повышают эффективность инвестиций в продвижение [18, с. 9].</w:t>
      </w:r>
    </w:p>
    <w:p w:rsidR="00C4374C" w:rsidRDefault="00522436">
      <w:pPr>
        <w:ind w:firstLine="708"/>
      </w:pPr>
      <w:r>
        <w:rPr>
          <w:color w:val="000000"/>
        </w:rPr>
        <w:t xml:space="preserve">Измерение эффективности требует системы KPI, отражающих прогресс на разных этапах жизненного цикла [5, с. 198; 8, с. 524]: на стадии внедрения </w:t>
      </w:r>
      <w:r w:rsidR="00875DD8">
        <w:rPr>
          <w:color w:val="000000"/>
        </w:rPr>
        <w:t>–</w:t>
      </w:r>
      <w:r>
        <w:rPr>
          <w:color w:val="000000"/>
        </w:rPr>
        <w:t xml:space="preserve"> осведомлённость, понимание функций, намерение попробовать; на этапе роста </w:t>
      </w:r>
      <w:r w:rsidR="00875DD8">
        <w:rPr>
          <w:color w:val="000000"/>
        </w:rPr>
        <w:t>–</w:t>
      </w:r>
      <w:r>
        <w:rPr>
          <w:color w:val="000000"/>
        </w:rPr>
        <w:t xml:space="preserve"> число новых пользователей, частота использования, удовлетворённость, готовность рекомендовать [5, с. 201]; финансовые показатели </w:t>
      </w:r>
      <w:r w:rsidR="00875DD8">
        <w:rPr>
          <w:color w:val="000000"/>
        </w:rPr>
        <w:t>–</w:t>
      </w:r>
      <w:r>
        <w:rPr>
          <w:color w:val="000000"/>
        </w:rPr>
        <w:t xml:space="preserve"> CAC, LTV, ROI, доля рынка [6, с. 156; 8, с. 528]. Аналитика цифровых каналов позволяет оперативно оптимизировать стратегию [7, с. 156]. Основные показатели систематизированы в таблице 1.2.3.</w:t>
      </w:r>
    </w:p>
    <w:p w:rsidR="00C4374C" w:rsidRDefault="00522436">
      <w:pPr>
        <w:ind w:firstLine="708"/>
      </w:pPr>
      <w:r>
        <w:rPr>
          <w:color w:val="000000"/>
        </w:rPr>
        <w:t>Таблица 1.2.3</w:t>
      </w:r>
    </w:p>
    <w:p w:rsidR="00C4374C" w:rsidRDefault="00522436">
      <w:pPr>
        <w:ind w:firstLine="708"/>
      </w:pPr>
      <w:r>
        <w:rPr>
          <w:color w:val="000000"/>
        </w:rPr>
        <w:t>Показатели эффективности продвижения инновационного продукта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5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Цель продвижения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Показатель эффективности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Повышение осведомлённости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Охват аудитории, посещаемость сайта, количество упоминаний в СМИ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Формирование интереса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Количество заявок, просмотров презентаций, обращений за информацией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Снижение недоверия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Количество положительных отзывов, снижение отказов, результаты опросов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Привлечение пользователей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Количество регистраций, подключений пилотных внедрений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Удержание пользователей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Частота использования, повторные обращения, активность пользователей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Экономическая эффективность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Стоимость привлечения клиента, ROI, LTV, срок окупаемости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Репутационный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эффект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Индекс удовлетворённости, NPS, экспертные публикации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[5, с. 198–202; 6, с. 156; 8, с. 524–528]</w:t>
      </w:r>
    </w:p>
    <w:p w:rsidR="00C4374C" w:rsidRDefault="00522436">
      <w:pPr>
        <w:ind w:firstLine="708"/>
      </w:pPr>
      <w:r>
        <w:rPr>
          <w:color w:val="000000"/>
        </w:rPr>
        <w:t xml:space="preserve">Для Face2 система KPI должна включать не только маркетинговые показатели охвата и узнаваемости, но и метрики доверия, активности </w:t>
      </w:r>
      <w:r>
        <w:rPr>
          <w:color w:val="000000"/>
        </w:rPr>
        <w:lastRenderedPageBreak/>
        <w:t>пользователей, количества внедрений и экономического эффекта: успешность продвижения биометрического продукта определяется не только интересом аудитории, но и фактическим принятием технологии [16, с. 53; 24, с. 111]. Развёрнутая система KPI стратегии Face2 разрабатывается в § 3.3.1 и Приложении А.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1.3. Особенности продвижения биометрических технологий</w:t>
      </w:r>
    </w:p>
    <w:p w:rsidR="00C4374C" w:rsidRDefault="00522436">
      <w:pPr>
        <w:ind w:firstLine="708"/>
      </w:pPr>
      <w:r>
        <w:rPr>
          <w:color w:val="000000"/>
        </w:rPr>
        <w:t>Биометрические технологии в банковском секторе требуют не нового набора инструментов продвижения по сравнению с § 1.2, а особой их конфигурации: смещения акцентов в воронке, перераспределения веса между элементами 7P и изменения логики каналов. Настоящий параграф фиксирует особенности биометрии, барьеры её принятия и условия, при которых стандартные маркетинговые инструменты переходят в специфические для банковской биометрии формы.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Биометрия в банковском секторе: краткая рамка</w:t>
      </w:r>
    </w:p>
    <w:p w:rsidR="00C4374C" w:rsidRDefault="00522436">
      <w:pPr>
        <w:ind w:firstLine="708"/>
      </w:pPr>
      <w:r>
        <w:rPr>
          <w:color w:val="000000"/>
        </w:rPr>
        <w:t xml:space="preserve">Биометрия </w:t>
      </w:r>
      <w:r w:rsidR="00875DD8">
        <w:rPr>
          <w:color w:val="000000"/>
        </w:rPr>
        <w:t>–</w:t>
      </w:r>
      <w:r>
        <w:rPr>
          <w:color w:val="000000"/>
        </w:rPr>
        <w:t xml:space="preserve"> технология распознавания личности по уникальным физиологическим или поведенческим характеристикам: лицу, голосу, отпечаткам пальцев, рисунку радужной оболочки [15, с. 29; 24, с. 100]. В банковской сфере она решает безопасную идентификацию клиентов при дистанционном обслуживании, противодействие мошенничеству и упрощение доступа к продуктам [16, с. 38; 24, с. 104; 25, с. 115].</w:t>
      </w:r>
    </w:p>
    <w:p w:rsidR="00C4374C" w:rsidRDefault="00522436">
      <w:pPr>
        <w:ind w:firstLine="708"/>
      </w:pPr>
      <w:r>
        <w:rPr>
          <w:color w:val="000000"/>
        </w:rPr>
        <w:t xml:space="preserve">Регуляторный контур в России жёсткий и определяет рамки любых действий банка с биометрией. Федеральный закон от 29.12.2022 № 572-ФЗ относит биометрические векторы к специальной категории персональных данных, обязывает хранить их в Государственной информационной системе ЕБС и разрешает аутентификацию по биометрии только аккредитованным организациям и только при письменном согласии гражданина [23, с. 92–94]. Для банка аккредитация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 в качестве оператора коммерческой биометрической системы (КБС), сертификация ФСБ и ФСТЭК, включение в реестр отечественного ПО </w:t>
      </w:r>
      <w:r w:rsidR="00875DD8">
        <w:rPr>
          <w:color w:val="000000"/>
        </w:rPr>
        <w:t>–</w:t>
      </w:r>
      <w:r>
        <w:rPr>
          <w:color w:val="000000"/>
        </w:rPr>
        <w:t xml:space="preserve"> не формальность, а условие существования </w:t>
      </w:r>
      <w:r>
        <w:rPr>
          <w:color w:val="000000"/>
        </w:rPr>
        <w:lastRenderedPageBreak/>
        <w:t xml:space="preserve">продукта на рынке, а после введения 420-ФЗ и 421-ФЗ от 30 ноября 2024 года </w:t>
      </w:r>
      <w:r w:rsidR="00875DD8">
        <w:rPr>
          <w:color w:val="000000"/>
        </w:rPr>
        <w:t>–</w:t>
      </w:r>
      <w:r>
        <w:rPr>
          <w:color w:val="000000"/>
        </w:rPr>
        <w:t xml:space="preserve"> ещё и условие защиты от штрафов до 1–3% годового дохода и уголовной ответственности за неправомерное обращение с биометрическими данными [23, с. 95; 27]. Сферы применения биометрии в банке и за его пределами показаны на рисунке 1.3.1.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Рис. 1.3.1. Области применения биометрии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 xml:space="preserve">Банковский сектор </w:t>
      </w:r>
      <w:r w:rsidR="00875DD8">
        <w:rPr>
          <w:color w:val="000000"/>
        </w:rPr>
        <w:t>–</w:t>
      </w:r>
      <w:r>
        <w:rPr>
          <w:color w:val="000000"/>
        </w:rPr>
        <w:t xml:space="preserve"> лишь одно из применений, но самое требовательное по совокупности факторов: высокая чувствительность данных, прямая связь с финансами, регуляторное давление, ожидания пользователя по скорости и надёжности. Поэтому стратегия продвижения, отстроенная для биометрии в банке, потом легко переносится на другие отрасли, а обратное </w:t>
      </w:r>
      <w:r w:rsidR="00875DD8">
        <w:rPr>
          <w:color w:val="000000"/>
        </w:rPr>
        <w:t>–</w:t>
      </w:r>
      <w:r>
        <w:rPr>
          <w:color w:val="000000"/>
        </w:rPr>
        <w:t xml:space="preserve"> нет. Дальнейший анализ ведётся именно в банковском контуре.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Барьеры принятия как стартовая точка продвижения</w:t>
      </w:r>
    </w:p>
    <w:p w:rsidR="00C4374C" w:rsidRDefault="00522436">
      <w:pPr>
        <w:ind w:firstLine="708"/>
      </w:pPr>
      <w:r>
        <w:rPr>
          <w:color w:val="000000"/>
        </w:rPr>
        <w:t xml:space="preserve">Если для обычного банковского продукта продвижение начинается с информирования и стимулирования спроса, то для биометрии оно начинается с барьеров. Без их снятия информирование не работает: клиент слышит сообщение о новом сервисе, но не переходит к действию [16, с. 43; 25, с. 113]. Барьеры биометрии в банковском секторе делятся на четыре группы </w:t>
      </w:r>
      <w:r w:rsidR="00875DD8">
        <w:rPr>
          <w:color w:val="000000"/>
        </w:rPr>
        <w:t>–</w:t>
      </w:r>
      <w:r>
        <w:rPr>
          <w:color w:val="000000"/>
        </w:rPr>
        <w:t xml:space="preserve"> психологические, поведенческие, организационные (для B2B-заказчиков) и </w:t>
      </w:r>
      <w:proofErr w:type="spellStart"/>
      <w:r>
        <w:rPr>
          <w:color w:val="000000"/>
        </w:rPr>
        <w:t>регуляторно-репутационные</w:t>
      </w:r>
      <w:proofErr w:type="spellEnd"/>
      <w:r>
        <w:rPr>
          <w:color w:val="000000"/>
        </w:rPr>
        <w:t>. Каждая группа требует своего инструментария продвижения, и именно сопоставление барьеров с инструментами из параграфа 1.2 даёт работоспособную стратегию (таблица 1.3.1).</w:t>
      </w:r>
    </w:p>
    <w:p w:rsidR="00C4374C" w:rsidRDefault="00522436">
      <w:pPr>
        <w:ind w:firstLine="708"/>
      </w:pPr>
      <w:r>
        <w:rPr>
          <w:color w:val="000000"/>
        </w:rPr>
        <w:t>Таблица 1.3.1</w:t>
      </w:r>
    </w:p>
    <w:p w:rsidR="00C4374C" w:rsidRDefault="00522436">
      <w:pPr>
        <w:ind w:firstLine="708"/>
      </w:pPr>
      <w:r>
        <w:rPr>
          <w:color w:val="000000"/>
        </w:rPr>
        <w:t>Барьеры принятия биометрических технологий и инструменты их преодоления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5"/>
        <w:gridCol w:w="2514"/>
        <w:gridCol w:w="2514"/>
        <w:gridCol w:w="2514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lastRenderedPageBreak/>
              <w:t>Группа барьеров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 барьера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Инструмент продвижения (из 1.2)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Конкретная форма для биометрии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Психологические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Страх утечки биометрии, опасения злоупотреблений, ощущение невозможности «отозвать» сданный образец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Этап «Доверие» в воронке; элемент </w:t>
            </w:r>
            <w:proofErr w:type="spellStart"/>
            <w:r>
              <w:rPr>
                <w:color w:val="000000"/>
                <w:sz w:val="24"/>
                <w:szCs w:val="24"/>
              </w:rPr>
              <w:t>Physical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evidence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7P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Сертификаты ФСБ/ФСТЭК, объяснение архитектуры ГИС ЕБС, прозрачная политика обработки данных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Когнитивные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Непонимание принципа работы, мифы о «слежке», непрозрачность сценария использования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Образовательный контент-маркетинг; элемент </w:t>
            </w:r>
            <w:proofErr w:type="spellStart"/>
            <w:r>
              <w:rPr>
                <w:color w:val="000000"/>
                <w:sz w:val="24"/>
                <w:szCs w:val="24"/>
              </w:rPr>
              <w:t>People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7P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Видеоинструкции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инфографика</w:t>
            </w:r>
            <w:proofErr w:type="spellEnd"/>
            <w:r>
              <w:rPr>
                <w:color w:val="000000"/>
                <w:sz w:val="24"/>
                <w:szCs w:val="24"/>
              </w:rPr>
              <w:t>, FAQ, разъяснения от экспертов банка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Поведенческие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Привычка к картам, паролям и документам; инерция потребительского поведения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Демонстрационная стратегия; стратегия работы с ранними последователями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Демозоны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отделениях, пилоты на лояльной аудитории (сотрудники, корпоративные клиенты), </w:t>
            </w:r>
            <w:proofErr w:type="spellStart"/>
            <w:r>
              <w:rPr>
                <w:color w:val="000000"/>
                <w:sz w:val="24"/>
                <w:szCs w:val="24"/>
              </w:rPr>
              <w:t>геймификация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регистрации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Организационные (B2B)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Стоимость внедрения, длительный срок окупаемости, сложность интеграции с существующей СКУД и ИТ-инфраструктурой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Расчёт ROI и LTV; партнёрская стратегия; пилотные проекты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Бизнес-кейсы с количественным эффектом, пилотные внедрения с минимальной инфраструктурой, партнёрства с интеграторами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Регуляторно-репутационные</w:t>
            </w:r>
            <w:proofErr w:type="spellEnd"/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Риск штрафов и уголовной ответственности при неправомерном обращении с биометрией; </w:t>
            </w:r>
            <w:proofErr w:type="spellStart"/>
            <w:r>
              <w:rPr>
                <w:color w:val="000000"/>
                <w:sz w:val="24"/>
                <w:szCs w:val="24"/>
              </w:rPr>
              <w:t>репутационный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ущерб от инцидентов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PR и деловые СМИ; элемент </w:t>
            </w:r>
            <w:proofErr w:type="spellStart"/>
            <w:r>
              <w:rPr>
                <w:color w:val="000000"/>
                <w:sz w:val="24"/>
                <w:szCs w:val="24"/>
              </w:rPr>
              <w:t>Physical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evidence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7P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Демонстрация статуса аккредитованного оператора КБС, публикация ESG-отчётности, открытость к проверкам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[16, с. 41–47; 24, с. 106–110; 25, с. 113–119; 8, с. 354; 19, с. 7–8; 27]</w:t>
      </w:r>
    </w:p>
    <w:p w:rsidR="00C4374C" w:rsidRDefault="00522436">
      <w:pPr>
        <w:ind w:firstLine="708"/>
      </w:pPr>
      <w:r>
        <w:rPr>
          <w:color w:val="000000"/>
        </w:rPr>
        <w:t xml:space="preserve">Главный практический вывод из этой раскладки в том, что бюджет продвижения биометрии распределяется иначе, чем для обычного банковского продукта. Если у массового потребительского сервиса основная часть приходится на этап осведомлённости и интереса, то у биометрии непропорционально большая доля уходит на этапы доверия и пробного </w:t>
      </w:r>
      <w:r>
        <w:rPr>
          <w:color w:val="000000"/>
        </w:rPr>
        <w:lastRenderedPageBreak/>
        <w:t>использования: образовательный контент, демонстрации, пилоты, экспертные публикации, разъяснение мер защиты данных. На массовую рекламу до снятия барьеров доверия инвестиции окупаются плохо.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Условия успешного продвижения биометрических технологий</w:t>
      </w:r>
    </w:p>
    <w:p w:rsidR="00C4374C" w:rsidRDefault="00522436">
      <w:pPr>
        <w:ind w:firstLine="708"/>
      </w:pPr>
      <w:r>
        <w:rPr>
          <w:color w:val="000000"/>
        </w:rPr>
        <w:t xml:space="preserve">Барьеры показывают, что нужно преодолеть; условия успеха </w:t>
      </w:r>
      <w:r w:rsidR="00875DD8">
        <w:rPr>
          <w:color w:val="000000"/>
        </w:rPr>
        <w:t>–</w:t>
      </w:r>
      <w:r>
        <w:rPr>
          <w:color w:val="000000"/>
        </w:rPr>
        <w:t xml:space="preserve"> какие предпосылки должны выполняться, чтобы продвижение в принципе работало. Это четыре группы факторов, которые формируют верхнюю границу того, что вообще достижимо маркетингом (таблица 1.3.2).</w:t>
      </w:r>
    </w:p>
    <w:p w:rsidR="00C4374C" w:rsidRDefault="00522436">
      <w:pPr>
        <w:ind w:firstLine="708"/>
      </w:pPr>
      <w:r>
        <w:rPr>
          <w:color w:val="000000"/>
        </w:rPr>
        <w:t>Таблица 1.3.2</w:t>
      </w:r>
    </w:p>
    <w:p w:rsidR="00C4374C" w:rsidRDefault="00522436">
      <w:pPr>
        <w:ind w:firstLine="708"/>
      </w:pPr>
      <w:r>
        <w:rPr>
          <w:color w:val="000000"/>
        </w:rPr>
        <w:t>Условия успешного продвижения биометрических технологий в банковском секторе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3401"/>
        <w:gridCol w:w="3401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Группа условий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Что обеспечивает в продвижении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Правовые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Соответствие 572-ФЗ, аккредитация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качестве оператора КБС, сертификация ФСБ и ФСТЭК, наличие письменного согласия пользователя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Право вообще выводить продукт на рынок и легально использовать его в коммуникации как «безопасный и законный»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Социально-психологические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доверия к технологии, готовность аудитории к освоению инноваций, отсутствие острых негативных кейсов в публичном поле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Восприимчивость аудитории к маркетинговым сообщениям; реалистичность сроков перехода от интереса к принятию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Технологические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Точность распознавания (FAR/FRR), надёжность оборудования, скорость работы, простота интеграции с существующими системами заказчика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Реальное соответствие продукта обещаниям маркетинга; возможность работы со статистикой точности и кейсами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Экономические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Понятный срок окупаемости для B2B-заказчика, обоснованная цена внедрения, измеримый эффект (сокращение очередей, снижение операционных рисков, ускорение обслуживания)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Аргументация продаж в B2B и B2G; возможность строить продвижение на ROI, а не только на эмоциях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[16, с. 45; 23, с. 93; 24, с. 106; 27]</w:t>
      </w:r>
    </w:p>
    <w:p w:rsidR="00C4374C" w:rsidRDefault="00522436">
      <w:pPr>
        <w:ind w:firstLine="708"/>
      </w:pPr>
      <w:r>
        <w:rPr>
          <w:color w:val="000000"/>
        </w:rPr>
        <w:t xml:space="preserve">Эти четыре группы </w:t>
      </w:r>
      <w:r w:rsidR="00875DD8">
        <w:rPr>
          <w:color w:val="000000"/>
        </w:rPr>
        <w:t>–</w:t>
      </w:r>
      <w:r>
        <w:rPr>
          <w:color w:val="000000"/>
        </w:rPr>
        <w:t xml:space="preserve"> не предмет маркетинга, а его рамка. Если правовое условие нарушено, никакое продвижение не спасёт продукт от регуляторных </w:t>
      </w:r>
      <w:r>
        <w:rPr>
          <w:color w:val="000000"/>
        </w:rPr>
        <w:lastRenderedPageBreak/>
        <w:t xml:space="preserve">санкций. Если технологическое условие не выполняется (например, точность распознавания недостаточна для финансовых операций), любая реклама сработает в минус: первый же негативный пользовательский опыт уничтожит </w:t>
      </w:r>
      <w:proofErr w:type="spellStart"/>
      <w:r>
        <w:rPr>
          <w:color w:val="000000"/>
        </w:rPr>
        <w:t>репутационный</w:t>
      </w:r>
      <w:proofErr w:type="spellEnd"/>
      <w:r>
        <w:rPr>
          <w:color w:val="000000"/>
        </w:rPr>
        <w:t xml:space="preserve"> капитал. Если экономическое условие не обосновано для B2B-клиента, лучшая в мире коммуникация не приведёт к подписанию контракта. Поэтому стратегия продвижения биометрии в банке всегда строится после того, как зафиксированы эти четыре опоры, а не вместо них.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Конфигурация инструментов из 1.2 под специфику биометрии</w:t>
      </w:r>
    </w:p>
    <w:p w:rsidR="00C4374C" w:rsidRDefault="00522436">
      <w:pPr>
        <w:ind w:firstLine="708"/>
      </w:pPr>
      <w:r>
        <w:rPr>
          <w:color w:val="000000"/>
        </w:rPr>
        <w:t>С учётом барьеров и условий стандартные инструменты продвижения, рассмотренные в параграфе 1.2, перенастраиваются для биометрии в банковском секторе следующим образом.</w:t>
      </w:r>
    </w:p>
    <w:p w:rsidR="00C4374C" w:rsidRDefault="00522436">
      <w:pPr>
        <w:ind w:firstLine="708"/>
      </w:pPr>
      <w:r>
        <w:rPr>
          <w:b/>
          <w:bCs/>
          <w:color w:val="000000"/>
        </w:rPr>
        <w:t>Интегрированная стратегия (</w:t>
      </w:r>
      <w:proofErr w:type="spellStart"/>
      <w:r>
        <w:rPr>
          <w:b/>
          <w:bCs/>
          <w:color w:val="000000"/>
        </w:rPr>
        <w:t>push</w:t>
      </w:r>
      <w:proofErr w:type="spellEnd"/>
      <w:r>
        <w:rPr>
          <w:b/>
          <w:bCs/>
          <w:color w:val="000000"/>
        </w:rPr>
        <w:t xml:space="preserve"> + </w:t>
      </w:r>
      <w:proofErr w:type="spellStart"/>
      <w:r>
        <w:rPr>
          <w:b/>
          <w:bCs/>
          <w:color w:val="000000"/>
        </w:rPr>
        <w:t>pull</w:t>
      </w:r>
      <w:proofErr w:type="spellEnd"/>
      <w:r>
        <w:rPr>
          <w:b/>
          <w:bCs/>
          <w:color w:val="000000"/>
        </w:rPr>
        <w:t>) в банковской биометрии распадается по сегментам.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-составляющая работает в B2B и B2G: банк через прямые продажи, отраслевые конференции, партнёрства с интеграторами и </w:t>
      </w:r>
      <w:proofErr w:type="spellStart"/>
      <w:r>
        <w:rPr>
          <w:color w:val="000000"/>
        </w:rPr>
        <w:t>вендорами</w:t>
      </w:r>
      <w:proofErr w:type="spellEnd"/>
      <w:r>
        <w:rPr>
          <w:color w:val="000000"/>
        </w:rPr>
        <w:t xml:space="preserve"> оборудования продвигает решение корпоративным заказчикам и государственным организациям.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-составляющая работает в B2C: формирование спроса со стороны конечных пользователей через рекламу, контент-маркетинг и социальные сети [16, с. 48; 24, с. 106]. Особенность в том, что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 в биометрии вторичен по отношению к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: B2B-заказчик принимает решение о внедрении только тогда, когда видит готовность своих клиентов пользоваться технологией, а готовность клиентов формируется через массовые сценарии (метро, библиотеки, магазины), которые сами по себе требуют B2B-партнёра.</w:t>
      </w:r>
    </w:p>
    <w:p w:rsidR="00C4374C" w:rsidRDefault="00522436">
      <w:pPr>
        <w:ind w:firstLine="708"/>
      </w:pPr>
      <w:r>
        <w:rPr>
          <w:b/>
          <w:bCs/>
          <w:color w:val="000000"/>
        </w:rPr>
        <w:t>Модель STP сегментирует рынок не по социально-демографическим признакам, а по типу заказчика и сценарию использования.</w:t>
      </w:r>
      <w:r>
        <w:rPr>
          <w:color w:val="000000"/>
        </w:rPr>
        <w:t xml:space="preserve"> Сегменты </w:t>
      </w:r>
      <w:r w:rsidR="00875DD8">
        <w:rPr>
          <w:color w:val="000000"/>
        </w:rPr>
        <w:t>–</w:t>
      </w:r>
      <w:r>
        <w:rPr>
          <w:color w:val="000000"/>
        </w:rPr>
        <w:t xml:space="preserve"> банки, МФО, ритейл, гостиницы, транспорт, режимные объекты, государственные учреждения. Для каждого формируется собственное позиционирование: для банков </w:t>
      </w:r>
      <w:r w:rsidR="00875DD8">
        <w:rPr>
          <w:color w:val="000000"/>
        </w:rPr>
        <w:t>–</w:t>
      </w:r>
      <w:r>
        <w:rPr>
          <w:color w:val="000000"/>
        </w:rPr>
        <w:t xml:space="preserve"> «соответствие 572-ФЗ и снижение рисков мошенничества», для ритейла </w:t>
      </w:r>
      <w:r w:rsidR="00875DD8">
        <w:rPr>
          <w:color w:val="000000"/>
        </w:rPr>
        <w:t>–</w:t>
      </w:r>
      <w:r>
        <w:rPr>
          <w:color w:val="000000"/>
        </w:rPr>
        <w:t xml:space="preserve"> «ускорение обслуживания», для режимных </w:t>
      </w:r>
      <w:r>
        <w:rPr>
          <w:color w:val="000000"/>
        </w:rPr>
        <w:lastRenderedPageBreak/>
        <w:t xml:space="preserve">объектов </w:t>
      </w:r>
      <w:r w:rsidR="00875DD8">
        <w:rPr>
          <w:color w:val="000000"/>
        </w:rPr>
        <w:t>–</w:t>
      </w:r>
      <w:r>
        <w:rPr>
          <w:color w:val="000000"/>
        </w:rPr>
        <w:t xml:space="preserve"> «контроль доступа без передаваемых пропусков», для государственных учреждений </w:t>
      </w:r>
      <w:r w:rsidR="00875DD8">
        <w:rPr>
          <w:color w:val="000000"/>
        </w:rPr>
        <w:t>–</w:t>
      </w:r>
      <w:r>
        <w:rPr>
          <w:color w:val="000000"/>
        </w:rPr>
        <w:t xml:space="preserve"> «</w:t>
      </w:r>
      <w:proofErr w:type="spellStart"/>
      <w:r>
        <w:rPr>
          <w:color w:val="000000"/>
        </w:rPr>
        <w:t>цифровизация</w:t>
      </w:r>
      <w:proofErr w:type="spellEnd"/>
      <w:r>
        <w:rPr>
          <w:color w:val="000000"/>
        </w:rPr>
        <w:t xml:space="preserve"> идентификации без документов» [5, с. 124; 8, с. 314].</w:t>
      </w:r>
    </w:p>
    <w:p w:rsidR="00C4374C" w:rsidRDefault="00522436">
      <w:pPr>
        <w:ind w:firstLine="708"/>
      </w:pPr>
      <w:r>
        <w:rPr>
          <w:b/>
          <w:bCs/>
          <w:color w:val="000000"/>
        </w:rPr>
        <w:t xml:space="preserve">В расширенном комплексе 7P для биометрии непропорционально вырастают три элемента </w:t>
      </w:r>
      <w:r w:rsidR="00875DD8">
        <w:rPr>
          <w:b/>
          <w:bCs/>
          <w:color w:val="000000"/>
        </w:rPr>
        <w:t>–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People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Process</w:t>
      </w:r>
      <w:proofErr w:type="spellEnd"/>
      <w:r>
        <w:rPr>
          <w:b/>
          <w:bCs/>
          <w:color w:val="000000"/>
        </w:rPr>
        <w:t xml:space="preserve"> и </w:t>
      </w:r>
      <w:proofErr w:type="spellStart"/>
      <w:r>
        <w:rPr>
          <w:b/>
          <w:bCs/>
          <w:color w:val="000000"/>
        </w:rPr>
        <w:t>Physical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evidence</w:t>
      </w:r>
      <w:proofErr w:type="spellEnd"/>
      <w:r>
        <w:rPr>
          <w:b/>
          <w:bCs/>
          <w:color w:val="000000"/>
        </w:rPr>
        <w:t>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экспертиза сотрудников банка, выступающих публичными лицами продукта, и качество сопровождения внедрения у заказчика.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простота пользовательского пути регистрации и использования (минимизация шагов, скорость распознавания, понятный сценарий восстановления доступа).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сертификаты ФСБ и ФСТЭК, аккредитация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, кейсы внедрений, отзывы сотрудников банка как ранних пользователей [16, с. 50; 24, с. 109]. Эти три элемента закрывают психологический барьер сильнее, чем элементы </w:t>
      </w:r>
      <w:proofErr w:type="spellStart"/>
      <w:r>
        <w:rPr>
          <w:color w:val="000000"/>
        </w:rPr>
        <w:t>Promotion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Price</w:t>
      </w:r>
      <w:proofErr w:type="spellEnd"/>
      <w:r>
        <w:rPr>
          <w:color w:val="000000"/>
        </w:rPr>
        <w:t xml:space="preserve"> в их классической форме.</w:t>
      </w:r>
    </w:p>
    <w:p w:rsidR="00C4374C" w:rsidRDefault="00522436">
      <w:pPr>
        <w:ind w:firstLine="708"/>
      </w:pPr>
      <w:r>
        <w:rPr>
          <w:b/>
          <w:bCs/>
          <w:color w:val="000000"/>
        </w:rPr>
        <w:t>Маркетинговая воронка для биометрии вытягивается на этапе «Доверие».</w:t>
      </w:r>
      <w:r>
        <w:rPr>
          <w:color w:val="000000"/>
        </w:rPr>
        <w:t xml:space="preserve"> Между этапами «Интерес» и «Пробное использование» стандартной воронки в биометрии встраивается отдельный длинный этап работы с возражениями: разъяснение архитектуры хранения биометрии в ГИС ЕБС, демонстрация мер защиты, ответы на вопросы о конфиденциальности, публикация статистики точности. Без этого этапа большая часть аудитории, проявившей интерес, не доходит до пробного использования [6, с. 64; 20, с. 11; 19, с. 6].</w:t>
      </w:r>
    </w:p>
    <w:p w:rsidR="00C4374C" w:rsidRDefault="00522436">
      <w:pPr>
        <w:ind w:firstLine="708"/>
      </w:pPr>
      <w:r>
        <w:rPr>
          <w:b/>
          <w:bCs/>
          <w:color w:val="000000"/>
        </w:rPr>
        <w:t>Каналы продвижения смещаются в сторону экспертных и демонстрационных форматов.</w:t>
      </w:r>
      <w:r>
        <w:rPr>
          <w:color w:val="000000"/>
        </w:rPr>
        <w:t xml:space="preserve"> Удельный вес массовой рекламы снижается в пользу образовательного контент-маркетинга, отраслевых мероприятий, экспертных публикаций в деловых СМИ и физических </w:t>
      </w:r>
      <w:proofErr w:type="spellStart"/>
      <w:r>
        <w:rPr>
          <w:color w:val="000000"/>
        </w:rPr>
        <w:t>демозон</w:t>
      </w:r>
      <w:proofErr w:type="spellEnd"/>
      <w:r>
        <w:rPr>
          <w:color w:val="000000"/>
        </w:rPr>
        <w:t xml:space="preserve"> в офисах банка и партнёрских точках. Социальные сети используются не столько для прямого охвата, сколько для работы с возражениями и распространения отзывов «послов бренда» </w:t>
      </w:r>
      <w:r w:rsidR="00875DD8">
        <w:rPr>
          <w:color w:val="000000"/>
        </w:rPr>
        <w:t>–</w:t>
      </w:r>
      <w:r>
        <w:rPr>
          <w:color w:val="000000"/>
        </w:rPr>
        <w:t xml:space="preserve"> технологически ориентированных сотрудников банка, корпоративных клиентов и пилотных пользователей [6, с. 102–135; 14, с. 161; 27].</w:t>
      </w:r>
    </w:p>
    <w:p w:rsidR="00C4374C" w:rsidRDefault="00522436">
      <w:pPr>
        <w:ind w:firstLine="708"/>
      </w:pPr>
      <w:r>
        <w:rPr>
          <w:b/>
          <w:bCs/>
          <w:color w:val="000000"/>
        </w:rPr>
        <w:lastRenderedPageBreak/>
        <w:t xml:space="preserve">Программы стимулирования и партнёрства образуют </w:t>
      </w:r>
      <w:proofErr w:type="spellStart"/>
      <w:r>
        <w:rPr>
          <w:b/>
          <w:bCs/>
          <w:color w:val="000000"/>
        </w:rPr>
        <w:t>экосистемный</w:t>
      </w:r>
      <w:proofErr w:type="spellEnd"/>
      <w:r>
        <w:rPr>
          <w:b/>
          <w:bCs/>
          <w:color w:val="000000"/>
        </w:rPr>
        <w:t xml:space="preserve"> слой продвижения.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Геймификация</w:t>
      </w:r>
      <w:proofErr w:type="spellEnd"/>
      <w:r>
        <w:rPr>
          <w:color w:val="000000"/>
        </w:rPr>
        <w:t xml:space="preserve"> регистрации, бонусные программы для ранних пользователей, эксклюзивный доступ к дополнительным функциям снижают психологические барьеры и повышают конверсию в пробное использование [18, с. 8; 6, с. 124; 19, с. 8]. Партнёрства с производителями турникетов и POS-терминалов, разработчиками СКУД, платёжными системами и государственными структурами расширяют каналы дистрибуции, а сама ассоциация с авторитетными партнёрами работает как дополнительный элемент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в восприятии заказчиков [16, с. 51; 27].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Переход к главе 2</w:t>
      </w:r>
    </w:p>
    <w:p w:rsidR="00C4374C" w:rsidRDefault="00522436">
      <w:pPr>
        <w:ind w:firstLine="708"/>
      </w:pPr>
      <w:r>
        <w:rPr>
          <w:color w:val="000000"/>
        </w:rPr>
        <w:t xml:space="preserve">Сформированная теоретическая рамка позволяет дальше анализировать продвижение биометрического продукта Face2 Ак Барс Банка не как набор разрозненных активностей, а как систему. В главе 2 проверяется, как эта рамка реализована на практике: какой барьерный набор реально стоит перед Face2 на российском рынке, какие из четырёх условий успеха закрыты у Ак Барс Банка институционально, как конфигурируются инструменты продвижения под продуктовую линейку (Face2Pay, Face2Pass, Face2Check-in, КБС под ключ), и какие сегменты B2B и B2G банк уже охватывает первыми коммерческими внедрениями. Параграф 2.1 описывает банк как разработчика и продукт как объект продвижения, параграф 2.2 </w:t>
      </w:r>
      <w:r w:rsidR="00875DD8">
        <w:rPr>
          <w:color w:val="000000"/>
        </w:rPr>
        <w:t>–</w:t>
      </w:r>
      <w:r>
        <w:rPr>
          <w:color w:val="000000"/>
        </w:rPr>
        <w:t xml:space="preserve"> конкурентное окружение и рыночные условия, параграф 2.3 </w:t>
      </w:r>
      <w:r w:rsidR="00875DD8">
        <w:rPr>
          <w:color w:val="000000"/>
        </w:rPr>
        <w:t>–</w:t>
      </w:r>
      <w:r>
        <w:rPr>
          <w:color w:val="000000"/>
        </w:rPr>
        <w:t xml:space="preserve"> текущее состояние продвижения и его пробелы. Глава 3 на этой основе формирует целевой комплекс мероприятий по продвижению Face2.</w:t>
      </w:r>
    </w:p>
    <w:p w:rsidR="00C4374C" w:rsidRDefault="00522436">
      <w:r>
        <w:br w:type="page"/>
      </w: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ВЫВОД ПО ГЛАВЕ 1</w:t>
      </w:r>
    </w:p>
    <w:p w:rsidR="00C4374C" w:rsidRDefault="00522436">
      <w:pPr>
        <w:ind w:firstLine="708"/>
      </w:pPr>
      <w:r>
        <w:rPr>
          <w:color w:val="000000"/>
        </w:rPr>
        <w:t xml:space="preserve">Инновационный продукт отличается от традиционного товара повышенным уровнем неопределённости рыночного успеха и необходимостью изменения поведенческих паттернов потребителя. Цифровые банковские инновации образуют подкласс с повышенными требованиями к защите данных и доверию пользователей; биометрические системы </w:t>
      </w:r>
      <w:r w:rsidR="00875DD8">
        <w:rPr>
          <w:color w:val="000000"/>
        </w:rPr>
        <w:t>–</w:t>
      </w:r>
      <w:r>
        <w:rPr>
          <w:color w:val="000000"/>
        </w:rPr>
        <w:t xml:space="preserve"> крайний случай этого подкласса, сочетающий высокую технологическую сложность, работу с особо чувствительными персональными данными, жёсткий нормативно-правовой контур (№ 572-ФЗ, аккредитация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>, сертификация ФСБ и ФСТЭК) и значительные психологические барьеры. Поэтому их продвижение не сводится к стандартному маркетингу и требует особой стратегии с образовательной составляющей, систематической работой с возражениями и демонстрацией мер защиты данных.</w:t>
      </w:r>
    </w:p>
    <w:p w:rsidR="00C4374C" w:rsidRDefault="00522436">
      <w:pPr>
        <w:ind w:firstLine="708"/>
      </w:pPr>
      <w:r>
        <w:rPr>
          <w:color w:val="000000"/>
        </w:rPr>
        <w:t xml:space="preserve">Инструментально такая стратегия опирается на интегрированный подход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, модель STP, расширенный комплекс 7P с особым весом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, маркетинговую воронку с обязательным этапом «Доверие» и теорию диффузии инноваций Э. </w:t>
      </w:r>
      <w:proofErr w:type="spellStart"/>
      <w:r>
        <w:rPr>
          <w:color w:val="000000"/>
        </w:rPr>
        <w:t>Роджерса</w:t>
      </w:r>
      <w:proofErr w:type="spellEnd"/>
      <w:r>
        <w:rPr>
          <w:color w:val="000000"/>
        </w:rPr>
        <w:t xml:space="preserve">. Эти универсальные инструменты перенастраиваются под пять групп барьеров принятия биометрии и опираются на четыре условия её успешного продвижения </w:t>
      </w:r>
      <w:r w:rsidR="00875DD8">
        <w:rPr>
          <w:color w:val="000000"/>
        </w:rPr>
        <w:t>–</w:t>
      </w:r>
      <w:r>
        <w:rPr>
          <w:color w:val="000000"/>
        </w:rPr>
        <w:t xml:space="preserve"> правовое, социально-психологическое, технологическое и экономическое. Сформулированная теоретическая рамка задаёт аналитический контур главы 2 (характеристика банка и продукта, анализ рынка и текущего продвижения) и главы 3 (разработка стратегии).</w:t>
      </w:r>
    </w:p>
    <w:p w:rsidR="00C4374C" w:rsidRDefault="00C4374C">
      <w:pPr>
        <w:spacing w:line="240" w:lineRule="auto"/>
      </w:pP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ГЛАВА 2. АНАЛИЗ ДЕЯТЕЛЬНОСТИ АК БАРС БАНКА В КОНТЕКСТЕ РАЗРАБОТКИ СТРАТЕГИИ ПРОДВИЖЕНИЯ ИННОВАЦИОННОГО ПРОДУКТА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2.1. Характеристика Ак Барс Банка и продукта Face2</w:t>
      </w:r>
    </w:p>
    <w:p w:rsidR="00C4374C" w:rsidRDefault="00522436">
      <w:pPr>
        <w:ind w:firstLine="708"/>
      </w:pPr>
      <w:r>
        <w:rPr>
          <w:color w:val="000000"/>
        </w:rPr>
        <w:t xml:space="preserve">Акционерный коммерческий банк «Ак Барс» </w:t>
      </w:r>
      <w:r w:rsidR="00875DD8">
        <w:rPr>
          <w:color w:val="000000"/>
        </w:rPr>
        <w:t>–</w:t>
      </w:r>
      <w:r>
        <w:rPr>
          <w:color w:val="000000"/>
        </w:rPr>
        <w:t xml:space="preserve"> публичное акционерное общество со штаб-квартирой в Казани (ул. Декабристов, 1), работает по генеральной лицензии Банка России с 1993 года и входит в систему страхования вкладов [30, с. 6–7]. Основной регион присутствия </w:t>
      </w:r>
      <w:r w:rsidR="00875DD8">
        <w:rPr>
          <w:color w:val="000000"/>
        </w:rPr>
        <w:t>–</w:t>
      </w:r>
      <w:r>
        <w:rPr>
          <w:color w:val="000000"/>
        </w:rPr>
        <w:t xml:space="preserve"> Республика Татарстан: на конец 2024 года доля местных поставщиков в бюджете закупок составила не менее 60% [26, с. 67]. Сводная динамика основных консолидированных показателей за 2023–2025 годы приведена в таблице 2.1.1.</w:t>
      </w:r>
    </w:p>
    <w:p w:rsidR="00C4374C" w:rsidRDefault="00522436">
      <w:pPr>
        <w:ind w:firstLine="708"/>
      </w:pPr>
      <w:r>
        <w:rPr>
          <w:color w:val="000000"/>
        </w:rPr>
        <w:t>Таблица 2.1.1</w:t>
      </w:r>
    </w:p>
    <w:p w:rsidR="00C4374C" w:rsidRDefault="00522436">
      <w:pPr>
        <w:ind w:firstLine="708"/>
      </w:pPr>
      <w:r>
        <w:rPr>
          <w:color w:val="000000"/>
        </w:rPr>
        <w:t>Ключевые финансовые показатели группы банка «Ак Барс» за 2023–2025 гг., млн руб.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7"/>
        <w:gridCol w:w="1661"/>
        <w:gridCol w:w="1329"/>
        <w:gridCol w:w="1329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2024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2025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Совокупные активы (на конец года)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н/д\*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946 923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1 157 340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Итого капитал (на конец года)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106 130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111 972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126 377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Чистые процентные доходы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31 824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46 590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58 135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Прибыль за период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14 195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7 269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15 708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[31, с. 1–3; 30, с. 2–3]</w:t>
      </w:r>
    </w:p>
    <w:p w:rsidR="00C4374C" w:rsidRDefault="00522436">
      <w:pPr>
        <w:ind w:firstLine="708"/>
      </w:pPr>
      <w:r>
        <w:rPr>
          <w:color w:val="000000"/>
        </w:rPr>
        <w:t>\* В источнике [31] показатель совокупных активов на конец 2023 года не раскрывается.</w:t>
      </w:r>
    </w:p>
    <w:p w:rsidR="00C4374C" w:rsidRDefault="00522436">
      <w:pPr>
        <w:ind w:firstLine="708"/>
      </w:pPr>
      <w:r>
        <w:rPr>
          <w:color w:val="000000"/>
        </w:rPr>
        <w:t>Дивиденды по итогам отчётных периодов не выплачиваются, а основной финансовый результат концентрируется в корпоративном и инвестиционном сегментах [31, с. 66, 68; 30, с. 2–3]: ресурсы для продвижения нового продукта остаются внутри группы, а собственная B2B-база работает как готовый канал входа для Face2.</w:t>
      </w:r>
    </w:p>
    <w:p w:rsidR="00C4374C" w:rsidRDefault="00522436">
      <w:pPr>
        <w:ind w:firstLine="708"/>
      </w:pPr>
      <w:r>
        <w:rPr>
          <w:color w:val="000000"/>
        </w:rPr>
        <w:t xml:space="preserve">Действующая Стратегия развития Ак Барс Банка на 2022–2026 годы фиксирует три приоритета: эффективность, </w:t>
      </w:r>
      <w:proofErr w:type="spellStart"/>
      <w:r>
        <w:rPr>
          <w:color w:val="000000"/>
        </w:rPr>
        <w:t>клиентоцентричность</w:t>
      </w:r>
      <w:proofErr w:type="spellEnd"/>
      <w:r>
        <w:rPr>
          <w:color w:val="000000"/>
        </w:rPr>
        <w:t xml:space="preserve"> и гибкость [26, с. 16]. Биометрический продукт встаёт в этот контур естественно: «технологический суверенитет» закрывается у Face2 через сертификацию ФСБ, </w:t>
      </w:r>
      <w:r>
        <w:rPr>
          <w:color w:val="000000"/>
        </w:rPr>
        <w:lastRenderedPageBreak/>
        <w:t>ФСТЭК и попадание в реестр отечественного ПО [27], «</w:t>
      </w:r>
      <w:proofErr w:type="spellStart"/>
      <w:r>
        <w:rPr>
          <w:color w:val="000000"/>
        </w:rPr>
        <w:t>клиентоцентричность</w:t>
      </w:r>
      <w:proofErr w:type="spellEnd"/>
      <w:r>
        <w:rPr>
          <w:color w:val="000000"/>
        </w:rPr>
        <w:t xml:space="preserve">» </w:t>
      </w:r>
      <w:r w:rsidR="00875DD8">
        <w:rPr>
          <w:color w:val="000000"/>
        </w:rPr>
        <w:t>–</w:t>
      </w:r>
      <w:r>
        <w:rPr>
          <w:color w:val="000000"/>
        </w:rPr>
        <w:t xml:space="preserve"> через сценарии оплаты и доступа без карт и документов, «гибкость» </w:t>
      </w:r>
      <w:r w:rsidR="00875DD8">
        <w:rPr>
          <w:color w:val="000000"/>
        </w:rPr>
        <w:t>–</w:t>
      </w:r>
      <w:r>
        <w:rPr>
          <w:color w:val="000000"/>
        </w:rPr>
        <w:t xml:space="preserve"> через возможность быстро запускать сервисы на одной платформе для разных сегментов B2B. Face2 </w:t>
      </w:r>
      <w:r w:rsidR="00875DD8">
        <w:rPr>
          <w:color w:val="000000"/>
        </w:rPr>
        <w:t>–</w:t>
      </w:r>
      <w:r>
        <w:rPr>
          <w:color w:val="000000"/>
        </w:rPr>
        <w:t xml:space="preserve"> не точечный эксперимент, а реализация трёх приоритетов одновременно. Клиентская база и розничный портфель банка задают канал, через который продукт может быть распространён во внешний рынок (таблица 2.1.2).</w:t>
      </w:r>
    </w:p>
    <w:p w:rsidR="00C4374C" w:rsidRDefault="00522436">
      <w:pPr>
        <w:ind w:firstLine="708"/>
      </w:pPr>
      <w:r>
        <w:rPr>
          <w:color w:val="000000"/>
        </w:rPr>
        <w:t>Таблица 2.1.2</w:t>
      </w:r>
    </w:p>
    <w:p w:rsidR="00C4374C" w:rsidRDefault="00522436">
      <w:pPr>
        <w:ind w:firstLine="708"/>
      </w:pPr>
      <w:r>
        <w:rPr>
          <w:color w:val="000000"/>
        </w:rPr>
        <w:t>Клиентская база и продуктовые показатели Ак Барс Банка по итогам 2024 года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2"/>
        <w:gridCol w:w="2585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Значение на 01.01.2025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Розничные клиенты, тыс. чел.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934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Корпоративные клиенты, тыс.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33,9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Активные пользователи Ак Барс Онлайн, тыс.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930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Действующие банковские карты, тыс. шт.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2 265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Карты жителя Республики Татарстан (всего, включая Детскую карту), шт.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450 131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Объём транзакций через Ак Барс Онлайн за год, млн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Розничный кредитный портфель, млрд руб.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199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Корпоративный кредитный портфель, млрд руб.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203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[26, с. 17, 25, 28, 29, 33]</w:t>
      </w:r>
    </w:p>
    <w:p w:rsidR="00C4374C" w:rsidRDefault="00522436">
      <w:pPr>
        <w:ind w:firstLine="708"/>
      </w:pPr>
      <w:r>
        <w:rPr>
          <w:color w:val="000000"/>
        </w:rPr>
        <w:t xml:space="preserve">Банк одновременно работает с массовой розницей, корпоративным сегментом и социальной аудиторией Татарстана: «Карта жителя Республики Татарстан» охватывает 450 тыс. держателей, в том числе 115 тыс. школьников [26, с. 29]. Цифровая зрелость подтверждается 12 млн транзакций в «Ак Барс Онлайн» за год при сохранении активной аудитории около 930 тыс. человек после удаления приложения из </w:t>
      </w:r>
      <w:proofErr w:type="spellStart"/>
      <w:r>
        <w:rPr>
          <w:color w:val="000000"/>
        </w:rPr>
        <w:t>AppStore</w:t>
      </w:r>
      <w:proofErr w:type="spellEnd"/>
      <w:r>
        <w:rPr>
          <w:color w:val="000000"/>
        </w:rPr>
        <w:t xml:space="preserve"> в начале 2024 года и уже встроенным в приложение функционалом оплаты по биометрии [26, с. 33]. Запущен </w:t>
      </w:r>
      <w:proofErr w:type="spellStart"/>
      <w:r>
        <w:rPr>
          <w:color w:val="000000"/>
        </w:rPr>
        <w:t>биоэквайринг</w:t>
      </w:r>
      <w:proofErr w:type="spellEnd"/>
      <w:r>
        <w:rPr>
          <w:color w:val="000000"/>
        </w:rPr>
        <w:t xml:space="preserve"> через СБП в Казанском метрополитене </w:t>
      </w:r>
      <w:r w:rsidR="00875DD8">
        <w:rPr>
          <w:color w:val="000000"/>
        </w:rPr>
        <w:t>–</w:t>
      </w:r>
      <w:r>
        <w:rPr>
          <w:color w:val="000000"/>
        </w:rPr>
        <w:t xml:space="preserve"> совместный проект с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России, Минтрансом России, Центром биометрических технологий и НСПК [26, с. 30–31]. Кредитные и ESG-рейтинги банка </w:t>
      </w:r>
      <w:r w:rsidR="00875DD8">
        <w:rPr>
          <w:color w:val="000000"/>
        </w:rPr>
        <w:t>–</w:t>
      </w:r>
      <w:r>
        <w:rPr>
          <w:color w:val="000000"/>
        </w:rPr>
        <w:t xml:space="preserve"> уровня «A»</w:t>
      </w:r>
      <w:proofErr w:type="gramStart"/>
      <w:r>
        <w:rPr>
          <w:color w:val="000000"/>
        </w:rPr>
        <w:t>/«</w:t>
      </w:r>
      <w:proofErr w:type="gramEnd"/>
      <w:r>
        <w:rPr>
          <w:color w:val="000000"/>
        </w:rPr>
        <w:t xml:space="preserve">BBB» по национальной шкале всех трёх профильных агентств (АКРА, «Эксперт РА», НКР) и Банка России [26, с. 4]: для B2B-заказчика Face2 это сигнал, что за </w:t>
      </w:r>
      <w:r>
        <w:rPr>
          <w:color w:val="000000"/>
        </w:rPr>
        <w:lastRenderedPageBreak/>
        <w:t xml:space="preserve">продуктом стоит финансово устойчивый и аккредитованный банк, а не технологический </w:t>
      </w:r>
      <w:proofErr w:type="spellStart"/>
      <w:r>
        <w:rPr>
          <w:color w:val="000000"/>
        </w:rPr>
        <w:t>стартап</w:t>
      </w:r>
      <w:proofErr w:type="spellEnd"/>
      <w:r>
        <w:rPr>
          <w:color w:val="000000"/>
        </w:rPr>
        <w:t>.</w:t>
      </w:r>
    </w:p>
    <w:p w:rsidR="00C4374C" w:rsidRDefault="00522436">
      <w:pPr>
        <w:ind w:firstLine="708"/>
      </w:pPr>
      <w:r>
        <w:rPr>
          <w:color w:val="000000"/>
        </w:rPr>
        <w:t>Команда Face2 много лет экспериментировала с разными методами обработки изображений и сосредоточилась на компьютерном зрении; точкой старта стал тестовый биометрический проект 2019 года в офисах самого банка [27]. Хронология развития проекта собрана в таблице 2.1.3.</w:t>
      </w:r>
    </w:p>
    <w:p w:rsidR="00C4374C" w:rsidRDefault="00522436">
      <w:pPr>
        <w:ind w:firstLine="708"/>
      </w:pPr>
      <w:r>
        <w:rPr>
          <w:color w:val="000000"/>
        </w:rPr>
        <w:t>Таблица 2.1.3</w:t>
      </w:r>
    </w:p>
    <w:p w:rsidR="00C4374C" w:rsidRDefault="00522436">
      <w:pPr>
        <w:ind w:firstLine="708"/>
      </w:pPr>
      <w:r>
        <w:rPr>
          <w:color w:val="000000"/>
        </w:rPr>
        <w:t>Хронология развития проекта Face2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504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Год</w:t>
            </w:r>
          </w:p>
        </w:tc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Ключевое событие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2019</w:t>
            </w:r>
          </w:p>
        </w:tc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Тестовый биометрический проект в офисах Ак Барс Банка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2022</w:t>
            </w:r>
          </w:p>
        </w:tc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Создание бренда Face2; запуск сервисов доступа на территорию без карточек и выдачи книг в библиотеках без документов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2023</w:t>
            </w:r>
          </w:p>
        </w:tc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Создание коммерческой биометрической системы (КБС) и аккредитация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России (Решение № 4-А от 15.11.2023)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2024</w:t>
            </w:r>
          </w:p>
        </w:tc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Запуск оплаты по лицу, в том числе в Казанском метрополитене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Запуск сервисов подтверждения возраста и регистрации в гостинице без паспорта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[27]</w:t>
      </w:r>
    </w:p>
    <w:p w:rsidR="00C4374C" w:rsidRDefault="00522436">
      <w:pPr>
        <w:ind w:firstLine="708"/>
      </w:pPr>
      <w:r>
        <w:rPr>
          <w:color w:val="000000"/>
        </w:rPr>
        <w:t xml:space="preserve">Регуляторный контур Face2 определяет 572-ФЗ от 29 декабря 2022 года: сбор биометрии лица отдан только аккредитованным организациям, векторы хранятся в ГИС ЕБС, аутентификация </w:t>
      </w:r>
      <w:r w:rsidR="00875DD8">
        <w:rPr>
          <w:color w:val="000000"/>
        </w:rPr>
        <w:t>–</w:t>
      </w:r>
      <w:r>
        <w:rPr>
          <w:color w:val="000000"/>
        </w:rPr>
        <w:t xml:space="preserve"> только при согласии гражданина [27]. Решение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 № 4-А от 15 ноября 2023 года вписало банк в число первых в стране операторов КБС [27]. Этот статус </w:t>
      </w:r>
      <w:r w:rsidR="00875DD8">
        <w:rPr>
          <w:color w:val="000000"/>
        </w:rPr>
        <w:t>–</w:t>
      </w:r>
      <w:r>
        <w:rPr>
          <w:color w:val="000000"/>
        </w:rPr>
        <w:t xml:space="preserve"> главная разделительная линия между Face2 и локальными биометрическими системами на рынке: локальные решения нарушают 572-ФЗ, не сертифицированы ФСБ России и не обеспечивают защиты биометрических данных [27]. Подробный разбор нормативной базы и ужесточения ответственности по 420-ФЗ и 421-ФЗ от 30.11.2024 вынесен в подраздел 2.2 «Регуляторный и инфраструктурный контур рынка» и здесь не повторяется.</w:t>
      </w:r>
    </w:p>
    <w:p w:rsidR="00C4374C" w:rsidRDefault="00522436">
      <w:pPr>
        <w:ind w:firstLine="708"/>
      </w:pPr>
      <w:r>
        <w:rPr>
          <w:color w:val="000000"/>
        </w:rPr>
        <w:t xml:space="preserve">Технологическое ядро Face2 строится на компьютерном зрении и подчинено требованиям 572-ФЗ. Система Face2Pass прошла сертификацию ФСБ и ФСТЭК и попала в реестр отечественного программного обеспечения [27]. Заявленная точность распознавания </w:t>
      </w:r>
      <w:r w:rsidR="00875DD8">
        <w:rPr>
          <w:color w:val="000000"/>
        </w:rPr>
        <w:t>–</w:t>
      </w:r>
      <w:r>
        <w:rPr>
          <w:color w:val="000000"/>
        </w:rPr>
        <w:t xml:space="preserve"> 99,5%, среднее время сканирования при </w:t>
      </w:r>
      <w:r>
        <w:rPr>
          <w:color w:val="000000"/>
        </w:rPr>
        <w:lastRenderedPageBreak/>
        <w:t xml:space="preserve">благоприятных условиях </w:t>
      </w:r>
      <w:r w:rsidR="00875DD8">
        <w:rPr>
          <w:color w:val="000000"/>
        </w:rPr>
        <w:t>–</w:t>
      </w:r>
      <w:r>
        <w:rPr>
          <w:color w:val="000000"/>
        </w:rPr>
        <w:t xml:space="preserve"> около двух секунд [27]. Архитектура работы с данными показана на рисунке 2.1.1.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Рис. 2.1.1. Архитектура взаимодействия Face2 с ГИС ЕБС в контуре коммерческой биометрической системы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Схема снимает один из ключевых барьеров доверия к биометрии: клиент сдаёт упрощённую биометрию через приложение «</w:t>
      </w:r>
      <w:proofErr w:type="spellStart"/>
      <w:r>
        <w:rPr>
          <w:color w:val="000000"/>
        </w:rPr>
        <w:t>Госуслуги</w:t>
      </w:r>
      <w:proofErr w:type="spellEnd"/>
      <w:r>
        <w:rPr>
          <w:color w:val="000000"/>
        </w:rPr>
        <w:t xml:space="preserve"> Биометрия», вектор хранится в государственной системе, а банк получает обезличенный вектор только по явному согласию пользователя [27]. Криптозащита и сертификация ФСБ закрывают риски утечки и подделки.</w:t>
      </w:r>
    </w:p>
    <w:p w:rsidR="00C4374C" w:rsidRDefault="00522436">
      <w:pPr>
        <w:ind w:firstLine="708"/>
      </w:pPr>
      <w:r>
        <w:rPr>
          <w:color w:val="000000"/>
        </w:rPr>
        <w:t>Пользовательский путь подключения к Face2 укладывается в четыре шага: установка приложения «</w:t>
      </w:r>
      <w:proofErr w:type="spellStart"/>
      <w:r>
        <w:rPr>
          <w:color w:val="000000"/>
        </w:rPr>
        <w:t>Госуслуги</w:t>
      </w:r>
      <w:proofErr w:type="spellEnd"/>
      <w:r>
        <w:rPr>
          <w:color w:val="000000"/>
        </w:rPr>
        <w:t xml:space="preserve"> Биометрия», сдача упрощённой биометрии через приложение, согласие на использование биометрического вектора КБС Ак Барс Банка, проход в офис или оплата по лицу [27]. Каждый шаг </w:t>
      </w:r>
      <w:r w:rsidR="00875DD8">
        <w:rPr>
          <w:color w:val="000000"/>
        </w:rPr>
        <w:t>–</w:t>
      </w:r>
      <w:r>
        <w:rPr>
          <w:color w:val="000000"/>
        </w:rPr>
        <w:t xml:space="preserve"> за пределами контура самого заказчика, что снимает с клиентского бизнеса нагрузку по сбору и хранению чувствительных данных. Со стороны заказчика для запуска требуется только турникет, совместимый с </w:t>
      </w:r>
      <w:proofErr w:type="spellStart"/>
      <w:r>
        <w:rPr>
          <w:color w:val="000000"/>
        </w:rPr>
        <w:t>биотерминалами</w:t>
      </w:r>
      <w:proofErr w:type="spellEnd"/>
      <w:r>
        <w:rPr>
          <w:color w:val="000000"/>
        </w:rPr>
        <w:t xml:space="preserve">, стабильное </w:t>
      </w:r>
      <w:proofErr w:type="spellStart"/>
      <w:r>
        <w:rPr>
          <w:color w:val="000000"/>
        </w:rPr>
        <w:t>интернет-соединение</w:t>
      </w:r>
      <w:proofErr w:type="spellEnd"/>
      <w:r>
        <w:rPr>
          <w:color w:val="000000"/>
        </w:rPr>
        <w:t xml:space="preserve"> со скоростью не менее 10 Мбит/с и непрерывностью работы канала не менее 95%, а также доступ к базовой СКУД-системе [27]. Низкий порог входа по инфраструктуре </w:t>
      </w:r>
      <w:r w:rsidR="00875DD8">
        <w:rPr>
          <w:color w:val="000000"/>
        </w:rPr>
        <w:t>–</w:t>
      </w:r>
      <w:r>
        <w:rPr>
          <w:color w:val="000000"/>
        </w:rPr>
        <w:t xml:space="preserve"> один из ключевых аргументов в продвижении.</w:t>
      </w:r>
    </w:p>
    <w:p w:rsidR="00C4374C" w:rsidRDefault="00522436">
      <w:pPr>
        <w:ind w:firstLine="708"/>
      </w:pPr>
      <w:r>
        <w:rPr>
          <w:color w:val="000000"/>
        </w:rPr>
        <w:t xml:space="preserve">Линейка Face2 собирается вокруг базовой системы КБС, а продажи распадаются на два экономически разных уровня. Уровень 1 </w:t>
      </w:r>
      <w:r w:rsidR="00875DD8">
        <w:rPr>
          <w:color w:val="000000"/>
        </w:rPr>
        <w:t>–</w:t>
      </w:r>
      <w:r>
        <w:rPr>
          <w:color w:val="000000"/>
        </w:rPr>
        <w:t xml:space="preserve"> поставка полного программного контура КБС аккредитованной организации-оператору биометрии (банку-партнёру или госструктуре с правом регистрировать векторы в ЕБС) [28; 29]. Уровень 2 </w:t>
      </w:r>
      <w:r w:rsidR="00875DD8">
        <w:rPr>
          <w:color w:val="000000"/>
        </w:rPr>
        <w:t>–</w:t>
      </w:r>
      <w:r>
        <w:rPr>
          <w:color w:val="000000"/>
        </w:rPr>
        <w:t xml:space="preserve"> подключение конечного объекта (магазина, турникета, бизнес-центра, спортивной арены, точки продажи алкоголя) к КБС, размещённой у Ак Барс Банка, по транзакционной или абонементной модели без аккредитации </w:t>
      </w:r>
      <w:r>
        <w:rPr>
          <w:color w:val="000000"/>
        </w:rPr>
        <w:lastRenderedPageBreak/>
        <w:t>заказчика [27; 29]. Состав продуктов и целевые сегменты с разнесением по этим уровням показаны в таблице 2.1.4.</w:t>
      </w:r>
    </w:p>
    <w:p w:rsidR="00C4374C" w:rsidRDefault="00522436">
      <w:pPr>
        <w:ind w:firstLine="708"/>
      </w:pPr>
      <w:r>
        <w:rPr>
          <w:color w:val="000000"/>
        </w:rPr>
        <w:t>Таблица 2.1.4</w:t>
      </w:r>
    </w:p>
    <w:p w:rsidR="00C4374C" w:rsidRDefault="00522436">
      <w:pPr>
        <w:ind w:firstLine="708"/>
      </w:pPr>
      <w:r>
        <w:rPr>
          <w:color w:val="000000"/>
        </w:rPr>
        <w:t>Линейка продуктов Face2 в разрезе двух уровней продажи и экономики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994"/>
        <w:gridCol w:w="1994"/>
        <w:gridCol w:w="1994"/>
        <w:gridCol w:w="1994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Уровень продажи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Продукт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Решаемая задача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Целевые сегменты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Экономическая модель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1. КБС под ключ для оператора биометрии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Полный контур Face2 (КБС API, Face2Pay, пассивный </w:t>
            </w:r>
            <w:proofErr w:type="spellStart"/>
            <w:r>
              <w:rPr>
                <w:color w:val="000000"/>
                <w:sz w:val="24"/>
                <w:szCs w:val="24"/>
              </w:rPr>
              <w:t>liveness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Face2SDK) с интеграциями ЕСИА, ЕБС, СМЭВ, </w:t>
            </w:r>
            <w:proofErr w:type="spellStart"/>
            <w:r>
              <w:rPr>
                <w:color w:val="000000"/>
                <w:sz w:val="24"/>
                <w:szCs w:val="24"/>
              </w:rPr>
              <w:t>КриптоПро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DSS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Передача аккредитованной организации программного контура КБС для самостоятельной работы оператором биометрии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Банки и МФО со статусом оператора по № 115-ФЗ; госструктуры федерального и регионального уровня; крупные корпорации с профильной аккредитацией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Единичные крупные сделки длительного цикла: лицензия + развёртывание + SLA. Выручка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десятки–сотни млн руб. за сделку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2. Подключение конечного объекта к КБС АББ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Face2Pay (</w:t>
            </w:r>
            <w:proofErr w:type="spellStart"/>
            <w:r>
              <w:rPr>
                <w:color w:val="000000"/>
                <w:sz w:val="24"/>
                <w:szCs w:val="24"/>
              </w:rPr>
              <w:t>биоэквайринг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Оплата по лицу через КБС АББ без биометрической инфраструктуры в контуре заказчика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Ритейл, транспорт, </w:t>
            </w:r>
            <w:proofErr w:type="spellStart"/>
            <w:r>
              <w:rPr>
                <w:color w:val="000000"/>
                <w:sz w:val="24"/>
                <w:szCs w:val="24"/>
              </w:rPr>
              <w:t>вендинг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маркетплейсы</w:t>
            </w:r>
            <w:proofErr w:type="spellEnd"/>
            <w:r>
              <w:rPr>
                <w:color w:val="000000"/>
                <w:sz w:val="24"/>
                <w:szCs w:val="24"/>
              </w:rPr>
              <w:t>, киоски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Транзакционная модель, короткий цикл подключения; выручка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десятки–сотни тыс. руб./мес. с объекта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2. Подключение конечного объекта к КБС АББ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Face2Pass / Face2Pass.Terminal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СКУД на распознавании лиц через ЕБС без аккредитации заказчика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Заводы, БЦ, вузы, площадки мероприятий, логистика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Лицензия на объект + поставка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абонементная плата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2. Подключение конечного объекта к КБС АББ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Face2Check-in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Подтверждение возраста и личности по вектору из ЕБС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Аэропорты, спортивные объекты, гостиницы, точки продажи алкоголя и рецептурных лекарств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Транзакционная или абонементная модель; единица продажи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точка продаж / зона контроля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[27; 28, разд. «Требования к окружению», «Системные требования», «Варианты развертывания»; 29, разд. «Описание функциональных возможностей продукта»]</w:t>
      </w:r>
    </w:p>
    <w:p w:rsidR="00C4374C" w:rsidRDefault="00522436">
      <w:pPr>
        <w:ind w:firstLine="708"/>
      </w:pPr>
      <w:r>
        <w:rPr>
          <w:color w:val="000000"/>
        </w:rPr>
        <w:t xml:space="preserve">Разделение на два уровня показывает, что один и тот же программный фундамент Face2 продаётся в двух экономически разных моделях. Первый уровень даёт банку единичные крупные сделки длительного цикла с </w:t>
      </w:r>
      <w:r>
        <w:rPr>
          <w:color w:val="000000"/>
        </w:rPr>
        <w:lastRenderedPageBreak/>
        <w:t xml:space="preserve">аккредитованными контрагентами, второй </w:t>
      </w:r>
      <w:r w:rsidR="00875DD8">
        <w:rPr>
          <w:color w:val="000000"/>
        </w:rPr>
        <w:t>–</w:t>
      </w:r>
      <w:r>
        <w:rPr>
          <w:color w:val="000000"/>
        </w:rPr>
        <w:t xml:space="preserve"> массу типовых подключений конечных объектов с быстрой выручкой по транзакционной или абонементной схеме. Это требует разной маркетинговой логики: длинной экспертной коммуникации с аккредитованной организацией на первом уровне и короткой продуктовой коммуникации с конечным объектом на втором.</w:t>
      </w:r>
    </w:p>
    <w:p w:rsidR="00C4374C" w:rsidRDefault="00522436">
      <w:pPr>
        <w:ind w:firstLine="708"/>
      </w:pPr>
      <w:r>
        <w:rPr>
          <w:color w:val="000000"/>
        </w:rPr>
        <w:t xml:space="preserve">Внешние партнёрства и пилотные внедрения 2024 года показывают, что Face2 уже вышел за пределы внутреннего контура группы. </w:t>
      </w:r>
      <w:proofErr w:type="spellStart"/>
      <w:r>
        <w:rPr>
          <w:color w:val="000000"/>
        </w:rPr>
        <w:t>Биоэквайринг</w:t>
      </w:r>
      <w:proofErr w:type="spellEnd"/>
      <w:r>
        <w:rPr>
          <w:color w:val="000000"/>
        </w:rPr>
        <w:t xml:space="preserve"> в Казанском метрополитене реализован совместно с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России, Минтрансом России, Центром биометрических технологий и НСПК [26, с. 30–31]. Проект «Электронный читательский билет» позволяет посещать Национальную библиотеку Республики Татарстан по биометрии, причём сдать её можно прямо в мобильном приложении «Карта жителя Республики Татарстан» [26, с. 29]. Совокупность партнёров федерального уровня и социальных сценариев в Татарстане формирует первую </w:t>
      </w:r>
      <w:proofErr w:type="spellStart"/>
      <w:r>
        <w:rPr>
          <w:color w:val="000000"/>
        </w:rPr>
        <w:t>референтную</w:t>
      </w:r>
      <w:proofErr w:type="spellEnd"/>
      <w:r>
        <w:rPr>
          <w:color w:val="000000"/>
        </w:rPr>
        <w:t xml:space="preserve"> базу для масштабирования продукта на другие регионы. Опорной площадкой для отладки остаётся сам банк: сеть из 166 офисов, около пяти тысяч сотрудников и порядка двухсот </w:t>
      </w:r>
      <w:proofErr w:type="spellStart"/>
      <w:r>
        <w:rPr>
          <w:color w:val="000000"/>
        </w:rPr>
        <w:t>биотерминалов</w:t>
      </w:r>
      <w:proofErr w:type="spellEnd"/>
      <w:r>
        <w:rPr>
          <w:color w:val="000000"/>
        </w:rPr>
        <w:t xml:space="preserve"> работают как постоянная внутренняя инсталляция Face2, через которую ведётся учёт рабочего времени; масштаб клиентских внедрений колеблется от 200 до 15 000 биометрических векторов на одну инсталляцию [30, с. 7; 27].</w:t>
      </w:r>
    </w:p>
    <w:p w:rsidR="00C4374C" w:rsidRDefault="00522436">
      <w:pPr>
        <w:ind w:firstLine="708"/>
      </w:pPr>
      <w:r>
        <w:rPr>
          <w:color w:val="000000"/>
        </w:rPr>
        <w:t xml:space="preserve">Получившаяся характеристика складывается из двух уровней. На верхнем </w:t>
      </w:r>
      <w:r w:rsidR="00875DD8">
        <w:rPr>
          <w:color w:val="000000"/>
        </w:rPr>
        <w:t>–</w:t>
      </w:r>
      <w:r>
        <w:rPr>
          <w:color w:val="000000"/>
        </w:rPr>
        <w:t xml:space="preserve"> крупный региональный банк с рейтингами «A», утверждённой стратегией «эффективность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клиентоцентричность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гибкость», клиентской базой почти в миллион физических лиц и развитой цифровой инфраструктурой. На нижнем </w:t>
      </w:r>
      <w:r w:rsidR="00875DD8">
        <w:rPr>
          <w:color w:val="000000"/>
        </w:rPr>
        <w:t>–</w:t>
      </w:r>
      <w:r>
        <w:rPr>
          <w:color w:val="000000"/>
        </w:rPr>
        <w:t xml:space="preserve"> собственный биометрический продукт с государственной аккредитацией, сертификацией ФСБ, отлаженной внутренней инсталляцией, понятной двухуровневой продуктовой линейкой и первой коммерческой </w:t>
      </w:r>
      <w:proofErr w:type="spellStart"/>
      <w:r>
        <w:rPr>
          <w:color w:val="000000"/>
        </w:rPr>
        <w:t>референтной</w:t>
      </w:r>
      <w:proofErr w:type="spellEnd"/>
      <w:r>
        <w:rPr>
          <w:color w:val="000000"/>
        </w:rPr>
        <w:t xml:space="preserve"> базой в проектах с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>, Минтрансом и НСПК. Дальше нужно понять, в каком конкурентном окружении Face2 выходит на рынок и какие ограничения сдерживают спрос на коммерческую биометрию.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lastRenderedPageBreak/>
        <w:t>2.2. Анализ рынка биометрии и конкурентной среды</w:t>
      </w:r>
    </w:p>
    <w:p w:rsidR="00C4374C" w:rsidRDefault="00522436">
      <w:pPr>
        <w:ind w:firstLine="708"/>
      </w:pPr>
      <w:r>
        <w:rPr>
          <w:color w:val="000000"/>
        </w:rPr>
        <w:t xml:space="preserve">Параграф 2.1 описал Face2 как объект продвижения и Ак Барс Банк как разработчика. Настоящий параграф достраивает картину со стороны внешнего контекста: фиксирует масштаб и сегментную структуру российского рынка биометрии, его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>-инфраструктурный контур, выводит сводный PESTEL-анализ макросреды и переходит к анализу пяти сил М. Портера и сравнительной оценке Face2 относительно ключевых конкурентов. Финальная часть формулирует конкурентную позицию Face2, на которую опирается план продвижения в главе 3.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Объём и динамика российского рынка биометрии</w:t>
      </w:r>
    </w:p>
    <w:p w:rsidR="00C4374C" w:rsidRDefault="00522436">
      <w:pPr>
        <w:ind w:firstLine="708"/>
      </w:pPr>
      <w:r>
        <w:rPr>
          <w:color w:val="000000"/>
        </w:rPr>
        <w:t>Российская инфраструктура биометрической идентификации прошла путь от запуска Единой биометрической системы Банком России и «Ростелекомом» в первом квартале 2018 года и коммерческого старта удалённой идентификации с 30 июня 2018 года [36] через перевод ЕБС в статус государственной информационной системы в конце 2021 года под управлением АО «Центр биометрических технологий» [32; 37] до вступления в силу 572-ФЗ с 1 января 2023 года, закрепившего обязательное хранение биометрических данных в ГИС ЕБС и аутентификацию только аккредитованными организациями при письменном согласии гражданина [1]. Эта последовательность нормативных и инфраструктурных шагов превратила биометрию из набора пилотных проектов в регулируемую государством рыночную инфраструктуру.</w:t>
      </w:r>
    </w:p>
    <w:p w:rsidR="00C4374C" w:rsidRDefault="00522436">
      <w:pPr>
        <w:ind w:firstLine="708"/>
      </w:pPr>
      <w:r>
        <w:rPr>
          <w:color w:val="000000"/>
        </w:rPr>
        <w:t xml:space="preserve">Современный российский рынок биометрических платежей перешёл в фазу массового коммерческого использования в 2024–2025 годах. По данным Банка России, за первые девять месяцев 2025 года в России совершено 145,9 млн биометрических платежей, что в девять раз больше, чем за аналогичный период 2024 года, а денежный оборот этих платежей вырос почти в пять раз и достиг 112,5 млрд рублей [32]. К началу 2026 года в Единой биометрической системе зарегистрировались более 10 млн пользователей [32]. Эти цифры разворачивают картину рынка, на которую выходит Face2: ёмкое окружение, девятикратный </w:t>
      </w:r>
      <w:r>
        <w:rPr>
          <w:color w:val="000000"/>
        </w:rPr>
        <w:lastRenderedPageBreak/>
        <w:t>годовой рост числа транзакций, сформированная инфраструктура и аккредитованный круг операторов, в который банк успел войти одним из первых.</w:t>
      </w:r>
    </w:p>
    <w:p w:rsidR="00C4374C" w:rsidRDefault="00522436">
      <w:pPr>
        <w:ind w:firstLine="708"/>
      </w:pPr>
      <w:r>
        <w:rPr>
          <w:color w:val="000000"/>
        </w:rPr>
        <w:t xml:space="preserve">Поквартальная статистика Банка России (таблица 2.2.1) разворачивает динамику детальнее. Ключевой вывод сопоставления </w:t>
      </w:r>
      <w:proofErr w:type="spellStart"/>
      <w:r>
        <w:rPr>
          <w:color w:val="000000"/>
        </w:rPr>
        <w:t>биоэквайринга</w:t>
      </w:r>
      <w:proofErr w:type="spellEnd"/>
      <w:r>
        <w:rPr>
          <w:color w:val="000000"/>
        </w:rPr>
        <w:t xml:space="preserve"> с QR-</w:t>
      </w:r>
      <w:proofErr w:type="spellStart"/>
      <w:r>
        <w:rPr>
          <w:color w:val="000000"/>
        </w:rPr>
        <w:t>эквайрингом</w:t>
      </w:r>
      <w:proofErr w:type="spellEnd"/>
      <w:r>
        <w:rPr>
          <w:color w:val="000000"/>
        </w:rPr>
        <w:t xml:space="preserve"> за II квартал 2025 года: </w:t>
      </w:r>
      <w:proofErr w:type="spellStart"/>
      <w:r>
        <w:rPr>
          <w:color w:val="000000"/>
        </w:rPr>
        <w:t>биоэквайринг</w:t>
      </w:r>
      <w:proofErr w:type="spellEnd"/>
      <w:r>
        <w:rPr>
          <w:color w:val="000000"/>
        </w:rPr>
        <w:t xml:space="preserve"> растёт по темпам быстрее (+50% к I кв. 2025 года против +25% у QR), но в 16 раз отстаёт по абсолютному масштабу количества операций (60 млн против 990 млн) [34]. Оба канала встраиваются в общий тренд бесконтактной розницы и делят между собой нишу «оплата без карты», не вытесняя друг друга.</w:t>
      </w:r>
    </w:p>
    <w:p w:rsidR="00C4374C" w:rsidRDefault="00522436">
      <w:pPr>
        <w:ind w:firstLine="708"/>
      </w:pPr>
      <w:r>
        <w:rPr>
          <w:color w:val="000000"/>
        </w:rPr>
        <w:t>Таблица 2.2.1</w:t>
      </w:r>
    </w:p>
    <w:p w:rsidR="00C4374C" w:rsidRDefault="00522436">
      <w:pPr>
        <w:ind w:firstLine="708"/>
      </w:pPr>
      <w:r>
        <w:rPr>
          <w:color w:val="000000"/>
        </w:rPr>
        <w:t>Динамика российского рынка биометрических платежей по данным Банка России и оператора ЕБС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9"/>
        <w:gridCol w:w="777"/>
        <w:gridCol w:w="777"/>
        <w:gridCol w:w="1709"/>
        <w:gridCol w:w="2953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II кв. 2024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I кв. 2025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II кв. 2025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Темп прироста II кв. 2025 / II кв. 2024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Количество биометрических платежей, млн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около 5,5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около 40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в 11 раз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Оборот по биометрическим платежам, млрд руб.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н/д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около 30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 чек, руб.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н/д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774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770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стабильно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Количество QR-операций, млн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н/д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около 790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990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Оборот по QR-операциям, трлн руб.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н/д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около 1,12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более 1,3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Зарегистрированных пользователей в ЕБС, млн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менее 5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около 7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более 10 (на нач. 2026)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[36; 32; 34]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 xml:space="preserve">Рис. 2.2.1. Динамика биометрических и QR-операций в РФ, II кв. 2024 </w:t>
      </w:r>
      <w:r w:rsidR="00875DD8">
        <w:rPr>
          <w:color w:val="000000"/>
        </w:rPr>
        <w:t>–</w:t>
      </w:r>
      <w:r>
        <w:rPr>
          <w:color w:val="000000"/>
        </w:rPr>
        <w:t xml:space="preserve"> II кв. 2025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 xml:space="preserve">Соотношение цифр в таблице 2.2.1 и на рисунке 2.2.1 показывает, что рост рынка идёт прежде всего по числу транзакций при стабильном среднем чеке около 770 рублей: биометрия закрепляется в сценариях массовых небольших платежей, а не премиальных операций. Это смещает оптимальную стратегию продвижения биометрических продуктов с премиум-позиционирования на </w:t>
      </w:r>
      <w:r>
        <w:rPr>
          <w:color w:val="000000"/>
        </w:rPr>
        <w:lastRenderedPageBreak/>
        <w:t>массовое использование в высокочастотных сценариях: транспорт, ритейл повседневного спроса, оплата услуг.</w:t>
      </w:r>
    </w:p>
    <w:p w:rsidR="00C4374C" w:rsidRDefault="00522436">
      <w:pPr>
        <w:ind w:firstLine="708"/>
      </w:pPr>
      <w:r>
        <w:rPr>
          <w:color w:val="000000"/>
        </w:rPr>
        <w:t xml:space="preserve">Лидер рынка биометрических платежей в Российской Федерации </w:t>
      </w:r>
      <w:r w:rsidR="00875DD8">
        <w:rPr>
          <w:color w:val="000000"/>
        </w:rPr>
        <w:t>–</w:t>
      </w:r>
      <w:r>
        <w:rPr>
          <w:color w:val="000000"/>
        </w:rPr>
        <w:t xml:space="preserve"> ПАО Сбербанк со своим сервисом «Оплата улыбкой»: на август 2024 года </w:t>
      </w:r>
      <w:r w:rsidR="00875DD8">
        <w:rPr>
          <w:color w:val="000000"/>
        </w:rPr>
        <w:t>–</w:t>
      </w:r>
      <w:r>
        <w:rPr>
          <w:color w:val="000000"/>
        </w:rPr>
        <w:t xml:space="preserve"> 2 млн биометрических транзакций в месяц, более 700 тыс. установленных терминалов и 30 млн зарегистрированных в собственной биометрической системе банка клиентов [38]. Этот масштаб задаёт верхнюю планку рынка и ориентир для всех остальных игроков.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Сегментная структура рынка биометрии в России</w:t>
      </w:r>
    </w:p>
    <w:p w:rsidR="00C4374C" w:rsidRDefault="00522436">
      <w:pPr>
        <w:ind w:firstLine="708"/>
      </w:pPr>
      <w:r>
        <w:rPr>
          <w:color w:val="000000"/>
        </w:rPr>
        <w:t>К началу 2026 года биометрические сервисы покрывают шесть устойчивых сегментов российского рынка: государственная идентификация через ЕБС/ЕСИА, финансовый сектор (</w:t>
      </w:r>
      <w:proofErr w:type="spellStart"/>
      <w:r>
        <w:rPr>
          <w:color w:val="000000"/>
        </w:rPr>
        <w:t>биоэквайринг</w:t>
      </w:r>
      <w:proofErr w:type="spellEnd"/>
      <w:r>
        <w:rPr>
          <w:color w:val="000000"/>
        </w:rPr>
        <w:t xml:space="preserve"> и онлайн-обслуживание), транспорт, СКУД режимных объектов, ритейл с возрастной верификацией и гостиничный сегмент [36; 32]. Каждый сегмент закреплён за своим типом заказчика и имеет собственный драйвер спроса; их характеристики собраны в таблице 2.2.2.</w:t>
      </w:r>
    </w:p>
    <w:p w:rsidR="00C4374C" w:rsidRDefault="00522436">
      <w:pPr>
        <w:ind w:firstLine="708"/>
      </w:pPr>
      <w:r>
        <w:rPr>
          <w:color w:val="000000"/>
        </w:rPr>
        <w:t>Таблица 2.2.2</w:t>
      </w:r>
    </w:p>
    <w:p w:rsidR="00C4374C" w:rsidRDefault="00522436">
      <w:pPr>
        <w:ind w:firstLine="708"/>
      </w:pPr>
      <w:r>
        <w:rPr>
          <w:color w:val="000000"/>
        </w:rPr>
        <w:t>Сегменты применения биометрии на российском рынке и их характеристики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704"/>
        <w:gridCol w:w="1954"/>
        <w:gridCol w:w="2709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Сегмент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Типовой сценарий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 заказчика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Драйвер спроса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Государственная идентификация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Подтверждение личности при дистанционных услугах через ЕСИА и ЕБС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Граждане, </w:t>
            </w:r>
            <w:proofErr w:type="spellStart"/>
            <w:r>
              <w:rPr>
                <w:color w:val="000000"/>
                <w:sz w:val="24"/>
                <w:szCs w:val="24"/>
              </w:rPr>
              <w:t>госорганизации</w:t>
            </w:r>
            <w:proofErr w:type="spellEnd"/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Перевод </w:t>
            </w:r>
            <w:proofErr w:type="spellStart"/>
            <w:r>
              <w:rPr>
                <w:color w:val="000000"/>
                <w:sz w:val="24"/>
                <w:szCs w:val="24"/>
              </w:rPr>
              <w:t>госуслуг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цифру, ЕСИА как точка доступа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Финансовый сектор (</w:t>
            </w:r>
            <w:proofErr w:type="spellStart"/>
            <w:r>
              <w:rPr>
                <w:color w:val="000000"/>
                <w:sz w:val="24"/>
                <w:szCs w:val="24"/>
              </w:rPr>
              <w:t>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онлайн-обслуживание)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Оплата лицом, удалённое открытие счёта, подтверждение операций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Банки, МФО, ритейл, </w:t>
            </w:r>
            <w:proofErr w:type="spellStart"/>
            <w:r>
              <w:rPr>
                <w:color w:val="000000"/>
                <w:sz w:val="24"/>
                <w:szCs w:val="24"/>
              </w:rPr>
              <w:t>маркетплейсы</w:t>
            </w:r>
            <w:proofErr w:type="spellEnd"/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Сокращение времени операции, </w:t>
            </w:r>
            <w:proofErr w:type="spellStart"/>
            <w:r>
              <w:rPr>
                <w:color w:val="000000"/>
                <w:sz w:val="24"/>
                <w:szCs w:val="24"/>
              </w:rPr>
              <w:t>антифрод</w:t>
            </w:r>
            <w:proofErr w:type="spellEnd"/>
            <w:r>
              <w:rPr>
                <w:color w:val="000000"/>
                <w:sz w:val="24"/>
                <w:szCs w:val="24"/>
              </w:rPr>
              <w:t>, экономия на комиссии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Транспорт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Биометрический проход и оплата проезда; бизнес-залы аэропортов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Метрополитены, авиакомпании, аэропорты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Массовый высокочастотный сценарий, привычка пассажира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Контроль доступа (СКУД)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Биометрический проход сотрудников, учёт рабочего времени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Промпредприятия, БЦ, госучреждения, вузы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Безопасность, исключение передачи карт, точный учёт времени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Ритейл и общественные пространства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Возрастная верификация (алкоголь, рецептурные лекарства); биометрическая лояльность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Сетевой ритейл, аптеки, общепит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Регуляторные требования возрастной верификации, разгрузка кассира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Гостеприимство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Заселение без паспорта, доступ в номер по лицу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Гостиничные сети, </w:t>
            </w:r>
            <w:proofErr w:type="spellStart"/>
            <w:r>
              <w:rPr>
                <w:color w:val="000000"/>
                <w:sz w:val="24"/>
                <w:szCs w:val="24"/>
              </w:rPr>
              <w:t>апарт</w:t>
            </w:r>
            <w:proofErr w:type="spellEnd"/>
            <w:r>
              <w:rPr>
                <w:color w:val="000000"/>
                <w:sz w:val="24"/>
                <w:szCs w:val="24"/>
              </w:rPr>
              <w:t>-отели, БЦ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Сокращение времени заселения, новый клиентский опыт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[27; 26, с. 30–31; 36; 32]</w:t>
      </w:r>
    </w:p>
    <w:p w:rsidR="00C4374C" w:rsidRDefault="00522436">
      <w:pPr>
        <w:ind w:firstLine="708"/>
      </w:pPr>
      <w:r>
        <w:rPr>
          <w:color w:val="000000"/>
        </w:rPr>
        <w:t xml:space="preserve">Распределение драйверов в таблице 2.2.2 показывает, что один и тот же биометрический продукт продвигается в разных сегментах через разные ключевые сообщения: транзакционная скорость в финансовом и транспортном секторах, безопасность и точность учёта в СКУД, регуляторные требования в ритейле и гостиничном секторе. Для Face2 это уже учтено в продуктовой линейке (Face2Pay для </w:t>
      </w:r>
      <w:proofErr w:type="spellStart"/>
      <w:r>
        <w:rPr>
          <w:color w:val="000000"/>
        </w:rPr>
        <w:t>эквайринга</w:t>
      </w:r>
      <w:proofErr w:type="spellEnd"/>
      <w:r>
        <w:rPr>
          <w:color w:val="000000"/>
        </w:rPr>
        <w:t>, Face2Pass для СКУД, Face2Check-in для гостиничного сегмента и подтверждения возраста, КБС под ключ для крупных заказчиков из государственного и корпоративного сегмента) [27]: каждый продукт линейки соответствует устойчивому рыночному сегменту со сформированным спросом.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Регуляторный и инфраструктурный контур рынка</w:t>
      </w:r>
    </w:p>
    <w:p w:rsidR="00C4374C" w:rsidRDefault="00522436">
      <w:pPr>
        <w:ind w:firstLine="708"/>
      </w:pPr>
      <w:r>
        <w:rPr>
          <w:color w:val="000000"/>
        </w:rPr>
        <w:t xml:space="preserve">Рынок биометрической идентификации в Российской Федерации работает в одном из самых жёстких регуляторных контуров среди мировых юрисдикций. Базой регулирования служит Федеральный закон от 29 декабря 2022 года № 572-ФЗ, относящий биометрические данные к специальной категории персональных данных, обязывающий хранить их в ГИС ЕБС и разрешающий аутентификацию по биометрии только аккредитованным организациям при наличии письменного согласия гражданина [1]. Архитектура работы пользователя с ЕБС строится на связке ЕСИА и ЕБС: первичная регистрация с явкой в уполномоченный банк, последующее использование биометрии через сайты или мобильные приложения подключённых организаций; регистрация для гражданина добровольна и бесплатна, что одновременно расширяет потенциальный круг </w:t>
      </w:r>
      <w:r>
        <w:rPr>
          <w:color w:val="000000"/>
        </w:rPr>
        <w:lastRenderedPageBreak/>
        <w:t>пользователей и ограничивает массовые инструменты стимулирования сдачи биометрии [36].</w:t>
      </w:r>
    </w:p>
    <w:p w:rsidR="00C4374C" w:rsidRDefault="00522436">
      <w:pPr>
        <w:ind w:firstLine="708"/>
      </w:pPr>
      <w:r>
        <w:rPr>
          <w:color w:val="000000"/>
        </w:rPr>
        <w:t xml:space="preserve">Регуляторный контур ужесточился в конце 2024 года. Федеральные законы от 30 ноября 2024 года № 420-ФЗ и № 421-ФЗ ввели крупные административные штрафы и уголовную ответственность за неправомерное обращение с биометрическими персональными данными: лишение свободы до пяти лет, штрафы до 20 млн рублей и до 1–3% годового дохода компании при повторных нарушениях [27]. Этот сдвиг превратил аккредитацию КБС и сертификацию ФСБ из формального статуса в жёсткий барьер входа на рынок. В сумме 572-ФЗ, законы об ужесточении ответственности от 30.11.2024 и подзаконный блок Банка России образуют пятиуровневую регуляторную конструкцию (федеральный закон, подзаконные акты ЦБ, сертификации ФСБ и ФСТЭК, реестр отечественного ПО, отраслевая аккредитация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>), повышающую капиталоёмкость входа для нового игрока [2; 3; 4].</w:t>
      </w:r>
    </w:p>
    <w:p w:rsidR="00C4374C" w:rsidRDefault="00522436">
      <w:pPr>
        <w:ind w:firstLine="708"/>
      </w:pPr>
      <w:r>
        <w:rPr>
          <w:color w:val="000000"/>
        </w:rPr>
        <w:t xml:space="preserve">Круг банков-операторов рынка количественно ограничен: по данным Банка России на 4 мая 2026 года, в перечень банков, имеющих право проводить идентификацию клиента в ЕБС по п. 5.7 ст. 7 № 115-ФЗ, входят 194 кредитные организации; ПАО «АК БАРС» БАНК числится в нём под номером 101 [35]. В сочетании с аккредитацией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(Решение № 4-А от 15 ноября 2023 года), сертификациями ФСБ и ФСТЭК и присутствием в реестре отечественного ПО это образует регуляторный фундамент, на который опирается весь дальнейший анализ конкурентной среды [27].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PESTEL-анализ российского рынка биометрии</w:t>
      </w:r>
    </w:p>
    <w:p w:rsidR="00C4374C" w:rsidRDefault="00522436">
      <w:pPr>
        <w:ind w:firstLine="708"/>
      </w:pPr>
      <w:r>
        <w:rPr>
          <w:color w:val="000000"/>
        </w:rPr>
        <w:t xml:space="preserve">Предыдущие три подраздела зафиксировали разные проекции внешней среды: масштаб и динамику рынка, сегментную структуру и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-инфраструктурный контур. Чтобы перевести эти проекции в управленческий вход для стратегии продвижения, разрозненные факторы целесообразно собрать в единую рамку </w:t>
      </w:r>
      <w:proofErr w:type="spellStart"/>
      <w:r>
        <w:rPr>
          <w:color w:val="000000"/>
        </w:rPr>
        <w:t>макроанализа</w:t>
      </w:r>
      <w:proofErr w:type="spellEnd"/>
      <w:r>
        <w:rPr>
          <w:color w:val="000000"/>
        </w:rPr>
        <w:t xml:space="preserve">. PESTEL не дублирует регуляторный подраздел: правовое поле в нём представлено сжато и сопоставлено с пятью другими </w:t>
      </w:r>
      <w:r>
        <w:rPr>
          <w:color w:val="000000"/>
        </w:rPr>
        <w:lastRenderedPageBreak/>
        <w:t xml:space="preserve">измерениями макросреды, что позволяет оценить относительный вес регуляторных факторов рядом с экономическими, технологическими и социальными </w:t>
      </w:r>
      <w:r w:rsidR="00875DD8">
        <w:rPr>
          <w:color w:val="000000"/>
        </w:rPr>
        <w:t>–</w:t>
      </w:r>
      <w:r>
        <w:rPr>
          <w:color w:val="000000"/>
        </w:rPr>
        <w:t xml:space="preserve"> детальный разбор нормативной базы при этом сохраняется в подразделе «Регуляторный и инфраструктурный контур рынка». Методологически выбор PESTEL обусловлен тем, что продукт Face2 одновременно находится на пересечении шести крупных полей </w:t>
      </w:r>
      <w:r w:rsidR="00875DD8">
        <w:rPr>
          <w:color w:val="000000"/>
        </w:rPr>
        <w:t>–</w:t>
      </w:r>
      <w:r>
        <w:rPr>
          <w:color w:val="000000"/>
        </w:rPr>
        <w:t xml:space="preserve"> государственного курса на цифровой суверенитет, банковской экономики высокочастотных микроплатежей, </w:t>
      </w:r>
      <w:proofErr w:type="spellStart"/>
      <w:r>
        <w:rPr>
          <w:color w:val="000000"/>
        </w:rPr>
        <w:t>поколенческих</w:t>
      </w:r>
      <w:proofErr w:type="spellEnd"/>
      <w:r>
        <w:rPr>
          <w:color w:val="000000"/>
        </w:rPr>
        <w:t xml:space="preserve"> сдвигов в потребительском поведении, быстро развивающихся алгоритмов компьютерного зрения, ESG-повестки крупного банка и особого режима оборота биометрических персональных данных. Эти шесть полей чисто соотносятся с шестью измерениями PESTEL и позволяют построить однородную карту факторов, влияющих на коммерциализацию Face2. Сводный анализ собран в таблице 2.2.3.</w:t>
      </w:r>
    </w:p>
    <w:p w:rsidR="00C4374C" w:rsidRDefault="00522436">
      <w:pPr>
        <w:ind w:firstLine="708"/>
      </w:pPr>
      <w:r>
        <w:rPr>
          <w:color w:val="000000"/>
        </w:rPr>
        <w:t>Таблица 2.2.3</w:t>
      </w:r>
    </w:p>
    <w:p w:rsidR="00C4374C" w:rsidRDefault="00522436">
      <w:pPr>
        <w:ind w:firstLine="708"/>
      </w:pPr>
      <w:r>
        <w:rPr>
          <w:color w:val="000000"/>
        </w:rPr>
        <w:t>Сводный PESTEL-анализ российского рынка биометрии (на начало 2026 года)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5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Фактор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 фактора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Влияние на продвижение Face2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P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политические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Курс на технологический суверенитет и </w:t>
            </w:r>
            <w:proofErr w:type="spellStart"/>
            <w:r>
              <w:rPr>
                <w:color w:val="000000"/>
                <w:sz w:val="24"/>
                <w:szCs w:val="24"/>
              </w:rPr>
              <w:t>импортозамещение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ЕБС как ГИС под управлением АО «ЦБТ»;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регулятор аккредитации операторов КБС; вытеснение иностранных </w:t>
            </w:r>
            <w:proofErr w:type="spellStart"/>
            <w:r>
              <w:rPr>
                <w:color w:val="000000"/>
                <w:sz w:val="24"/>
                <w:szCs w:val="24"/>
              </w:rPr>
              <w:t>вендоров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после 2022 г.; реестр отечественного ПО как условие участия в </w:t>
            </w:r>
            <w:proofErr w:type="spellStart"/>
            <w:r>
              <w:rPr>
                <w:color w:val="000000"/>
                <w:sz w:val="24"/>
                <w:szCs w:val="24"/>
              </w:rPr>
              <w:t>госзакупках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[27; 1; 36; 37].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Положительное. Аккредитация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(Решение № 4-А от 15.11.2023) и реестр отечественного ПО открывают B2G-сегмент, закрытый для иностранных </w:t>
            </w:r>
            <w:proofErr w:type="spellStart"/>
            <w:r>
              <w:rPr>
                <w:color w:val="000000"/>
                <w:sz w:val="24"/>
                <w:szCs w:val="24"/>
              </w:rPr>
              <w:t>вендоров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[27].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E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экономические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Девятикратный рост числа биометрических платежей за 9 мес. 2025 г. (145,9 млн транзакций, оборот 112,5 млрд руб.); средний чек ≈ 770 руб.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массовый розничный сценарий; пониженная </w:t>
            </w:r>
            <w:proofErr w:type="spellStart"/>
            <w:r>
              <w:rPr>
                <w:color w:val="000000"/>
                <w:sz w:val="24"/>
                <w:szCs w:val="24"/>
              </w:rPr>
              <w:t>эквайринговая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комиссия; финансовый сектор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15% мирового рынка биометрии при CAGR 18,6% [33, с. 3, 6; 32; 34].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Положительное по динамике. </w:t>
            </w:r>
            <w:proofErr w:type="spellStart"/>
            <w:r>
              <w:rPr>
                <w:color w:val="000000"/>
                <w:sz w:val="24"/>
                <w:szCs w:val="24"/>
              </w:rPr>
              <w:t>Биоэквайринг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экономически выгоден торговой рознице за счёт пониженной комиссии; крупные B2B/B2G-заказчики ориентируются на регуляторный статус, а не на цену.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S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социальные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Свыше 10 млн пользователей ЕБС к началу 2026 г.; привычка оплачивать проезд и покупки лицом в Московском и Казанском метро; устойчивые барьеры доверия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страх утечки, невозможность отозвать образец; </w:t>
            </w:r>
            <w:proofErr w:type="spellStart"/>
            <w:r>
              <w:rPr>
                <w:color w:val="000000"/>
                <w:sz w:val="24"/>
                <w:szCs w:val="24"/>
              </w:rPr>
              <w:t>поколенческая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поляризация принятия [16, с. 41; 25, с. 112; 32; 37].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Двойное. Привычка к оплате лицом в массовых сценариях работает в пользу Face2Pay; барьеры доверия требуют большой доли бюджета на образовательный контент и демонстрацию защиты данных.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T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технологические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Зрелость алгоритмов: точность 99,5%, сканирование ≈ 2 с; </w:t>
            </w:r>
            <w:proofErr w:type="spellStart"/>
            <w:r>
              <w:rPr>
                <w:color w:val="000000"/>
                <w:sz w:val="24"/>
                <w:szCs w:val="24"/>
              </w:rPr>
              <w:t>антиспуфинг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  <w:szCs w:val="24"/>
              </w:rPr>
              <w:t>детекция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дипфейков</w:t>
            </w:r>
            <w:proofErr w:type="spellEnd"/>
            <w:r>
              <w:rPr>
                <w:color w:val="000000"/>
                <w:sz w:val="24"/>
                <w:szCs w:val="24"/>
              </w:rPr>
              <w:t>; объединение биометрии с QR и СБП; рост требований к обработке векторов в реальном времени [27; 38; 40; 34].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Положительное по уровню зрелости. Критическая зона для Face2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публично не зафиксирована независимая верификация точности (NIST FRTE) и не заявлено отдельное решение по </w:t>
            </w:r>
            <w:proofErr w:type="spellStart"/>
            <w:r>
              <w:rPr>
                <w:color w:val="000000"/>
                <w:sz w:val="24"/>
                <w:szCs w:val="24"/>
              </w:rPr>
              <w:t>дипфейкам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E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экологические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Снижение оборота пластиковых карт в массовой рознице за счёт перехода на биометрию и QR; безбумажная удалённая идентификация; энергоёмкость дата-центров; ESG-повестка как требование к корпоративному поставщику [26, с. 17, 33; 32].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Слабо положительное. ESG-статус АББ снимает часть барьеров входа в B2G-закупки; самостоятельного маркетингового плеча у фактора нет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работает фоном.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L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правовые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572-ФЗ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биометрия как </w:t>
            </w:r>
            <w:proofErr w:type="spellStart"/>
            <w:r>
              <w:rPr>
                <w:color w:val="000000"/>
                <w:sz w:val="24"/>
                <w:szCs w:val="24"/>
              </w:rPr>
              <w:t>спецкатегория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ПДн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хранение в ГИС ЕБС; 420-ФЗ и 421-ФЗ от 30.11.2024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штрафы до 20 млн руб. и 1–3% годового дохода, уголовная ответственность до 5 лет; обязательное письменное согласие на каждое использование; статус оператора по № 115-ФЗ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194 банка; аккредитация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>; сертификация ФСБ и ФСТЭК [27; 1; 36; 35].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Двойное. Положительное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жёсткая рамка превращает аккредитацию КБС, статус по № 115-ФЗ и сертификации в защитный «ров» для Face2. Отрицательное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обязательное согласие на каждое использование исключает массовые B2C-стимулы (</w:t>
            </w:r>
            <w:proofErr w:type="spellStart"/>
            <w:r>
              <w:rPr>
                <w:color w:val="000000"/>
                <w:sz w:val="24"/>
                <w:szCs w:val="24"/>
              </w:rPr>
              <w:t>кешбэки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промокоды</w:t>
            </w:r>
            <w:proofErr w:type="spellEnd"/>
            <w:r>
              <w:rPr>
                <w:color w:val="000000"/>
                <w:sz w:val="24"/>
                <w:szCs w:val="24"/>
              </w:rPr>
              <w:t>) и переводит продвижение в формат экспертного контента.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[16, с. 41; 25, с. 112; 27; 26, с. 17, 33; 38; 1; 36; 33, с. 3, 6; 35; 40; 32; 37; 34]</w:t>
      </w:r>
    </w:p>
    <w:p w:rsidR="00C4374C" w:rsidRDefault="00522436">
      <w:pPr>
        <w:ind w:firstLine="708"/>
      </w:pPr>
      <w:r>
        <w:rPr>
          <w:color w:val="000000"/>
        </w:rPr>
        <w:t xml:space="preserve">Сопоставление шести факторов даёт </w:t>
      </w:r>
      <w:proofErr w:type="spellStart"/>
      <w:r>
        <w:rPr>
          <w:color w:val="000000"/>
        </w:rPr>
        <w:t>макрорамку</w:t>
      </w:r>
      <w:proofErr w:type="spellEnd"/>
      <w:r>
        <w:rPr>
          <w:color w:val="000000"/>
        </w:rPr>
        <w:t xml:space="preserve"> для последующего конкурентного анализа. Три фактора (P, T, L) работают преимущественно в плюс: государственный курс на технологический суверенитет вместе с жёсткой регуляторной рамкой создаёт защищённый рынок аккредитованных операторов, в который Face2 уже встроен, а зрелость алгоритмов обеспечивает технологическую состоятельность продукта. Экономический и социальный </w:t>
      </w:r>
      <w:r>
        <w:rPr>
          <w:color w:val="000000"/>
        </w:rPr>
        <w:lastRenderedPageBreak/>
        <w:t xml:space="preserve">факторы (E, S) двойственны: динамика рынка положительна, но ценовое преимущество </w:t>
      </w:r>
      <w:proofErr w:type="spellStart"/>
      <w:r>
        <w:rPr>
          <w:color w:val="000000"/>
        </w:rPr>
        <w:t>биоэквайринга</w:t>
      </w:r>
      <w:proofErr w:type="spellEnd"/>
      <w:r>
        <w:rPr>
          <w:color w:val="000000"/>
        </w:rPr>
        <w:t xml:space="preserve"> вторично для целевого B2B/B2G-сегмента, а массовая привычка к оплате лицом сосуществует с устойчивым психологическим барьером недоверия. Правовой фактор одновременно открывает рынок для аккредитованных игроков и закрывает каналы массового стимулирования (запрет акций по сдаче биометрии, обязательное согласие на каждое использование), переводя продвижение в формат экспертного контента, пилотных проектов и B2B-референсов; экологический фактор работает фоном через ESG-статус банка.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-политический фактор работает фильтром входа и оставляет в качестве реальных конкурентов Face2 ограниченный круг аккредитованных операторов и банков-операторов биометрии </w:t>
      </w:r>
      <w:r w:rsidR="00875DD8">
        <w:rPr>
          <w:color w:val="000000"/>
        </w:rPr>
        <w:t>–</w:t>
      </w:r>
      <w:r>
        <w:rPr>
          <w:color w:val="000000"/>
        </w:rPr>
        <w:t xml:space="preserve"> состав этого круга и силы, действующие внутри него, разбираются ниже через рамку пяти сил М. Портера.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Конкурентная среда и пять сил Портера на российском рынке биометрии</w:t>
      </w:r>
    </w:p>
    <w:p w:rsidR="00C4374C" w:rsidRDefault="00522436">
      <w:pPr>
        <w:ind w:firstLine="708"/>
      </w:pPr>
      <w:r>
        <w:rPr>
          <w:color w:val="000000"/>
        </w:rPr>
        <w:t xml:space="preserve">Российский рынок биометрии организован в три различающихся по типу деятельности слоя. Первый </w:t>
      </w:r>
      <w:r w:rsidR="00875DD8">
        <w:rPr>
          <w:color w:val="000000"/>
        </w:rPr>
        <w:t>–</w:t>
      </w:r>
      <w:r>
        <w:rPr>
          <w:color w:val="000000"/>
        </w:rPr>
        <w:t xml:space="preserve"> банки-разработчики собственных биометрических сервисов: ПАО Сбербанк с сервисом «Оплата улыбкой» (</w:t>
      </w:r>
      <w:proofErr w:type="spellStart"/>
      <w:r>
        <w:rPr>
          <w:color w:val="000000"/>
        </w:rPr>
        <w:t>СберPay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Smile</w:t>
      </w:r>
      <w:proofErr w:type="spellEnd"/>
      <w:r>
        <w:rPr>
          <w:color w:val="000000"/>
        </w:rPr>
        <w:t xml:space="preserve">) и ПАО «АК БАРС» БАНК с линейкой Face2; для них биометрия одновременно работает внутренним средством обслуживания и самостоятельным коммерческим продуктом. Второй </w:t>
      </w:r>
      <w:r w:rsidR="00875DD8">
        <w:rPr>
          <w:color w:val="000000"/>
        </w:rPr>
        <w:t>–</w:t>
      </w:r>
      <w:r>
        <w:rPr>
          <w:color w:val="000000"/>
        </w:rPr>
        <w:t xml:space="preserve"> технологические </w:t>
      </w:r>
      <w:proofErr w:type="spellStart"/>
      <w:r>
        <w:rPr>
          <w:color w:val="000000"/>
        </w:rPr>
        <w:t>вендоры</w:t>
      </w:r>
      <w:proofErr w:type="spellEnd"/>
      <w:r>
        <w:rPr>
          <w:color w:val="000000"/>
        </w:rPr>
        <w:t xml:space="preserve"> алгоритмов и платформ: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(с декабря 2021 года в структуре ПАО МТС) и </w:t>
      </w:r>
      <w:proofErr w:type="spellStart"/>
      <w:r>
        <w:rPr>
          <w:color w:val="000000"/>
        </w:rPr>
        <w:t>NtechLab</w:t>
      </w:r>
      <w:proofErr w:type="spellEnd"/>
      <w:r>
        <w:rPr>
          <w:color w:val="000000"/>
        </w:rPr>
        <w:t xml:space="preserve"> с системой </w:t>
      </w:r>
      <w:proofErr w:type="spellStart"/>
      <w:r>
        <w:rPr>
          <w:color w:val="000000"/>
        </w:rPr>
        <w:t>FindFace</w:t>
      </w:r>
      <w:proofErr w:type="spellEnd"/>
      <w:r>
        <w:rPr>
          <w:color w:val="000000"/>
        </w:rPr>
        <w:t xml:space="preserve"> [40; 32]. Третий </w:t>
      </w:r>
      <w:r w:rsidR="00875DD8">
        <w:rPr>
          <w:color w:val="000000"/>
        </w:rPr>
        <w:t>–</w:t>
      </w:r>
      <w:r>
        <w:rPr>
          <w:color w:val="000000"/>
        </w:rPr>
        <w:t xml:space="preserve"> производители полного цикла СКУД, объединяющие в одном предложении ПО, собственное оборудование и сервис: OVISION (Ханты-Мансийск) и </w:t>
      </w:r>
      <w:proofErr w:type="spellStart"/>
      <w:r>
        <w:rPr>
          <w:color w:val="000000"/>
        </w:rPr>
        <w:t>BioSmart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Прософт-Биометрикс</w:t>
      </w:r>
      <w:proofErr w:type="spellEnd"/>
      <w:r>
        <w:rPr>
          <w:color w:val="000000"/>
        </w:rPr>
        <w:t xml:space="preserve">) [41]. Над этими тремя слоями работает государственная инфраструктура </w:t>
      </w:r>
      <w:r w:rsidR="00875DD8">
        <w:rPr>
          <w:color w:val="000000"/>
        </w:rPr>
        <w:t>–</w:t>
      </w:r>
      <w:r>
        <w:rPr>
          <w:color w:val="000000"/>
        </w:rPr>
        <w:t xml:space="preserve"> оператор ЕБС АО «Центр биометрических технологий», обеспечивающий централизованное хранение биометрических векторов и подтверждение личности [36; 32]. Каждый слой отвечает на свой тип спроса и предъявляет свой набор аккредитаций, поэтому Face2 не пересекается с лидерами других слоёв напрямую: со </w:t>
      </w:r>
      <w:proofErr w:type="spellStart"/>
      <w:r>
        <w:rPr>
          <w:color w:val="000000"/>
        </w:rPr>
        <w:t>Сбером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по </w:t>
      </w:r>
      <w:r>
        <w:rPr>
          <w:color w:val="000000"/>
        </w:rPr>
        <w:lastRenderedPageBreak/>
        <w:t xml:space="preserve">объёму массового B2C-биоэквайринга, с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по горизонтальным алгоритмическим платформам, с OVISION </w:t>
      </w:r>
      <w:r w:rsidR="00875DD8">
        <w:rPr>
          <w:color w:val="000000"/>
        </w:rPr>
        <w:t>–</w:t>
      </w:r>
      <w:r>
        <w:rPr>
          <w:color w:val="000000"/>
        </w:rPr>
        <w:t xml:space="preserve"> по аппаратному стеку.</w:t>
      </w:r>
    </w:p>
    <w:p w:rsidR="00C4374C" w:rsidRDefault="00522436">
      <w:pPr>
        <w:ind w:firstLine="708"/>
      </w:pPr>
      <w:r>
        <w:rPr>
          <w:color w:val="000000"/>
        </w:rPr>
        <w:t>Чтобы оценить, насколько привлекателен этот рынок для Face2 и какие силы определяют интенсивность конкуренции внутри него, многослойная карта дополняется рамкой пяти конкурентных сил М. Портера. Согласно его методике, средний уровень прибыльности отрасли и устойчивость позиции отдельной фирмы определяются балансом пяти структурных факторов: угрозы со стороны новых участников, рыночной силы поставщиков, рыночной силы покупателей, угрозы товаров-заменителей и интенсивности соперничества между действующими конкурентами [11, с. 39]. Сводная оценка приведена в таблице 2.2.4.</w:t>
      </w:r>
    </w:p>
    <w:p w:rsidR="00C4374C" w:rsidRDefault="00522436">
      <w:pPr>
        <w:ind w:firstLine="708"/>
      </w:pPr>
      <w:r>
        <w:rPr>
          <w:color w:val="000000"/>
        </w:rPr>
        <w:t>Таблица 2.2.4</w:t>
      </w:r>
    </w:p>
    <w:p w:rsidR="00C4374C" w:rsidRDefault="00522436">
      <w:pPr>
        <w:ind w:firstLine="708"/>
      </w:pPr>
      <w:r>
        <w:rPr>
          <w:color w:val="000000"/>
        </w:rPr>
        <w:t>Анализ пяти конкурентных сил М. Портера на российском рынке биометрии применительно к продукту Face2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1450"/>
        <w:gridCol w:w="3109"/>
        <w:gridCol w:w="3109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Сила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Уровень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Ключевые факторы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Влияние на Face2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1. Угроза новых участников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Регуляторные барьеры: 572-ФЗ, аккредитация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 правилам КБС, статус оператора по № 115-ФЗ, сертификация ФСБ и ФСТЭК, реестр отечественного ПО, подзаконный блок Банка России (Указание № 6541-У; МР № 18-МР, № 19-МР) [27; 1; 35; 2; 3; 4]. Ужесточение по 420-ФЗ и 421-ФЗ от 30.11.2024 (штрафы до 1–3% дохода, уголовная ответственность) [27]. Высокая капиталоёмкость алгоритмической базы и многолетняя наработка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референсной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базы.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Защищает позицию Face2: набор статусов (аккредитация № 4-А от 15.11.2023, № 101 в перечне по № 115-ФЗ, ФСБ и ФСТЭК) недоступен новым игрокам без многолетней подготовки [27; 35].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2. Рыночная сила поставщиков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Производители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внешние алгоритмические </w:t>
            </w:r>
            <w:proofErr w:type="spellStart"/>
            <w:r>
              <w:rPr>
                <w:color w:val="000000"/>
                <w:sz w:val="24"/>
                <w:szCs w:val="24"/>
              </w:rPr>
              <w:t>вендоры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АО «ЦБТ»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монополист хранения векторов в ГИС ЕБС [36; 37]. Тарифы и регламент работы с ЕБС задаются 572-ФЗ [1].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Смешанная: собственные алгоритмы (99,5%) снимают зависимость от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  <w:szCs w:val="24"/>
              </w:rPr>
              <w:t>NtechLab</w:t>
            </w:r>
            <w:proofErr w:type="spellEnd"/>
            <w:r>
              <w:rPr>
                <w:color w:val="000000"/>
                <w:sz w:val="24"/>
                <w:szCs w:val="24"/>
              </w:rPr>
              <w:t>; сохраняется зависимость от партнёра по терминалам (в отличие от OVISION) и от ЦБТ как единственного оператора ЕБС [27; 41; 37].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 Рыночная сила покупателей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средне-высокий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 B2B/B2G заказчики крупны и концентрированы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сильная переговорная позиция. В технологическом слое издержки переключения низкие; в нише «банк + биометрия + ЕБС»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высокие из-за зависимости от регуляторного статуса банка-партнёра.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 технологическом слое Face2 конкурирует с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OVISION по цене и функционалу; в нише «банк + ЕБС» сила покупателей снижается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аналоги предлагает узкий круг банков-операторов [27; 35].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4. Угроза товаров-заменителей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Заменители: пластиковые карты, NFC, QR-</w:t>
            </w:r>
            <w:proofErr w:type="spellStart"/>
            <w:r>
              <w:rPr>
                <w:color w:val="000000"/>
                <w:sz w:val="24"/>
                <w:szCs w:val="24"/>
              </w:rPr>
              <w:t>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SMS-OTP, голосовая биометрия. Во II кв. 2025 QR превысил биометрию по числу операций в 16 раз (≈ 990 млн против ≈ 60 млн), но темпы роста биометрии выше (+50% против +25%) [34]. В СКУД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карточные пропуска и мобильные ключи.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 регулируемых сценариях (открытие счёта, возрастная верификация, транспорт) субституты ограничены законом. В массовом </w:t>
            </w:r>
            <w:proofErr w:type="spellStart"/>
            <w:r>
              <w:rPr>
                <w:color w:val="000000"/>
                <w:sz w:val="24"/>
                <w:szCs w:val="24"/>
              </w:rPr>
              <w:t>эквайринге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QR доминирует по обороту, но не вытесняет биометрию: оба канала растут параллельно [32; 34].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5. Внутриотраслевая конкуренция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средне-высокий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Лидеры по слоям: </w:t>
            </w:r>
            <w:proofErr w:type="spellStart"/>
            <w:r>
              <w:rPr>
                <w:color w:val="000000"/>
                <w:sz w:val="24"/>
                <w:szCs w:val="24"/>
              </w:rPr>
              <w:t>Сбер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B2C-биоэквайринге (700+ тыс. терминалов, 30 млн зарегистрированных, 116 млрд руб. за 2025 г.);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технологическом слое (1,7 млн камер, 38 стран); OVISION в полном цикле СКУД (OGATE,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РЖД, </w:t>
            </w:r>
            <w:proofErr w:type="spellStart"/>
            <w:r>
              <w:rPr>
                <w:color w:val="000000"/>
                <w:sz w:val="24"/>
                <w:szCs w:val="24"/>
              </w:rPr>
              <w:t>Мосэнергосбыт</w:t>
            </w:r>
            <w:proofErr w:type="spellEnd"/>
            <w:r>
              <w:rPr>
                <w:color w:val="000000"/>
                <w:sz w:val="24"/>
                <w:szCs w:val="24"/>
              </w:rPr>
              <w:t>) [38; 40; 41]. Девятикратный рост платежей и пятикратный рост оборота снижают остроту ценовой конкуренции [32].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Прямой лобовой конкуренции в нише Face2 мало: банк не пересекается со </w:t>
            </w:r>
            <w:proofErr w:type="spellStart"/>
            <w:r>
              <w:rPr>
                <w:color w:val="000000"/>
                <w:sz w:val="24"/>
                <w:szCs w:val="24"/>
              </w:rPr>
              <w:t>Сбером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 объёму, с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 верификации алгоритмов, с OVISION по аппаратному стеку. Конкуренция идёт на узком пересечении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B2B/B2G со сценариями работы с физлицами через ЕБС в банковской экосистеме.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[11, с. 39; 27; 26, с. 17, 30–31, 33; 38; 1; 36; 35; 40; 32; 41; 37; 34]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Из таблицы 2.2.4 складывается единая структурная картина. Угроза новых участников и рыночная сила поставщиков (в части алгоритмов) оказывают на Face2 ослабленное давление: жёсткая регуляторная рамка отсекает несертифицированных игроков, а собственная алгоритмическая база банка снимает зависимость от внешних </w:t>
      </w:r>
      <w:proofErr w:type="spellStart"/>
      <w:r>
        <w:rPr>
          <w:color w:val="000000"/>
        </w:rPr>
        <w:t>вендоров</w:t>
      </w:r>
      <w:proofErr w:type="spellEnd"/>
      <w:r>
        <w:rPr>
          <w:color w:val="000000"/>
        </w:rPr>
        <w:t xml:space="preserve"> [27; 1; 35]. Сила покупателей и угроза заменителей расщепляются по сегментам </w:t>
      </w:r>
      <w:r w:rsidR="00875DD8">
        <w:rPr>
          <w:color w:val="000000"/>
        </w:rPr>
        <w:t>–</w:t>
      </w:r>
      <w:r>
        <w:rPr>
          <w:color w:val="000000"/>
        </w:rPr>
        <w:t xml:space="preserve"> высоки в технологическом слое и снижаются в нише «банк + ЕБС» из-за недоступности эквивалентов у </w:t>
      </w:r>
      <w:proofErr w:type="spellStart"/>
      <w:r>
        <w:rPr>
          <w:color w:val="000000"/>
        </w:rPr>
        <w:t>вендоров</w:t>
      </w:r>
      <w:proofErr w:type="spellEnd"/>
      <w:r>
        <w:rPr>
          <w:color w:val="000000"/>
        </w:rPr>
        <w:t xml:space="preserve"> [32; 34]. Внутриотраслевая конкуренция остаётся </w:t>
      </w:r>
      <w:proofErr w:type="gramStart"/>
      <w:r>
        <w:rPr>
          <w:color w:val="000000"/>
        </w:rPr>
        <w:t>средне-высокой</w:t>
      </w:r>
      <w:proofErr w:type="gramEnd"/>
      <w:r>
        <w:rPr>
          <w:color w:val="000000"/>
        </w:rPr>
        <w:t xml:space="preserve">, но смягчается многослойностью рынка и кратным ростом спроса, позволяющим нескольким игрокам одновременно расширять долю без прямого вытеснения [38; 40; 32; 41]. Совокупно российский рынок биометрии относится к структурно привлекательным отраслям с высокими барьерами входа и умеренной интенсивностью соперничества внутри отдельных слоёв; стратегия продвижения Face2 рационально опирается на регуляторный капитал и банковскую экосистему, а две силы задают пробелы для главы 3 </w:t>
      </w:r>
      <w:r w:rsidR="00875DD8">
        <w:rPr>
          <w:color w:val="000000"/>
        </w:rPr>
        <w:t>–</w:t>
      </w:r>
      <w:r>
        <w:rPr>
          <w:color w:val="000000"/>
        </w:rPr>
        <w:t xml:space="preserve"> необходимость партнёрского или собственного аппаратного стека и бесперспективность лобовой конкуренции с QR-</w:t>
      </w:r>
      <w:proofErr w:type="spellStart"/>
      <w:r>
        <w:rPr>
          <w:color w:val="000000"/>
        </w:rPr>
        <w:t>эквайрингом</w:t>
      </w:r>
      <w:proofErr w:type="spellEnd"/>
      <w:r>
        <w:rPr>
          <w:color w:val="000000"/>
        </w:rPr>
        <w:t xml:space="preserve"> по числу операций.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Сравнительный анализ Face2 и ключевых конкурентов</w:t>
      </w:r>
    </w:p>
    <w:p w:rsidR="00C4374C" w:rsidRDefault="00522436">
      <w:pPr>
        <w:ind w:firstLine="708"/>
      </w:pPr>
      <w:r>
        <w:rPr>
          <w:color w:val="000000"/>
        </w:rPr>
        <w:t>Сравнительный анализ строится по семи параметрам, существенным для выбора биометрического решения корпоративным и розничным заказчиком: тип игрока, продуктовая линейка по форм-факторам и сценариям, формальные регуляторные статусы, независимая верификация точности, географический охват, типовая бизнес-модель и наличие банковской/инфраструктурной экосистемы. Результаты сравнения собраны в таблице 2.2.5.</w:t>
      </w:r>
    </w:p>
    <w:p w:rsidR="00C4374C" w:rsidRDefault="00522436">
      <w:pPr>
        <w:ind w:firstLine="708"/>
      </w:pPr>
      <w:r>
        <w:rPr>
          <w:color w:val="000000"/>
        </w:rPr>
        <w:t>Таблица 2.2.5</w:t>
      </w:r>
    </w:p>
    <w:p w:rsidR="00C4374C" w:rsidRDefault="00522436">
      <w:pPr>
        <w:ind w:firstLine="708"/>
      </w:pPr>
      <w:r>
        <w:rPr>
          <w:color w:val="000000"/>
        </w:rPr>
        <w:t>Сравнение Face2 и ключевых конкурентов на российском рынке биометрии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1566"/>
        <w:gridCol w:w="1875"/>
        <w:gridCol w:w="2820"/>
        <w:gridCol w:w="1860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Face2 (АК БАРС БАНК)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Сбер</w:t>
            </w:r>
            <w:proofErr w:type="spellEnd"/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OVISION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Тип игрока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Банк-разработчик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Банк-разработчик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Технологический </w:t>
            </w:r>
            <w:proofErr w:type="spellStart"/>
            <w:r>
              <w:rPr>
                <w:color w:val="000000"/>
                <w:sz w:val="24"/>
                <w:szCs w:val="24"/>
              </w:rPr>
              <w:t>вендор</w:t>
            </w:r>
            <w:proofErr w:type="spellEnd"/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Производитель полного цикла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Аккредитация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(КБС)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Решение № 4-А от 15.11.2023 [27]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Через дочерние структуры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Партнёр ЦБТ [40]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 [41]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Право регистрации </w:t>
            </w:r>
            <w:proofErr w:type="spellStart"/>
            <w:r>
              <w:rPr>
                <w:color w:val="000000"/>
                <w:sz w:val="24"/>
                <w:szCs w:val="24"/>
              </w:rPr>
              <w:t>БПд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граждан в ЕБС (по № 115-ФЗ)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№ 101 в перечне [35]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Нет (B2B-вендор)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Нет (B2B-вендор)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Реестр отечественного ПО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 [27]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 [40]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 [41]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Сертификация ФСБ и ФСТЭК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 [27]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Через ПАК «ВЛ-БИО» [40]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Есть, право установки СКЗИ [41]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Независимая верификация (NIST FRTE,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>, CVPR)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Публично не зафиксирована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Публично не зафиксирована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Подтверждена [40]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Публично не зафиксирована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Заявленная точность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99,5% [27]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Косвенно через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Лидерство в NIST FRTE [40]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≈ 99,9% [41]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Время сканирования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≈ 2 с [27]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6 с (цель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2 с к 2025) [38]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≈ 2,5 с (LUNA)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≈ 0,3 с [41]</w:t>
            </w:r>
          </w:p>
        </w:tc>
      </w:tr>
      <w:tr w:rsidR="00C4374C" w:rsidRPr="00522436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Собственное производство терминалов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Нет (партнёрское)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Нет (модуль ПАК «ВЛ-БИО»)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Pr="00522436" w:rsidRDefault="00522436">
            <w:pPr>
              <w:spacing w:line="240" w:lineRule="auto"/>
              <w:jc w:val="right"/>
              <w:rPr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Есть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(OGATE One/Mini/</w:t>
            </w:r>
            <w:proofErr w:type="spellStart"/>
            <w:r w:rsidRPr="00522436">
              <w:rPr>
                <w:color w:val="000000"/>
                <w:sz w:val="24"/>
                <w:szCs w:val="24"/>
                <w:lang w:val="en-US"/>
              </w:rPr>
              <w:t>Thermo</w:t>
            </w:r>
            <w:proofErr w:type="spellEnd"/>
            <w:r w:rsidRPr="00522436">
              <w:rPr>
                <w:color w:val="000000"/>
                <w:sz w:val="24"/>
                <w:szCs w:val="24"/>
                <w:lang w:val="en-US"/>
              </w:rPr>
              <w:t>) [41]</w:t>
            </w:r>
          </w:p>
        </w:tc>
      </w:tr>
      <w:tr w:rsidR="00C4374C" w:rsidRPr="00522436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Продуктовая линейка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Face2Pay, Face2Pass, Face2Check-in, КБС под ключ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по сценариям банковской вертикали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proofErr w:type="spellStart"/>
            <w:r>
              <w:rPr>
                <w:color w:val="000000"/>
                <w:sz w:val="24"/>
                <w:szCs w:val="24"/>
              </w:rPr>
              <w:t>СберPay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Smile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преимущественно </w:t>
            </w:r>
            <w:proofErr w:type="spellStart"/>
            <w:r>
              <w:rPr>
                <w:color w:val="000000"/>
                <w:sz w:val="24"/>
                <w:szCs w:val="24"/>
              </w:rPr>
              <w:t>эквайринг</w:t>
            </w:r>
            <w:proofErr w:type="spellEnd"/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Pr="00522436" w:rsidRDefault="00522436">
            <w:pPr>
              <w:spacing w:line="240" w:lineRule="auto"/>
              <w:jc w:val="right"/>
              <w:rPr>
                <w:lang w:val="en-US"/>
              </w:rPr>
            </w:pP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LUNA Platform/Cars/ID/Pass/Kiosk + </w:t>
            </w:r>
            <w:proofErr w:type="spellStart"/>
            <w:r w:rsidRPr="00522436">
              <w:rPr>
                <w:color w:val="000000"/>
                <w:sz w:val="24"/>
                <w:szCs w:val="24"/>
                <w:lang w:val="en-US"/>
              </w:rPr>
              <w:t>Deepfake</w:t>
            </w:r>
            <w:proofErr w:type="spellEnd"/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Detection </w:t>
            </w:r>
            <w:r w:rsidR="00875DD8">
              <w:rPr>
                <w:color w:val="000000"/>
                <w:sz w:val="24"/>
                <w:szCs w:val="24"/>
                <w:lang w:val="en-US"/>
              </w:rPr>
              <w:t>–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по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форм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>-</w:t>
            </w:r>
            <w:r>
              <w:rPr>
                <w:color w:val="000000"/>
                <w:sz w:val="24"/>
                <w:szCs w:val="24"/>
              </w:rPr>
              <w:t>факторам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Pr="00522436" w:rsidRDefault="00522436">
            <w:pPr>
              <w:spacing w:line="240" w:lineRule="auto"/>
              <w:jc w:val="right"/>
              <w:rPr>
                <w:lang w:val="en-US"/>
              </w:rPr>
            </w:pP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OGATE + OGATE Control + </w:t>
            </w:r>
            <w:r>
              <w:rPr>
                <w:color w:val="000000"/>
                <w:sz w:val="24"/>
                <w:szCs w:val="24"/>
              </w:rPr>
              <w:t>КБС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OVISION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География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Татарстан + федеральные пилоты (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>, Минтранс, НСПК)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Вся РФ и новые территории [38]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38 стран, 9 представительств [40]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Вся РФ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Антифрод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детекция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дипфейков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В публичной линейке отдельное решение не зафиксировано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Многоконтурная защита: </w:t>
            </w:r>
            <w:proofErr w:type="spellStart"/>
            <w:r>
              <w:rPr>
                <w:color w:val="000000"/>
                <w:sz w:val="24"/>
                <w:szCs w:val="24"/>
              </w:rPr>
              <w:t>liveness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AI-</w:t>
            </w:r>
            <w:proofErr w:type="spellStart"/>
            <w:r>
              <w:rPr>
                <w:color w:val="000000"/>
                <w:sz w:val="24"/>
                <w:szCs w:val="24"/>
              </w:rPr>
              <w:t>фрод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ПИН [38]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Отдельный продукт </w:t>
            </w:r>
            <w:proofErr w:type="spellStart"/>
            <w:r>
              <w:rPr>
                <w:color w:val="000000"/>
                <w:sz w:val="24"/>
                <w:szCs w:val="24"/>
              </w:rPr>
              <w:t>Deepfake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Detection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[40]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proofErr w:type="spellStart"/>
            <w:r>
              <w:rPr>
                <w:color w:val="000000"/>
                <w:sz w:val="24"/>
                <w:szCs w:val="24"/>
              </w:rPr>
              <w:t>Антиспуфинг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  <w:szCs w:val="24"/>
              </w:rPr>
              <w:t>детекция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дипфейков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[41]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Банковская / инфраструктурная экосистема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АББ, Карта жителя РТ, СБП, мобильное приложение [26, с. 17, 33]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proofErr w:type="spellStart"/>
            <w:r>
              <w:rPr>
                <w:color w:val="000000"/>
                <w:sz w:val="24"/>
                <w:szCs w:val="24"/>
              </w:rPr>
              <w:t>Сбер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СберPay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СберID</w:t>
            </w:r>
            <w:proofErr w:type="spellEnd"/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ЦБТ, ЦРТ, </w:t>
            </w:r>
            <w:proofErr w:type="spellStart"/>
            <w:r>
              <w:rPr>
                <w:color w:val="000000"/>
                <w:sz w:val="24"/>
                <w:szCs w:val="24"/>
              </w:rPr>
              <w:t>Нетрис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ITV, ВК ИТС, </w:t>
            </w:r>
            <w:proofErr w:type="spellStart"/>
            <w:r>
              <w:rPr>
                <w:color w:val="000000"/>
                <w:sz w:val="24"/>
                <w:szCs w:val="24"/>
              </w:rPr>
              <w:t>Macroscop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[40]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Без банковской экосистемы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lastRenderedPageBreak/>
        <w:t>Источник: составлено автором по данным [27; 26, с. 17, 33; 38; 35; 40; 41]</w:t>
      </w:r>
    </w:p>
    <w:p w:rsidR="00C4374C" w:rsidRDefault="00522436">
      <w:pPr>
        <w:ind w:firstLine="708"/>
      </w:pPr>
      <w:r>
        <w:rPr>
          <w:color w:val="000000"/>
        </w:rPr>
        <w:t xml:space="preserve">Сравнение в таблице 2.2.5 фиксирует четыре чётко различимые позиции на рынке. </w:t>
      </w:r>
      <w:proofErr w:type="spellStart"/>
      <w:r>
        <w:rPr>
          <w:color w:val="000000"/>
        </w:rPr>
        <w:t>Сбер</w:t>
      </w:r>
      <w:proofErr w:type="spellEnd"/>
      <w:r>
        <w:rPr>
          <w:color w:val="000000"/>
        </w:rPr>
        <w:t xml:space="preserve"> закрывает массовый B2C-биоэквайринг масштабом и инфраструктурой;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закрывает технологический слой и сильнее всех по независимой верификации точности через 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; OVISION закрывает рынок полного цикла СКУД (собственное оборудование плюс программное ядро плюс полный набор регуляторных статусов) и силён в государственном сегменте за счёт </w:t>
      </w:r>
      <w:proofErr w:type="spellStart"/>
      <w:r>
        <w:rPr>
          <w:color w:val="000000"/>
        </w:rPr>
        <w:t>референсов</w:t>
      </w:r>
      <w:proofErr w:type="spellEnd"/>
      <w:r>
        <w:rPr>
          <w:color w:val="000000"/>
        </w:rPr>
        <w:t xml:space="preserve"> федерального уровня (РЖД, </w:t>
      </w:r>
      <w:proofErr w:type="spellStart"/>
      <w:r>
        <w:rPr>
          <w:color w:val="000000"/>
        </w:rPr>
        <w:t>Мосэнергосбыт</w:t>
      </w:r>
      <w:proofErr w:type="spellEnd"/>
      <w:r>
        <w:rPr>
          <w:color w:val="000000"/>
        </w:rPr>
        <w:t xml:space="preserve">, Правительство Тульской области). Face2 не вступает в эти три позиции лоб в лоб, а занимает четвёртую </w:t>
      </w:r>
      <w:r w:rsidR="00875DD8">
        <w:rPr>
          <w:color w:val="000000"/>
        </w:rPr>
        <w:t>–</w:t>
      </w:r>
      <w:r>
        <w:rPr>
          <w:color w:val="000000"/>
        </w:rPr>
        <w:t xml:space="preserve"> банковский сервисный игрок с правом регистрации биометрических данных граждан в ЕБС через статус по № 115-ФЗ и с продуктовой линейкой, выстроенной не по форм-факторам, а по банковским сценариям.</w:t>
      </w:r>
    </w:p>
    <w:p w:rsidR="00C4374C" w:rsidRDefault="00522436">
      <w:pPr>
        <w:ind w:firstLine="708"/>
      </w:pPr>
      <w:r>
        <w:rPr>
          <w:color w:val="000000"/>
        </w:rPr>
        <w:t xml:space="preserve">Конкурентные преимущества Face2 складываются из пяти позиций: (1) статус банка-оператора по № 115-ФЗ с правом регистрации биометрических векторов граждан в ЕБС, недоступный технологическим </w:t>
      </w:r>
      <w:proofErr w:type="spellStart"/>
      <w:r>
        <w:rPr>
          <w:color w:val="000000"/>
        </w:rPr>
        <w:t>вендорам</w:t>
      </w:r>
      <w:proofErr w:type="spellEnd"/>
      <w:r>
        <w:rPr>
          <w:color w:val="000000"/>
        </w:rPr>
        <w:t xml:space="preserve"> и производителям СКУД; (2) аккредитация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как оператора КБС (Решение № 4-А от 15 ноября 2023 года), особенно ценная после ужесточения ответственности по 420-ФЗ и 421-ФЗ [27]; (3) институциональный стаж работы с ЕБС с июля 2018 года и положение первого банка ПФО, подключённого к этой инфраструктуре, снимающий риск восприятия Face2 как «нового и непроверенного» сервиса [39]; (4) банковская экосистема (934 тыс. розничных и 33,9 тыс. корпоративных клиентов, 930 тыс. в АБО, 450 тыс. Карт жителя РТ, рейтинги «A» и подтверждённый ESG-статус) [26, с. 17, 33]; (5) продуктовая вертикаль под банковский сценарий, закрывающая оплату, проход и подтверждение возраста внутри одной экосистемы клиента, что отличает Face2 от горизонтальных платформ технологических </w:t>
      </w:r>
      <w:proofErr w:type="spellStart"/>
      <w:r>
        <w:rPr>
          <w:color w:val="000000"/>
        </w:rPr>
        <w:t>вендоров</w:t>
      </w:r>
      <w:proofErr w:type="spellEnd"/>
      <w:r>
        <w:rPr>
          <w:color w:val="000000"/>
        </w:rPr>
        <w:t>.</w:t>
      </w:r>
    </w:p>
    <w:p w:rsidR="00C4374C" w:rsidRDefault="00522436">
      <w:pPr>
        <w:ind w:firstLine="708"/>
      </w:pPr>
      <w:r>
        <w:rPr>
          <w:color w:val="000000"/>
        </w:rPr>
        <w:t xml:space="preserve">Пробелы </w:t>
      </w:r>
      <w:r w:rsidR="00875DD8">
        <w:rPr>
          <w:color w:val="000000"/>
        </w:rPr>
        <w:t>–</w:t>
      </w:r>
      <w:r>
        <w:rPr>
          <w:color w:val="000000"/>
        </w:rPr>
        <w:t xml:space="preserve"> четыре: (1) публично не зафиксированная независимая международная верификация точности (NIST FRTE,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, CVPR), на которой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строит значимую часть позиционирования [40]; (2) отсутствие </w:t>
      </w:r>
      <w:r>
        <w:rPr>
          <w:color w:val="000000"/>
        </w:rPr>
        <w:lastRenderedPageBreak/>
        <w:t>собственного производства биометрических терминалов и частичная зависимость от партнёрского оборудования при том, что OVISION предлагает полный аппаратный стек одного производителя со всеми статусами (</w:t>
      </w:r>
      <w:proofErr w:type="spellStart"/>
      <w:r>
        <w:rPr>
          <w:color w:val="000000"/>
        </w:rPr>
        <w:t>Минпромторг</w:t>
      </w:r>
      <w:proofErr w:type="spellEnd"/>
      <w:r>
        <w:rPr>
          <w:color w:val="000000"/>
        </w:rPr>
        <w:t xml:space="preserve">, реестр радиоэлектронной продукции, СКЗИ) [41]; (3) локальный масштаб </w:t>
      </w:r>
      <w:r w:rsidR="00875DD8">
        <w:rPr>
          <w:color w:val="000000"/>
        </w:rPr>
        <w:t>–</w:t>
      </w:r>
      <w:r>
        <w:rPr>
          <w:color w:val="000000"/>
        </w:rPr>
        <w:t xml:space="preserve"> ядро коммерческой базы Face2 в Татарстане при федеральном охвате </w:t>
      </w:r>
      <w:proofErr w:type="spellStart"/>
      <w:r>
        <w:rPr>
          <w:color w:val="000000"/>
        </w:rPr>
        <w:t>Сбера</w:t>
      </w:r>
      <w:proofErr w:type="spellEnd"/>
      <w:r>
        <w:rPr>
          <w:color w:val="000000"/>
        </w:rPr>
        <w:t xml:space="preserve"> и международном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(38 стран); (4) в публичной линейке Face2 не зафиксировано отдельное решение по </w:t>
      </w:r>
      <w:proofErr w:type="spellStart"/>
      <w:r>
        <w:rPr>
          <w:color w:val="000000"/>
        </w:rPr>
        <w:t>детекции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дипфейков</w:t>
      </w:r>
      <w:proofErr w:type="spellEnd"/>
      <w:r>
        <w:rPr>
          <w:color w:val="000000"/>
        </w:rPr>
        <w:t xml:space="preserve">, представленное у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Deepfake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>), у OVISION (</w:t>
      </w:r>
      <w:proofErr w:type="spellStart"/>
      <w:r>
        <w:rPr>
          <w:color w:val="000000"/>
        </w:rPr>
        <w:t>антиспуфинг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детекция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дипфейков</w:t>
      </w:r>
      <w:proofErr w:type="spellEnd"/>
      <w:r>
        <w:rPr>
          <w:color w:val="000000"/>
        </w:rPr>
        <w:t xml:space="preserve">) и в виде многоконтурной защиты у </w:t>
      </w:r>
      <w:proofErr w:type="spellStart"/>
      <w:r>
        <w:rPr>
          <w:color w:val="000000"/>
        </w:rPr>
        <w:t>Сбера</w:t>
      </w:r>
      <w:proofErr w:type="spellEnd"/>
      <w:r>
        <w:rPr>
          <w:color w:val="000000"/>
        </w:rPr>
        <w:t xml:space="preserve"> [38; 40; 41].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Балльная экспертная оценка решений на основе сравнительной матрицы</w:t>
      </w:r>
    </w:p>
    <w:p w:rsidR="00C4374C" w:rsidRDefault="00522436">
      <w:pPr>
        <w:ind w:firstLine="708"/>
      </w:pPr>
      <w:r>
        <w:rPr>
          <w:color w:val="000000"/>
        </w:rPr>
        <w:t xml:space="preserve">Сравнительная матрица в таблице 2.2.5 фиксирует, по каким параметрам игроки различаются, но не отвечает на вопрос, какие из этих параметров критичны для победы в отрасли, а какие </w:t>
      </w:r>
      <w:r w:rsidR="00875DD8">
        <w:rPr>
          <w:color w:val="000000"/>
        </w:rPr>
        <w:t>–</w:t>
      </w:r>
      <w:r>
        <w:rPr>
          <w:color w:val="000000"/>
        </w:rPr>
        <w:t xml:space="preserve"> второстепенны. Этот разрыв снимается через ключевые факторы успеха (КФУ) </w:t>
      </w:r>
      <w:r w:rsidR="00875DD8">
        <w:rPr>
          <w:color w:val="000000"/>
        </w:rPr>
        <w:t>–</w:t>
      </w:r>
      <w:r>
        <w:rPr>
          <w:color w:val="000000"/>
        </w:rPr>
        <w:t xml:space="preserve"> управляемые ресурсы и характеристики продукта, владение которыми обеспечивает устойчивое конкурентное преимущество и без которых даже технологически сильное решение не выходит на коммерческий контур заказчика [11, с. 39; 25, с. 112]. На основании трёх рамок предыдущих подразделов (регуляторного контура, PESTEL-анализа и пяти сил Портера) и сравнительной матрицы выделяются восемь КФУ российского рынка биометрии: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-правовой капитал, технологическая зрелость алгоритмов, доказательная база точности, продуктовая полнота под B2B/B2G, географический охват и </w:t>
      </w:r>
      <w:proofErr w:type="spellStart"/>
      <w:r>
        <w:rPr>
          <w:color w:val="000000"/>
        </w:rPr>
        <w:t>референсная</w:t>
      </w:r>
      <w:proofErr w:type="spellEnd"/>
      <w:r>
        <w:rPr>
          <w:color w:val="000000"/>
        </w:rPr>
        <w:t xml:space="preserve"> база, </w:t>
      </w:r>
      <w:proofErr w:type="spellStart"/>
      <w:r>
        <w:rPr>
          <w:color w:val="000000"/>
        </w:rPr>
        <w:t>экосистемная</w:t>
      </w:r>
      <w:proofErr w:type="spellEnd"/>
      <w:r>
        <w:rPr>
          <w:color w:val="000000"/>
        </w:rPr>
        <w:t xml:space="preserve"> интеграция, контроль аппаратного стека и </w:t>
      </w:r>
      <w:proofErr w:type="spellStart"/>
      <w:r>
        <w:rPr>
          <w:color w:val="000000"/>
        </w:rPr>
        <w:t>антифрод</w:t>
      </w:r>
      <w:proofErr w:type="spellEnd"/>
      <w:r>
        <w:rPr>
          <w:color w:val="000000"/>
        </w:rPr>
        <w:t>-функциональность. Эти восемь факторов одновременно служат критериями балльной оценки в таблице 2.2.6.</w:t>
      </w:r>
    </w:p>
    <w:p w:rsidR="00C4374C" w:rsidRDefault="00522436">
      <w:pPr>
        <w:ind w:firstLine="708"/>
      </w:pPr>
      <w:r>
        <w:rPr>
          <w:color w:val="000000"/>
        </w:rPr>
        <w:t xml:space="preserve">КФУ не равноправны: для типового заказчика биометрии регуляторный статус важнее аппаратного стека, а банковская экосистема </w:t>
      </w:r>
      <w:r w:rsidR="00875DD8">
        <w:rPr>
          <w:color w:val="000000"/>
        </w:rPr>
        <w:t>–</w:t>
      </w:r>
      <w:r>
        <w:rPr>
          <w:color w:val="000000"/>
        </w:rPr>
        <w:t xml:space="preserve"> важнее географии присутствия </w:t>
      </w:r>
      <w:proofErr w:type="spellStart"/>
      <w:r>
        <w:rPr>
          <w:color w:val="000000"/>
        </w:rPr>
        <w:t>вендора</w:t>
      </w:r>
      <w:proofErr w:type="spellEnd"/>
      <w:r>
        <w:rPr>
          <w:color w:val="000000"/>
        </w:rPr>
        <w:t xml:space="preserve">. Восемь критериев переведены в шкалу от 1 до 5 баллов: 5 </w:t>
      </w:r>
      <w:r w:rsidR="00875DD8">
        <w:rPr>
          <w:color w:val="000000"/>
        </w:rPr>
        <w:t>–</w:t>
      </w:r>
      <w:r>
        <w:rPr>
          <w:color w:val="000000"/>
        </w:rPr>
        <w:t xml:space="preserve"> лидерство, подтверждённое внешними источниками; 4 </w:t>
      </w:r>
      <w:r w:rsidR="00875DD8">
        <w:rPr>
          <w:color w:val="000000"/>
        </w:rPr>
        <w:t>–</w:t>
      </w:r>
      <w:r>
        <w:rPr>
          <w:color w:val="000000"/>
        </w:rPr>
        <w:t xml:space="preserve"> устойчивая позиция с </w:t>
      </w:r>
      <w:r>
        <w:rPr>
          <w:color w:val="000000"/>
        </w:rPr>
        <w:lastRenderedPageBreak/>
        <w:t xml:space="preserve">публично заявленными подтверждениями; 3 </w:t>
      </w:r>
      <w:r w:rsidR="00875DD8">
        <w:rPr>
          <w:color w:val="000000"/>
        </w:rPr>
        <w:t>–</w:t>
      </w:r>
      <w:r>
        <w:rPr>
          <w:color w:val="000000"/>
        </w:rPr>
        <w:t xml:space="preserve"> позиция выше средней без независимой верификации; 2 </w:t>
      </w:r>
      <w:r w:rsidR="00875DD8">
        <w:rPr>
          <w:color w:val="000000"/>
        </w:rPr>
        <w:t>–</w:t>
      </w:r>
      <w:r>
        <w:rPr>
          <w:color w:val="000000"/>
        </w:rPr>
        <w:t xml:space="preserve"> отдельные элементы реализованы, но не образуют системы; 1 </w:t>
      </w:r>
      <w:r w:rsidR="00875DD8">
        <w:rPr>
          <w:color w:val="000000"/>
        </w:rPr>
        <w:t>–</w:t>
      </w:r>
      <w:r>
        <w:rPr>
          <w:color w:val="000000"/>
        </w:rPr>
        <w:t xml:space="preserve"> параметр публично не подтверждён. Веса критериев настроены под целевой сегмент Face2 </w:t>
      </w:r>
      <w:r w:rsidR="00875DD8">
        <w:rPr>
          <w:color w:val="000000"/>
        </w:rPr>
        <w:t>–</w:t>
      </w:r>
      <w:r>
        <w:rPr>
          <w:color w:val="000000"/>
        </w:rPr>
        <w:t xml:space="preserve"> заказчиков B2B и B2G со сценариями работы с физическими лицами через ЕБС внутри банковской экосистемы: регуляторный статус и банковская экосистема выходят на первый план (вес 0,30 и 0,25), а второстепенные для этого сегмента критерии </w:t>
      </w:r>
      <w:r w:rsidR="00875DD8">
        <w:rPr>
          <w:color w:val="000000"/>
        </w:rPr>
        <w:t>–</w:t>
      </w:r>
      <w:r>
        <w:rPr>
          <w:color w:val="000000"/>
        </w:rPr>
        <w:t xml:space="preserve"> географический охват, собственный аппаратный стек, заявленные технические характеристики и независимая верификация точности </w:t>
      </w:r>
      <w:r w:rsidR="00875DD8">
        <w:rPr>
          <w:color w:val="000000"/>
        </w:rPr>
        <w:t>–</w:t>
      </w:r>
      <w:r>
        <w:rPr>
          <w:color w:val="000000"/>
        </w:rPr>
        <w:t xml:space="preserve"> понижаются до 0,05.</w:t>
      </w:r>
    </w:p>
    <w:p w:rsidR="00C4374C" w:rsidRDefault="00522436">
      <w:pPr>
        <w:ind w:firstLine="708"/>
      </w:pPr>
      <w:r>
        <w:rPr>
          <w:color w:val="000000"/>
        </w:rPr>
        <w:t>Таблица 2.2.6</w:t>
      </w:r>
    </w:p>
    <w:p w:rsidR="00C4374C" w:rsidRDefault="00522436">
      <w:pPr>
        <w:ind w:firstLine="708"/>
      </w:pPr>
      <w:r>
        <w:rPr>
          <w:color w:val="000000"/>
        </w:rPr>
        <w:t xml:space="preserve">Балльная экспертная оценка под целевой сегмент Face2 </w:t>
      </w:r>
      <w:r w:rsidR="00875DD8">
        <w:rPr>
          <w:color w:val="000000"/>
        </w:rPr>
        <w:t>–</w:t>
      </w:r>
      <w:r>
        <w:rPr>
          <w:color w:val="000000"/>
        </w:rPr>
        <w:t xml:space="preserve"> B2B и B2G-заказчики со сценариями работы с физическими лицами через ЕБС в банковской экосистеме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"/>
        <w:gridCol w:w="4002"/>
        <w:gridCol w:w="1347"/>
        <w:gridCol w:w="672"/>
        <w:gridCol w:w="635"/>
        <w:gridCol w:w="1343"/>
        <w:gridCol w:w="1007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Критерий (КФУ)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Сегментный вес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Face2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Сбер</w:t>
            </w:r>
            <w:proofErr w:type="spellEnd"/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OVISION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Регуляторный статус: аккредитация КБС, статус оператора биометрии, право регистрации в ЕБС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0,30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Заявленные точность и скорость распознавания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0,05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Независимая верификация точности (NIST FRTE,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>, CVPR)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0,05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Продуктовая линейка под B2B и B2G сценарии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Географический охват и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база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0,05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Банковская и инфраструктурная экосистема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0,25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Собственный аппаратный стек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0,05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Антифрод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-функциональность: </w:t>
            </w:r>
            <w:proofErr w:type="spellStart"/>
            <w:r>
              <w:rPr>
                <w:color w:val="000000"/>
                <w:sz w:val="24"/>
                <w:szCs w:val="24"/>
              </w:rPr>
              <w:t>детекция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дипфейков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антиспуфинг</w:t>
            </w:r>
            <w:proofErr w:type="spellEnd"/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0,10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right"/>
            </w:pP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Взвешенный итоговый балл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1,00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4,10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4,25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4,10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3,50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оценки автора по данным [11, с. 39; 25, с. 112; 27; 26, с. 17, 33; 38; 35; 40; 41]</w:t>
      </w:r>
    </w:p>
    <w:p w:rsidR="00C4374C" w:rsidRDefault="00522436">
      <w:pPr>
        <w:ind w:firstLine="708"/>
      </w:pPr>
      <w:r>
        <w:rPr>
          <w:color w:val="000000"/>
        </w:rPr>
        <w:t xml:space="preserve">Лидерство по целевому сегменту удерживает </w:t>
      </w:r>
      <w:proofErr w:type="spellStart"/>
      <w:r>
        <w:rPr>
          <w:color w:val="000000"/>
        </w:rPr>
        <w:t>Сбер</w:t>
      </w:r>
      <w:proofErr w:type="spellEnd"/>
      <w:r>
        <w:rPr>
          <w:color w:val="000000"/>
        </w:rPr>
        <w:t xml:space="preserve"> за счёт федерального охвата и многоконтурной </w:t>
      </w:r>
      <w:proofErr w:type="spellStart"/>
      <w:r>
        <w:rPr>
          <w:color w:val="000000"/>
        </w:rPr>
        <w:t>антифрод</w:t>
      </w:r>
      <w:proofErr w:type="spellEnd"/>
      <w:r>
        <w:rPr>
          <w:color w:val="000000"/>
        </w:rPr>
        <w:t xml:space="preserve">-защиты [38]. Face2 разделяет вторую позицию с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, опережая OVISION на 0,60 балла за счёт регуляторного </w:t>
      </w:r>
      <w:r>
        <w:rPr>
          <w:color w:val="000000"/>
        </w:rPr>
        <w:lastRenderedPageBreak/>
        <w:t xml:space="preserve">статуса банка-оператора биометрии и собственной банковской экосистемы [27; 26, с. 17, 33; 35]. Балльный расчёт подтверждает качественный вывод параграфа: Face2 не претендует на универсальное лидерство, но входит в группу лидеров своего целевого сегмента </w:t>
      </w:r>
      <w:r w:rsidR="00875DD8">
        <w:rPr>
          <w:color w:val="000000"/>
        </w:rPr>
        <w:t>–</w:t>
      </w:r>
      <w:r>
        <w:rPr>
          <w:color w:val="000000"/>
        </w:rPr>
        <w:t xml:space="preserve"> B2B и B2G-заказчиков со смешанными сценариями платежей, прохода и подтверждения возраста на биометрии физических лиц через ЕБС.</w:t>
      </w:r>
    </w:p>
    <w:p w:rsidR="00C4374C" w:rsidRDefault="00522436">
      <w:pPr>
        <w:ind w:firstLine="708"/>
      </w:pPr>
      <w:r>
        <w:rPr>
          <w:color w:val="000000"/>
        </w:rPr>
        <w:t xml:space="preserve">Полученный результат чувствителен к выбору весов: при равных весах (по 0,125 на каждый критерий) первое место занимает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(≈ 4,38) за счёт независимой верификации точности, продуктовой полноты и </w:t>
      </w:r>
      <w:proofErr w:type="spellStart"/>
      <w:r>
        <w:rPr>
          <w:color w:val="000000"/>
        </w:rPr>
        <w:t>антифрод</w:t>
      </w:r>
      <w:proofErr w:type="spellEnd"/>
      <w:r>
        <w:rPr>
          <w:color w:val="000000"/>
        </w:rPr>
        <w:t xml:space="preserve">-функциональности, второе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Сбер</w:t>
      </w:r>
      <w:proofErr w:type="spellEnd"/>
      <w:r>
        <w:rPr>
          <w:color w:val="000000"/>
        </w:rPr>
        <w:t xml:space="preserve"> и OVISION с одинаковым средним (≈ 3,75), Face2 опускается на четвёртую позицию (≈ 3,38). Использованная в таблице 2.2.6 шкала весов настроена под целевой сегмент Face2 (B2B/B2G со сценариями работы с физическими лицами через ЕБС в банковской экосистеме) и поэтому даёт повышенную оценку именно для этого сегмента; для других сегментов рынка ранжирование изменится. Это не методологическая слабость, а свойство сегментно-ориентированной балльной оценки: она измеряет соответствие игрока заданному сегменту, а не универсальную «силу» решения.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Конкурентная позиция Face2 на российском рынке биометрии</w:t>
      </w:r>
    </w:p>
    <w:p w:rsidR="00C4374C" w:rsidRDefault="00522436">
      <w:pPr>
        <w:ind w:firstLine="708"/>
      </w:pPr>
      <w:r>
        <w:rPr>
          <w:color w:val="000000"/>
        </w:rPr>
        <w:t xml:space="preserve">Жёсткая регуляторная рамка 572-ФЗ и закона № 115-ФЗ ограничивает круг операторов биометрии до организаций, аккредитованных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, и до банков, имеющих право регистрации векторов в ЕБС [1; 27; 35]; именно внутри этого ограниченного поля и формируется собственный конкурентный сегмент Face2 </w:t>
      </w:r>
      <w:r w:rsidR="00875DD8">
        <w:rPr>
          <w:color w:val="000000"/>
        </w:rPr>
        <w:t>–</w:t>
      </w:r>
      <w:r>
        <w:rPr>
          <w:color w:val="000000"/>
        </w:rPr>
        <w:t xml:space="preserve"> B2B и B2G-заказчики со сценариями, где одновременно нужны работа с физическими лицами через ЕБС, банковская инфраструктура и продуктовая линейка под платежи, проход и подтверждение возраста. Face2 не конкурирует со </w:t>
      </w:r>
      <w:proofErr w:type="spellStart"/>
      <w:r>
        <w:rPr>
          <w:color w:val="000000"/>
        </w:rPr>
        <w:t>Сбером</w:t>
      </w:r>
      <w:proofErr w:type="spellEnd"/>
      <w:r>
        <w:rPr>
          <w:color w:val="000000"/>
        </w:rPr>
        <w:t xml:space="preserve"> по объёму, с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по верификации алгоритмов и международному охвату, с OVISION </w:t>
      </w:r>
      <w:r w:rsidR="00875DD8">
        <w:rPr>
          <w:color w:val="000000"/>
        </w:rPr>
        <w:t>–</w:t>
      </w:r>
      <w:r>
        <w:rPr>
          <w:color w:val="000000"/>
        </w:rPr>
        <w:t xml:space="preserve"> по аппаратному стеку, но в собственном сегменте получает уникальную для рынка комбинацию преимуществ: статус оператора по № 115-ФЗ под № 101 в перечне Банка России, аккредитацию КБС </w:t>
      </w:r>
      <w:r>
        <w:rPr>
          <w:color w:val="000000"/>
        </w:rPr>
        <w:lastRenderedPageBreak/>
        <w:t xml:space="preserve">№ 4-А от 15.11.2023, шестилетний стаж работы с ЕБС, банковскую экосистему и первую </w:t>
      </w:r>
      <w:proofErr w:type="spellStart"/>
      <w:r>
        <w:rPr>
          <w:color w:val="000000"/>
        </w:rPr>
        <w:t>референтную</w:t>
      </w:r>
      <w:proofErr w:type="spellEnd"/>
      <w:r>
        <w:rPr>
          <w:color w:val="000000"/>
        </w:rPr>
        <w:t xml:space="preserve"> базу федерального уровня в проектах с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, Минтрансом, ЦБТ и НСПК [27; 26, с. 4, 17, 30–31, 33; 35]. Ограничения позиции </w:t>
      </w:r>
      <w:r w:rsidR="00875DD8">
        <w:rPr>
          <w:color w:val="000000"/>
        </w:rPr>
        <w:t>–</w:t>
      </w:r>
      <w:r>
        <w:rPr>
          <w:color w:val="000000"/>
        </w:rPr>
        <w:t xml:space="preserve"> локальный географический охват и публично не зафиксированные независимая верификация точности и отдельное решение по </w:t>
      </w:r>
      <w:proofErr w:type="spellStart"/>
      <w:r>
        <w:rPr>
          <w:color w:val="000000"/>
        </w:rPr>
        <w:t>детекции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дипфейков</w:t>
      </w:r>
      <w:proofErr w:type="spellEnd"/>
      <w:r>
        <w:rPr>
          <w:color w:val="000000"/>
        </w:rPr>
        <w:t xml:space="preserve">. Драйверы спроса работают в пользу Face2 одновременно: ужесточение ответственности по 420-ФЗ и 421-ФЗ вытесняет неаккредитованные локальные решения, а девятикратный годовой рост биометрических платежей и 10+ млн зарегистрированных в ЕБС создают эффект повседневности и снимают часть барьера доверия [27; 32]. Управленческое следствие для главы 3 </w:t>
      </w:r>
      <w:r w:rsidR="00875DD8">
        <w:rPr>
          <w:color w:val="000000"/>
        </w:rPr>
        <w:t>–</w:t>
      </w:r>
      <w:r>
        <w:rPr>
          <w:color w:val="000000"/>
        </w:rPr>
        <w:t xml:space="preserve"> анализ должен сосредоточиться не на технологических доработках, а на маркетинговых инструментах: насколько текущее продвижение продукта соответствует уже занятой банком конкурентной нише, какие каналы коммуникации задействованы и где находятся пробелы относительно сильных сторон, выявленных выше. Этому посвящён параграф 2.3.</w:t>
      </w:r>
    </w:p>
    <w:p w:rsidR="00C4374C" w:rsidRDefault="00C4374C">
      <w:pPr>
        <w:spacing w:line="240" w:lineRule="auto"/>
      </w:pP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2.3. Анализ текущего продвижения продукта и его позиции на рынке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Постановка задачи и метод анализа</w:t>
      </w:r>
    </w:p>
    <w:p w:rsidR="00C4374C" w:rsidRDefault="00522436">
      <w:pPr>
        <w:ind w:firstLine="708"/>
      </w:pPr>
      <w:r>
        <w:rPr>
          <w:color w:val="000000"/>
        </w:rPr>
        <w:t xml:space="preserve">Опираясь на конкурентную позицию Face2, зафиксированную в параграфе 2.2, настоящий параграф проверяет, насколько текущая практика продвижения соответствует уже занятой банком нише, какие каналы и сегменты задействованы и где находятся пробелы. Текущее продвижение рассматривается через четыре аналитические рамки, введённые в параграфах 1.2 и 1.3: модель STP, расширенный комплекс маркетинга 7P (с особым весом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для биометрии), маркетинговая воронка с обязательным этапом «Доверие» и карта каналов из таблицы 1.2.2 в её биометрической конфигурации. Эмпирическая база </w:t>
      </w:r>
      <w:r w:rsidR="00875DD8">
        <w:rPr>
          <w:color w:val="000000"/>
        </w:rPr>
        <w:t>–</w:t>
      </w:r>
      <w:r>
        <w:rPr>
          <w:color w:val="000000"/>
        </w:rPr>
        <w:t xml:space="preserve"> корпоративные материалы по продукту [27], годовой отчёт банка за 2024 год [26], проектная карточка </w:t>
      </w:r>
      <w:proofErr w:type="spellStart"/>
      <w:r>
        <w:rPr>
          <w:color w:val="000000"/>
        </w:rPr>
        <w:t>TAdviser</w:t>
      </w:r>
      <w:proofErr w:type="spellEnd"/>
      <w:r>
        <w:rPr>
          <w:color w:val="000000"/>
        </w:rPr>
        <w:t xml:space="preserve"> о подключении АББ к ЕБС </w:t>
      </w:r>
      <w:r>
        <w:rPr>
          <w:color w:val="000000"/>
        </w:rPr>
        <w:lastRenderedPageBreak/>
        <w:t>в 2018 году [39], перечень банков по № 115-ФЗ [35] и рыночный фон по данным Банка России и деловой прессы [38; 32].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 xml:space="preserve">Сегментация, </w:t>
      </w:r>
      <w:proofErr w:type="spellStart"/>
      <w:r>
        <w:rPr>
          <w:b/>
          <w:bCs/>
          <w:color w:val="000000"/>
        </w:rPr>
        <w:t>таргетинг</w:t>
      </w:r>
      <w:proofErr w:type="spellEnd"/>
      <w:r>
        <w:rPr>
          <w:b/>
          <w:bCs/>
          <w:color w:val="000000"/>
        </w:rPr>
        <w:t xml:space="preserve"> и позиционирование Face2</w:t>
      </w:r>
    </w:p>
    <w:p w:rsidR="00C4374C" w:rsidRDefault="00522436">
      <w:pPr>
        <w:ind w:firstLine="708"/>
      </w:pPr>
      <w:r>
        <w:rPr>
          <w:color w:val="000000"/>
        </w:rPr>
        <w:t xml:space="preserve">Продуктовая линейка Face2, описанная в параграфе 2.1, формирует адресный набор сегментов: каждое из четырёх продуктов закрывает собственный тип заказчика и сценарий использования. На уровне коммуникации между заявленным продуктовым сегментом и реальной публичной активностью банка возможен зазор </w:t>
      </w:r>
      <w:r w:rsidR="00875DD8">
        <w:rPr>
          <w:color w:val="000000"/>
        </w:rPr>
        <w:t>–</w:t>
      </w:r>
      <w:r>
        <w:rPr>
          <w:color w:val="000000"/>
        </w:rPr>
        <w:t xml:space="preserve"> продукт может быть выведен на рынок </w:t>
      </w:r>
      <w:proofErr w:type="spellStart"/>
      <w:r>
        <w:rPr>
          <w:color w:val="000000"/>
        </w:rPr>
        <w:t>продуктово</w:t>
      </w:r>
      <w:proofErr w:type="spellEnd"/>
      <w:r>
        <w:rPr>
          <w:color w:val="000000"/>
        </w:rPr>
        <w:t>, но не выведен коммуникативно. Сопоставление шести сегментов рынка из таблицы 2.2.2 с тем, как они отыграны в публичных коммуникациях Face2, дано в таблице 2.3.1.</w:t>
      </w:r>
    </w:p>
    <w:p w:rsidR="00C4374C" w:rsidRDefault="00522436">
      <w:pPr>
        <w:ind w:firstLine="708"/>
      </w:pPr>
      <w:r>
        <w:rPr>
          <w:color w:val="000000"/>
        </w:rPr>
        <w:t>Таблица 2.3.1</w:t>
      </w:r>
    </w:p>
    <w:p w:rsidR="00C4374C" w:rsidRDefault="00522436">
      <w:pPr>
        <w:ind w:firstLine="708"/>
      </w:pPr>
      <w:r>
        <w:rPr>
          <w:color w:val="000000"/>
        </w:rPr>
        <w:t>Сегментная карта продвижения Face2: продуктовая декларация и реальная коммуникативная активность</w:t>
      </w: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2012"/>
        <w:gridCol w:w="3231"/>
        <w:gridCol w:w="1990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Сегмент рынка (по табл. 2.2.2)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Продукт линейки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Реальная коммуникативная активность Face2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 активности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Финансовый сектор: B2C-биоэквайринг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Face2Pay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Оплата по биометрии в мобильном приложении АБО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Внутренний продукт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Финансовый сектор: B2B (КБС для банков и МФО)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КБС под ключ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Заявлена в линейке; публичных кейсов нет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Декларация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Транспорт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Face2Pay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Биоэквайринг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через СБП в Казанском метро (с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>, Минтрансом, ЦБТ, НСПК)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Действующий пилот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Государственная идентификация / B2G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КБС под ключ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Карта жителя РТ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450 131 карта на 01.01.2025; биометрию можно сдать в приложении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Действующий пилот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СКУД: внутренний контур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Face2Pass + Face2Pass.Terminal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5 000+ сотрудников АББ; 200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  <w:r>
              <w:rPr>
                <w:color w:val="000000"/>
                <w:sz w:val="24"/>
                <w:szCs w:val="24"/>
              </w:rPr>
              <w:t>; внешние внедрения 200/500/5 000/15 000 векторов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Производственный кейс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СКУД: внешние коммерческие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Face2Pass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Возможность заявлена, конкретные кейсы не названы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Декларация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Ритейл / возрастная верификация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Face2Check-in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Заявлен в 2025 году, кейсов нет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Декларация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Гостиничный сектор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Face2Check-in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Заявлено заселение без паспорта, кейсов нет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Декларация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Социально-культурный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Face2Pass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Электронный читательский билет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вход в </w:t>
            </w:r>
            <w:proofErr w:type="spellStart"/>
            <w:r>
              <w:rPr>
                <w:color w:val="000000"/>
                <w:sz w:val="24"/>
                <w:szCs w:val="24"/>
              </w:rPr>
              <w:t>Нацбиблиотеку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РТ по биометрии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Действующий пилот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Биоэквайринг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через СБП на POS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Face2Pay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Запущен пилот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Пилот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[27; 26, с. 28–33]</w:t>
      </w:r>
    </w:p>
    <w:p w:rsidR="00C4374C" w:rsidRDefault="00522436">
      <w:pPr>
        <w:ind w:firstLine="708"/>
      </w:pPr>
      <w:r>
        <w:rPr>
          <w:color w:val="000000"/>
        </w:rPr>
        <w:t xml:space="preserve">Сопоставление в таблице 2.3.1 показывает, что из шести сегментов рынка коммуникативно активно охвачены четыре </w:t>
      </w:r>
      <w:r w:rsidR="00875DD8">
        <w:rPr>
          <w:color w:val="000000"/>
        </w:rPr>
        <w:t>–</w:t>
      </w:r>
      <w:r>
        <w:rPr>
          <w:color w:val="000000"/>
        </w:rPr>
        <w:t xml:space="preserve"> финансовый, транспортный, государственный (через социальную инфраструктуру РТ) и СКУД (через внутренний контур банка). Сегменты «гостиничный» и «возрастная верификация в ритейле» заявлены в продуктовой линейке, но публичные </w:t>
      </w:r>
      <w:proofErr w:type="spellStart"/>
      <w:r>
        <w:rPr>
          <w:color w:val="000000"/>
        </w:rPr>
        <w:t>референсные</w:t>
      </w:r>
      <w:proofErr w:type="spellEnd"/>
      <w:r>
        <w:rPr>
          <w:color w:val="000000"/>
        </w:rPr>
        <w:t xml:space="preserve"> кейсы по ним отсутствуют. Это первый зафиксированный пробел продвижения </w:t>
      </w:r>
      <w:r w:rsidR="00875DD8">
        <w:rPr>
          <w:color w:val="000000"/>
        </w:rPr>
        <w:t>–</w:t>
      </w:r>
      <w:r>
        <w:rPr>
          <w:color w:val="000000"/>
        </w:rPr>
        <w:t xml:space="preserve"> сегментный.</w:t>
      </w:r>
    </w:p>
    <w:p w:rsidR="00C4374C" w:rsidRDefault="00522436">
      <w:pPr>
        <w:ind w:firstLine="708"/>
      </w:pPr>
      <w:proofErr w:type="spellStart"/>
      <w:r>
        <w:rPr>
          <w:color w:val="000000"/>
        </w:rPr>
        <w:t>Таргетинг</w:t>
      </w:r>
      <w:proofErr w:type="spellEnd"/>
      <w:r>
        <w:rPr>
          <w:color w:val="000000"/>
        </w:rPr>
        <w:t xml:space="preserve"> продвижения сосредоточен по двум осям. Географическая ось </w:t>
      </w:r>
      <w:r w:rsidR="00875DD8">
        <w:rPr>
          <w:color w:val="000000"/>
        </w:rPr>
        <w:t>–</w:t>
      </w:r>
      <w:r>
        <w:rPr>
          <w:color w:val="000000"/>
        </w:rPr>
        <w:t xml:space="preserve"> Республика Татарстан плюс точечные федеральные пилоты в связке с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РФ, Минтрансом РФ, Центром биометрических технологий и Национальной системой платёжных карт [26, с. 30–31]. По оси типа заказчика основные ресурсы направлены на B2B и B2G, а массовый B2C-сегмент охвачен только через банковскую экосистему в пределах Татарстана </w:t>
      </w:r>
      <w:r w:rsidR="00875DD8">
        <w:rPr>
          <w:color w:val="000000"/>
        </w:rPr>
        <w:t>–</w:t>
      </w:r>
      <w:r>
        <w:rPr>
          <w:color w:val="000000"/>
        </w:rPr>
        <w:t xml:space="preserve"> мобильное приложение АБО, приложение «Карта жителя РТ» и портал государственных услуг РТ через СБП (количественные показатели приведены в параграфе 2.1) [26, с. 17, 28–29, 33]. Эта концентрация одновременно использует региональное преимущество и ограничивает рыночный охват за пределами региона.</w:t>
      </w:r>
    </w:p>
    <w:p w:rsidR="00C4374C" w:rsidRDefault="00522436">
      <w:pPr>
        <w:ind w:firstLine="708"/>
      </w:pPr>
      <w:r>
        <w:rPr>
          <w:color w:val="000000"/>
        </w:rPr>
        <w:t xml:space="preserve">Позиционирование Face2 в открытых коммуникациях опирается на четыре содержательных оси: регуляторный статус (оператор КБС с аккредитацией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решением № 4-А от 15.11.2023, сертификация ФСБ и ФСТЭК, реестр отечественного ПО), архитектурная безопасность (хранение биометрических векторов в ГИС ЕБС, опора на государственную инфраструктуру), технологичность (заявленная точность 99,5%, время сканирования около двух секунд) и противопоставление локальным биометриям, нарушающим 572-ФЗ </w:t>
      </w:r>
      <w:r>
        <w:rPr>
          <w:color w:val="000000"/>
        </w:rPr>
        <w:lastRenderedPageBreak/>
        <w:t xml:space="preserve">[27]. Дополнительная опорная ось </w:t>
      </w:r>
      <w:r w:rsidR="00875DD8">
        <w:rPr>
          <w:color w:val="000000"/>
        </w:rPr>
        <w:t>–</w:t>
      </w:r>
      <w:r>
        <w:rPr>
          <w:color w:val="000000"/>
        </w:rPr>
        <w:t xml:space="preserve"> ассоциация с банковской инфраструктурой АББ: рейтинги «A» по национальной шкале, ESG-A, статус оператора по № 115-ФЗ под номером 101 в перечне Банка России [26, с. 4; 35]. Содержательно это позиционирование точно соответствует конкурентной нише, выявленной в параграфе 2.2.</w:t>
      </w:r>
    </w:p>
    <w:p w:rsidR="00C4374C" w:rsidRDefault="00522436">
      <w:pPr>
        <w:ind w:firstLine="708"/>
      </w:pPr>
      <w:r>
        <w:rPr>
          <w:color w:val="000000"/>
        </w:rPr>
        <w:t xml:space="preserve">Однако исходная маркетинговая гипотеза, на которой строилось продвижение, </w:t>
      </w:r>
      <w:r w:rsidR="00875DD8">
        <w:rPr>
          <w:color w:val="000000"/>
        </w:rPr>
        <w:t>–</w:t>
      </w:r>
      <w:r>
        <w:rPr>
          <w:color w:val="000000"/>
        </w:rPr>
        <w:t xml:space="preserve"> гипотеза органического спроса 2018 года, рассчитывавшая на «рост интереса по мере планомерного перевода государственных услуг в систему ЕСИА» [39], </w:t>
      </w:r>
      <w:r w:rsidR="00875DD8">
        <w:rPr>
          <w:color w:val="000000"/>
        </w:rPr>
        <w:t>–</w:t>
      </w:r>
      <w:r>
        <w:rPr>
          <w:color w:val="000000"/>
        </w:rPr>
        <w:t xml:space="preserve"> рынком 2025 года уже не подтверждается. Девятикратный рост числа биометрических платежей за 9 месяцев 2025 года к аналогичному периоду 2024 года, оборот 112,5 млрд рублей и более 10 млн пользователей ЕБС [32] показывают, что рынок перешёл в фазу зрелого спроса с активной конкурентной борьбой за долю, и пассивная стратегия органического притяжения проигрывает активной стратегии </w:t>
      </w:r>
      <w:proofErr w:type="spellStart"/>
      <w:r>
        <w:rPr>
          <w:color w:val="000000"/>
        </w:rPr>
        <w:t>Сбера</w:t>
      </w:r>
      <w:proofErr w:type="spellEnd"/>
      <w:r>
        <w:rPr>
          <w:color w:val="000000"/>
        </w:rPr>
        <w:t xml:space="preserve"> с парком в 700 тыс. терминалов и оборотом 116 млрд рублей за 2025 год [38]. Несоответствие между фазой рынка и исходной маркетинговой гипотезой банка </w:t>
      </w:r>
      <w:r w:rsidR="00875DD8">
        <w:rPr>
          <w:color w:val="000000"/>
        </w:rPr>
        <w:t>–</w:t>
      </w:r>
      <w:r>
        <w:rPr>
          <w:color w:val="000000"/>
        </w:rPr>
        <w:t xml:space="preserve"> фундаментальная характеристика текущего продвижения Face2.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Инвентаризация каналов продвижения</w:t>
      </w:r>
    </w:p>
    <w:p w:rsidR="00C4374C" w:rsidRDefault="00522436">
      <w:pPr>
        <w:ind w:firstLine="708"/>
      </w:pPr>
      <w:r>
        <w:rPr>
          <w:color w:val="000000"/>
        </w:rPr>
        <w:t xml:space="preserve">Сетка каналов из таблицы 1.2.2 в параграфе 1.3 переконфигурирована для биометрии: вес массовой рекламы снижен, удельный вес образовательно-демонстрационных и экспертных форматов повышен,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в B2B/B2G сочетается с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 в B2C при первичности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. Инвентаризация каналов Face2 по этой сетке дана в таблице 2.3.2.</w:t>
      </w:r>
    </w:p>
    <w:p w:rsidR="00C4374C" w:rsidRDefault="00522436">
      <w:pPr>
        <w:ind w:firstLine="708"/>
      </w:pPr>
      <w:r>
        <w:rPr>
          <w:color w:val="000000"/>
        </w:rPr>
        <w:t>Таблица 2.3.2</w:t>
      </w:r>
    </w:p>
    <w:p w:rsidR="00C4374C" w:rsidRDefault="00522436">
      <w:pPr>
        <w:ind w:firstLine="708"/>
      </w:pPr>
      <w:r>
        <w:rPr>
          <w:color w:val="000000"/>
        </w:rPr>
        <w:t>Инвентаризация каналов продвижения Face2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Канал из табл. 1.2.2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Реализация у Face2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Метрика / факт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Оценка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Внутренний контур банка как «послы бренда»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Сотрудники-пользователи продукта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5 000+ сотрудников АББ; 200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сильный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Партнёрские каналы федерального уровня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Связка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Минтранс + ЦБТ + НСПК в одном проекте; АО «Социальная карта» по Карте жителя РТ; Ростелеком (подключение к ЕБС в 2018 г.)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Биоэквайринг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Казанском метро как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</w:t>
            </w:r>
            <w:proofErr w:type="spellEnd"/>
            <w:r>
              <w:rPr>
                <w:color w:val="000000"/>
                <w:sz w:val="24"/>
                <w:szCs w:val="24"/>
              </w:rPr>
              <w:t>; 450 131 действующая Карта жителя РТ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сильный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Демонстрационные каналы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Пилоты в Казанском метро, </w:t>
            </w:r>
            <w:proofErr w:type="spellStart"/>
            <w:r>
              <w:rPr>
                <w:color w:val="000000"/>
                <w:sz w:val="24"/>
                <w:szCs w:val="24"/>
              </w:rPr>
              <w:t>Нацбиблиотеке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РТ; </w:t>
            </w:r>
            <w:proofErr w:type="spellStart"/>
            <w:r>
              <w:rPr>
                <w:color w:val="000000"/>
                <w:sz w:val="24"/>
                <w:szCs w:val="24"/>
              </w:rPr>
              <w:t>биоэквайринг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через СБП на POS, оплата в АБО, заселение в гостиницу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200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офисах как постоянная </w:t>
            </w:r>
            <w:proofErr w:type="spellStart"/>
            <w:r>
              <w:rPr>
                <w:color w:val="000000"/>
                <w:sz w:val="24"/>
                <w:szCs w:val="24"/>
              </w:rPr>
              <w:t>демосеть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сильный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Цифровые каналы банка как носитель Face2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Оплата по биометрии в АБО; сдача биометрии в приложении «Карта жителя РТ»; портал </w:t>
            </w:r>
            <w:proofErr w:type="spellStart"/>
            <w:r>
              <w:rPr>
                <w:color w:val="000000"/>
                <w:sz w:val="24"/>
                <w:szCs w:val="24"/>
              </w:rPr>
              <w:t>госуслуг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РТ через СБП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930 тыс. активных в АБО, 12 млн транзакций за 2024 г.; 1,2 млн транзакций через СБП на портале </w:t>
            </w:r>
            <w:proofErr w:type="spellStart"/>
            <w:r>
              <w:rPr>
                <w:color w:val="000000"/>
                <w:sz w:val="24"/>
                <w:szCs w:val="24"/>
              </w:rPr>
              <w:t>госуслуг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средний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Face2 встроен как функционал, не как самостоятельный бренд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Сайт продукта (face2.ru) и сайт банка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Сайт-визитка с описанием продукта; контакт продаж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Салахов А. А.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Формы заявки, ROI-калькулятора и витрины кейсов в открытых данных не зафиксировано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Прямые продажи (B2B/B2G)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Классическая B2B-модель через одного публичного контактного менеджера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Один публичный контакт продаж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средний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эффективен при исходящем поиске, не утилизирует входящий интерес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PR в деловых СМИ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Точечные релизы, преимущественно в татарстанских изданиях; в федеральной прессе АББ упомянут без отдельной </w:t>
            </w:r>
            <w:proofErr w:type="spellStart"/>
            <w:r>
              <w:rPr>
                <w:color w:val="000000"/>
                <w:sz w:val="24"/>
                <w:szCs w:val="24"/>
              </w:rPr>
              <w:t>редпрограммы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Один полнотекстовый материал федерального уровня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TAdviser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(10.07.2018) [39]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Отраслевые мероприятия (FINOPOLIS, конференции по биометрии)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Участие в форумах заявлено, программа выступлений по Face2 в открытых источниках не зафиксирована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Публичная программа выступлений по Face2 в открытых данных не зафиксирована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Соцсети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под отдельным брендом Face2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Отдельных сообществ под брендом не зафиксировано; продукт идёт «внутри» аккаунтов АББ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Соцсети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АББ описаны как канал работы с обращениями розничных клиентов в целом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слабый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Контент-маркетинг и экспертная база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Разъяснения 572-ФЗ и схемы ГИС ЕБС → КБС → продукт точечно в </w:t>
            </w:r>
            <w:proofErr w:type="spellStart"/>
            <w:r>
              <w:rPr>
                <w:color w:val="000000"/>
                <w:sz w:val="24"/>
                <w:szCs w:val="24"/>
              </w:rPr>
              <w:t>корпматериалах</w:t>
            </w:r>
            <w:proofErr w:type="spellEnd"/>
            <w:r>
              <w:rPr>
                <w:color w:val="000000"/>
                <w:sz w:val="24"/>
                <w:szCs w:val="24"/>
              </w:rPr>
              <w:t>; систематической рубрики нет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Для сравнения: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ведёт блог на </w:t>
            </w:r>
            <w:proofErr w:type="spellStart"/>
            <w:r>
              <w:rPr>
                <w:color w:val="000000"/>
                <w:sz w:val="24"/>
                <w:szCs w:val="24"/>
              </w:rPr>
              <w:t>Habr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[40], OVISION публикует кейсы РЖД, </w:t>
            </w:r>
            <w:proofErr w:type="spellStart"/>
            <w:r>
              <w:rPr>
                <w:color w:val="000000"/>
                <w:sz w:val="24"/>
                <w:szCs w:val="24"/>
              </w:rPr>
              <w:t>Мосэнергосбыта</w:t>
            </w:r>
            <w:proofErr w:type="spellEnd"/>
            <w:r>
              <w:rPr>
                <w:color w:val="000000"/>
                <w:sz w:val="24"/>
                <w:szCs w:val="24"/>
              </w:rPr>
              <w:t>, Правительства Тульской области [41]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слабый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[27; 26, с. 28–33; 40; 32; 41; 39]</w:t>
      </w:r>
    </w:p>
    <w:p w:rsidR="00C4374C" w:rsidRDefault="00522436">
      <w:pPr>
        <w:ind w:firstLine="708"/>
      </w:pPr>
      <w:r>
        <w:rPr>
          <w:color w:val="000000"/>
        </w:rPr>
        <w:t xml:space="preserve">Раскладка показывает, что у Face2 три канала развиты сильно, четыре </w:t>
      </w:r>
      <w:r w:rsidR="00875DD8">
        <w:rPr>
          <w:color w:val="000000"/>
        </w:rPr>
        <w:t>–</w:t>
      </w:r>
      <w:r>
        <w:rPr>
          <w:color w:val="000000"/>
        </w:rPr>
        <w:t xml:space="preserve"> на среднем уровне, два </w:t>
      </w:r>
      <w:r w:rsidR="00875DD8">
        <w:rPr>
          <w:color w:val="000000"/>
        </w:rPr>
        <w:t>–</w:t>
      </w:r>
      <w:r>
        <w:rPr>
          <w:color w:val="000000"/>
        </w:rPr>
        <w:t xml:space="preserve"> слабо или отсутствуют. Сильный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-контур образуют внутренний контур банка (5 000+ сотрудников × 200 </w:t>
      </w:r>
      <w:proofErr w:type="spellStart"/>
      <w:r>
        <w:rPr>
          <w:color w:val="000000"/>
        </w:rPr>
        <w:t>биотерминалов</w:t>
      </w:r>
      <w:proofErr w:type="spellEnd"/>
      <w:r>
        <w:rPr>
          <w:color w:val="000000"/>
        </w:rPr>
        <w:t xml:space="preserve"> как естественный «полигон» отладки клиентского опыта и сообщество ранних последователей), партнёрские каналы федерального уровня (одновременная связка с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>, Минтрансом, ЦБТ и НСПК в одном проекте не имеет публично подтверждённых аналогов на рынке [40; 41]) и демонстрационные каналы внутри Татарстана.</w:t>
      </w:r>
    </w:p>
    <w:p w:rsidR="00C4374C" w:rsidRDefault="00522436">
      <w:pPr>
        <w:ind w:firstLine="708"/>
      </w:pPr>
      <w:r>
        <w:rPr>
          <w:color w:val="000000"/>
        </w:rPr>
        <w:t xml:space="preserve">Средняя группа каналов работает, но с интенсивностью значительно ниже, чем у конкурентов: канал прямых продаж замкнут на одного контактного менеджера [27] и не утилизирует входящий интерес, сайт face2.ru представляет продукт, но автоматическая </w:t>
      </w:r>
      <w:proofErr w:type="spellStart"/>
      <w:r>
        <w:rPr>
          <w:color w:val="000000"/>
        </w:rPr>
        <w:t>лидогенерация</w:t>
      </w:r>
      <w:proofErr w:type="spellEnd"/>
      <w:r>
        <w:rPr>
          <w:color w:val="000000"/>
        </w:rPr>
        <w:t xml:space="preserve"> (форма заявки, ROI-калькулятор, чат-бот) и публичная витрина коммерческих кейсов в открытых данных не зафиксированы. Третья группа </w:t>
      </w:r>
      <w:r w:rsidR="00875DD8">
        <w:rPr>
          <w:color w:val="000000"/>
        </w:rPr>
        <w:t>–</w:t>
      </w:r>
      <w:r>
        <w:rPr>
          <w:color w:val="000000"/>
        </w:rPr>
        <w:t xml:space="preserve"> отсутствие отдельного бренда Face2 в социальных сетях и фрагментарность экспертного контента: работа с </w:t>
      </w:r>
      <w:proofErr w:type="spellStart"/>
      <w:r>
        <w:rPr>
          <w:color w:val="000000"/>
        </w:rPr>
        <w:t>соцсетями</w:t>
      </w:r>
      <w:proofErr w:type="spellEnd"/>
      <w:r>
        <w:rPr>
          <w:color w:val="000000"/>
        </w:rPr>
        <w:t xml:space="preserve"> описана в годовом отчёте 2024 года как канал работы с обращениями розничных клиентов в целом по банку [26, с. 33], систематических активностей под брендом Face2 публично не зафиксировано, тогда как у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ведётся корпоративный блог на </w:t>
      </w:r>
      <w:proofErr w:type="spellStart"/>
      <w:r>
        <w:rPr>
          <w:color w:val="000000"/>
        </w:rPr>
        <w:t>Habr</w:t>
      </w:r>
      <w:proofErr w:type="spellEnd"/>
      <w:r>
        <w:rPr>
          <w:color w:val="000000"/>
        </w:rPr>
        <w:t xml:space="preserve"> [40], OVISION публикует кейсы внедрений [41], а </w:t>
      </w:r>
      <w:proofErr w:type="spellStart"/>
      <w:r>
        <w:rPr>
          <w:color w:val="000000"/>
        </w:rPr>
        <w:t>Сбер</w:t>
      </w:r>
      <w:proofErr w:type="spellEnd"/>
      <w:r>
        <w:rPr>
          <w:color w:val="000000"/>
        </w:rPr>
        <w:t xml:space="preserve"> транслирует свою биометрию в массовых СМИ как «оплата улыбкой» [38].</w:t>
      </w:r>
    </w:p>
    <w:p w:rsidR="00C4374C" w:rsidRDefault="00522436">
      <w:pPr>
        <w:ind w:firstLine="708"/>
      </w:pPr>
      <w:r>
        <w:rPr>
          <w:color w:val="000000"/>
        </w:rPr>
        <w:t xml:space="preserve">Главный вывод инвентаризации каналов: коммуникационная архитектура Face2 асимметрична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-каналы (B2B/B2G, партнёрства, пилоты) работают сильно,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-каналы (массовые СМИ за пределами Татарстана, отдельный бренд в социальных сетях, экспертный контент) фрагментарны. Эта асимметрия </w:t>
      </w:r>
      <w:r>
        <w:rPr>
          <w:color w:val="000000"/>
        </w:rPr>
        <w:lastRenderedPageBreak/>
        <w:t>зеркально соответствует выводу параграфа 2.2 о локальном масштабе коммерческого присутствия: маркетинговая активность банка отражает географическую структуру его операций, а не потенциал рынка.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Реализация комплекса маркетинга 7P</w:t>
      </w:r>
    </w:p>
    <w:p w:rsidR="00C4374C" w:rsidRDefault="00522436">
      <w:pPr>
        <w:ind w:firstLine="708"/>
      </w:pPr>
      <w:r>
        <w:rPr>
          <w:color w:val="000000"/>
        </w:rPr>
        <w:t xml:space="preserve">Конфигурация 7P для биометрии, выведенная в параграфе 1.3, предполагает непропорционально высокий вес элементов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именно они закрывают психологический и </w:t>
      </w:r>
      <w:proofErr w:type="spellStart"/>
      <w:r>
        <w:rPr>
          <w:color w:val="000000"/>
        </w:rPr>
        <w:t>регуляторно-репутационный</w:t>
      </w:r>
      <w:proofErr w:type="spellEnd"/>
      <w:r>
        <w:rPr>
          <w:color w:val="000000"/>
        </w:rPr>
        <w:t xml:space="preserve"> барьеры сильнее, чем элементы </w:t>
      </w:r>
      <w:proofErr w:type="spellStart"/>
      <w:r>
        <w:rPr>
          <w:color w:val="000000"/>
        </w:rPr>
        <w:t>Promotion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Price</w:t>
      </w:r>
      <w:proofErr w:type="spellEnd"/>
      <w:r>
        <w:rPr>
          <w:color w:val="000000"/>
        </w:rPr>
        <w:t xml:space="preserve"> в их классической форме. Сопоставление этой конфигурации с реальной практикой Face2 дано в таблице 2.3.3.</w:t>
      </w:r>
    </w:p>
    <w:p w:rsidR="00C4374C" w:rsidRDefault="00522436">
      <w:pPr>
        <w:ind w:firstLine="708"/>
      </w:pPr>
      <w:r>
        <w:rPr>
          <w:color w:val="000000"/>
        </w:rPr>
        <w:t>Таблица 2.3.3</w:t>
      </w:r>
    </w:p>
    <w:p w:rsidR="00C4374C" w:rsidRDefault="00522436">
      <w:pPr>
        <w:ind w:firstLine="708"/>
      </w:pPr>
      <w:r>
        <w:rPr>
          <w:color w:val="000000"/>
        </w:rPr>
        <w:t>Реализация комплекса маркетинга 7P в продвижении Face2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"/>
        <w:gridCol w:w="2866"/>
        <w:gridCol w:w="2875"/>
        <w:gridCol w:w="2861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Элемент 7P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Что должно быть для биометрии (по 1.3)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Реализация у Face2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Оценка / пробел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Продуктовая вертикаль под банковский сценарий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Face2Pay, Face2Pass + Face2Pass.Terminal, Face2Check-in, КБС под ключ; </w:t>
            </w:r>
            <w:proofErr w:type="spellStart"/>
            <w:r>
              <w:rPr>
                <w:color w:val="000000"/>
                <w:sz w:val="24"/>
                <w:szCs w:val="24"/>
              </w:rPr>
              <w:t>видеоаналитика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(драки, упавшие люди, оружие, </w:t>
            </w:r>
            <w:proofErr w:type="spellStart"/>
            <w:r>
              <w:rPr>
                <w:color w:val="000000"/>
                <w:sz w:val="24"/>
                <w:szCs w:val="24"/>
              </w:rPr>
              <w:t>автономера</w:t>
            </w:r>
            <w:proofErr w:type="spellEnd"/>
            <w:r>
              <w:rPr>
                <w:color w:val="000000"/>
                <w:sz w:val="24"/>
                <w:szCs w:val="24"/>
              </w:rPr>
              <w:t>, подсчёт людей)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сильно; пробел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нет публичного решения по </w:t>
            </w:r>
            <w:proofErr w:type="spellStart"/>
            <w:r>
              <w:rPr>
                <w:color w:val="000000"/>
                <w:sz w:val="24"/>
                <w:szCs w:val="24"/>
              </w:rPr>
              <w:t>детекции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дипфейков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тогда как у конкурентов </w:t>
            </w:r>
            <w:proofErr w:type="spellStart"/>
            <w:r>
              <w:rPr>
                <w:color w:val="000000"/>
                <w:sz w:val="24"/>
                <w:szCs w:val="24"/>
              </w:rPr>
              <w:t>антифрод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вынесен в коммуникацию [38; 40; 41]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Прозрачные коммерческие условия для B2B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Цена не раскрывается; ROI-калькулятор отсутствует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слабо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каждое B2B-обращение начинается с нуля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Place</w:t>
            </w:r>
            <w:proofErr w:type="spellEnd"/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География + интеграция в инфраструктуру заказчика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Татарстан + федеральные пилоты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средне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публичной витрины кейсов вне РТ нет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Promotion</w:t>
            </w:r>
            <w:proofErr w:type="spellEnd"/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Образовательный контент, экспертные публикации, демонстрации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Пилоты, отдельные релизы, </w:t>
            </w:r>
            <w:proofErr w:type="spellStart"/>
            <w:r>
              <w:rPr>
                <w:color w:val="000000"/>
                <w:sz w:val="24"/>
                <w:szCs w:val="24"/>
              </w:rPr>
              <w:t>демозоны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офисах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средне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нет регулярного контент-конвейера и </w:t>
            </w:r>
            <w:proofErr w:type="spellStart"/>
            <w:r>
              <w:rPr>
                <w:color w:val="000000"/>
                <w:sz w:val="24"/>
                <w:szCs w:val="24"/>
              </w:rPr>
              <w:t>редпрограммы</w:t>
            </w:r>
            <w:proofErr w:type="spellEnd"/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People</w:t>
            </w:r>
            <w:proofErr w:type="spellEnd"/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Публичные эксперты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Один публичный контакт продаж (Салахов А. А.) [27]; в </w:t>
            </w:r>
            <w:proofErr w:type="spellStart"/>
            <w:r>
              <w:rPr>
                <w:color w:val="000000"/>
                <w:sz w:val="24"/>
                <w:szCs w:val="24"/>
              </w:rPr>
              <w:t>TAdviser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2018 г.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Д. </w:t>
            </w:r>
            <w:proofErr w:type="spellStart"/>
            <w:r>
              <w:rPr>
                <w:color w:val="000000"/>
                <w:sz w:val="24"/>
                <w:szCs w:val="24"/>
              </w:rPr>
              <w:t>Галиев</w:t>
            </w:r>
            <w:proofErr w:type="spellEnd"/>
            <w:r>
              <w:rPr>
                <w:color w:val="000000"/>
                <w:sz w:val="24"/>
                <w:szCs w:val="24"/>
              </w:rPr>
              <w:t>, рук. проектного офиса инновационного развития АББ [39]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слабо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нет линейки спикеров (CISO, юрист по 572-ФЗ, </w:t>
            </w:r>
            <w:proofErr w:type="spellStart"/>
            <w:r>
              <w:rPr>
                <w:color w:val="000000"/>
                <w:sz w:val="24"/>
                <w:szCs w:val="24"/>
              </w:rPr>
              <w:t>продакт</w:t>
            </w:r>
            <w:proofErr w:type="spellEnd"/>
            <w:r>
              <w:rPr>
                <w:color w:val="000000"/>
                <w:sz w:val="24"/>
                <w:szCs w:val="24"/>
              </w:rPr>
              <w:t>, разработка)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Process</w:t>
            </w:r>
            <w:proofErr w:type="spellEnd"/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Простой пользовательский путь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Четыре шага: «</w:t>
            </w:r>
            <w:proofErr w:type="spellStart"/>
            <w:r>
              <w:rPr>
                <w:color w:val="000000"/>
                <w:sz w:val="24"/>
                <w:szCs w:val="24"/>
              </w:rPr>
              <w:t>Госуслуги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Биометрия» → сдача упрощённой биометрии → согласие на использование вектора КБС АББ → проход / оплата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сильно содержательно, но узко по охвату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путь подробен в </w:t>
            </w:r>
            <w:proofErr w:type="spellStart"/>
            <w:r>
              <w:rPr>
                <w:color w:val="000000"/>
                <w:sz w:val="24"/>
                <w:szCs w:val="24"/>
              </w:rPr>
              <w:t>корпматериалах</w:t>
            </w:r>
            <w:proofErr w:type="spellEnd"/>
            <w:r>
              <w:rPr>
                <w:color w:val="000000"/>
                <w:sz w:val="24"/>
                <w:szCs w:val="24"/>
              </w:rPr>
              <w:t>, не упакован для массового читателя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Physical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evidence</w:t>
            </w:r>
            <w:proofErr w:type="spellEnd"/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Сертификаты, рейтинги, кейсы, независимая верификация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КБС, аккредитация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(Решение № 4-А от 15.11.2023), ФСБ, ФСТЭК, реестр отечественного ПО, статус оператора по № 115-ФЗ (№ 101 в перечне Банка России), стаж в ЕБС с 10.07.2018, рейтинги «A», ESG-A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сильно по формальным признакам; пробел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публично не зафиксирована независимая международная верификация точности (NIST FRTE,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CVPR), которой пользуется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[40]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[27; 26, с. 4, 28–33; 38; 35; 40; 41; 39]</w:t>
      </w:r>
    </w:p>
    <w:p w:rsidR="00C4374C" w:rsidRDefault="00522436">
      <w:pPr>
        <w:ind w:firstLine="708"/>
      </w:pPr>
      <w:r>
        <w:rPr>
          <w:color w:val="000000"/>
        </w:rPr>
        <w:t xml:space="preserve">Сопоставление в таблице 2.3.3 показывает, что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самый сильный элемент комплекса маркетинга Face2 по всем формальным признакам: полный набор регуляторных статусов (КБС, ФСБ, ФСТЭК, реестр отечественного ПО, оператор биометрии под № 101 в перечне Банка России [35], шестилетний стаж в ЕБС с 10 июля 2018 года [39]) выводит Face2 в группу из менее чем двухсот банков страны, имеющих все необходимые формальные статусы для работы с биометрией физических лиц. Однако этот регуляторный капитал транслируется языком, понятным специалистам по информационной безопасности и юристам, а не массовой аудитории, и поэтому не конвертируется в массовое сообщение «доверие» </w:t>
      </w:r>
      <w:r w:rsidR="00875DD8">
        <w:rPr>
          <w:color w:val="000000"/>
        </w:rPr>
        <w:t>–</w:t>
      </w:r>
      <w:r>
        <w:rPr>
          <w:color w:val="000000"/>
        </w:rPr>
        <w:t xml:space="preserve"> это </w:t>
      </w:r>
      <w:r>
        <w:rPr>
          <w:b/>
          <w:bCs/>
          <w:color w:val="000000"/>
        </w:rPr>
        <w:t>контентный пробел</w:t>
      </w:r>
      <w:r>
        <w:rPr>
          <w:color w:val="000000"/>
        </w:rPr>
        <w:t>, второй после сегментного.</w:t>
      </w:r>
    </w:p>
    <w:p w:rsidR="00C4374C" w:rsidRDefault="00522436">
      <w:pPr>
        <w:ind w:firstLine="708"/>
      </w:pPr>
      <w:r>
        <w:rPr>
          <w:color w:val="000000"/>
        </w:rPr>
        <w:t xml:space="preserve">Остальные элементы 7P формируют ещё три пробела. </w:t>
      </w:r>
      <w:proofErr w:type="spellStart"/>
      <w:r>
        <w:rPr>
          <w:b/>
          <w:bCs/>
          <w:color w:val="000000"/>
        </w:rPr>
        <w:t>People</w:t>
      </w:r>
      <w:proofErr w:type="spellEnd"/>
      <w:r>
        <w:rPr>
          <w:color w:val="000000"/>
        </w:rPr>
        <w:t xml:space="preserve">: один публичный контакт продаж [27] вместо линейки экспертных спикеров (CISO, юрист по 572-ФЗ, </w:t>
      </w:r>
      <w:proofErr w:type="spellStart"/>
      <w:r>
        <w:rPr>
          <w:color w:val="000000"/>
        </w:rPr>
        <w:t>продакт</w:t>
      </w:r>
      <w:proofErr w:type="spellEnd"/>
      <w:r>
        <w:rPr>
          <w:color w:val="000000"/>
        </w:rPr>
        <w:t xml:space="preserve">-менеджер, разработка), которая у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работает через корпоративный блог на </w:t>
      </w:r>
      <w:proofErr w:type="spellStart"/>
      <w:r>
        <w:rPr>
          <w:color w:val="000000"/>
        </w:rPr>
        <w:t>Habr</w:t>
      </w:r>
      <w:proofErr w:type="spellEnd"/>
      <w:r>
        <w:rPr>
          <w:color w:val="000000"/>
        </w:rPr>
        <w:t xml:space="preserve"> и публичные выступления топ-менеджмента [40]. </w:t>
      </w:r>
      <w:proofErr w:type="spellStart"/>
      <w:r>
        <w:rPr>
          <w:b/>
          <w:bCs/>
          <w:color w:val="000000"/>
        </w:rPr>
        <w:t>Process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четырёхшаговый</w:t>
      </w:r>
      <w:proofErr w:type="spellEnd"/>
      <w:r>
        <w:rPr>
          <w:color w:val="000000"/>
        </w:rPr>
        <w:t xml:space="preserve"> пользовательский путь подключения проработан содержательно, но описан в корпоративных материалах [27] и не упакован в массовое объяснение для внешнего читателя; B2B-заказчик получает требования к инфраструктуре, но не наглядный бизнес-кейс с расчётом окупаемости. </w:t>
      </w:r>
      <w:r>
        <w:rPr>
          <w:b/>
          <w:bCs/>
          <w:color w:val="000000"/>
        </w:rPr>
        <w:t>Доказательный пробел</w:t>
      </w:r>
      <w:r>
        <w:rPr>
          <w:color w:val="000000"/>
        </w:rPr>
        <w:t xml:space="preserve"> в </w:t>
      </w:r>
      <w:proofErr w:type="spellStart"/>
      <w:r>
        <w:rPr>
          <w:color w:val="000000"/>
        </w:rPr>
        <w:t>Product</w:t>
      </w:r>
      <w:proofErr w:type="spellEnd"/>
      <w:r>
        <w:rPr>
          <w:color w:val="000000"/>
        </w:rPr>
        <w:t xml:space="preserve">: в открытой линейке Face2 нет отдельного </w:t>
      </w:r>
      <w:r>
        <w:rPr>
          <w:color w:val="000000"/>
        </w:rPr>
        <w:lastRenderedPageBreak/>
        <w:t xml:space="preserve">решения по </w:t>
      </w:r>
      <w:proofErr w:type="spellStart"/>
      <w:r>
        <w:rPr>
          <w:color w:val="000000"/>
        </w:rPr>
        <w:t>детекции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дипфейков</w:t>
      </w:r>
      <w:proofErr w:type="spellEnd"/>
      <w:r>
        <w:rPr>
          <w:color w:val="000000"/>
        </w:rPr>
        <w:t xml:space="preserve">, тогда как у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существует продукт </w:t>
      </w:r>
      <w:proofErr w:type="spellStart"/>
      <w:r>
        <w:rPr>
          <w:color w:val="000000"/>
        </w:rPr>
        <w:t>Deepfake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, у OVISION </w:t>
      </w:r>
      <w:proofErr w:type="spellStart"/>
      <w:r>
        <w:rPr>
          <w:color w:val="000000"/>
        </w:rPr>
        <w:t>антиспуфинг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детекция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дипфейков</w:t>
      </w:r>
      <w:proofErr w:type="spellEnd"/>
      <w:r>
        <w:rPr>
          <w:color w:val="000000"/>
        </w:rPr>
        <w:t xml:space="preserve"> встроены в СКУД-комплекты, у </w:t>
      </w:r>
      <w:proofErr w:type="spellStart"/>
      <w:r>
        <w:rPr>
          <w:color w:val="000000"/>
        </w:rPr>
        <w:t>Сбера</w:t>
      </w:r>
      <w:proofErr w:type="spellEnd"/>
      <w:r>
        <w:rPr>
          <w:color w:val="000000"/>
        </w:rPr>
        <w:t xml:space="preserve"> действует многоконтурная защита </w:t>
      </w:r>
      <w:proofErr w:type="spellStart"/>
      <w:r>
        <w:rPr>
          <w:color w:val="000000"/>
        </w:rPr>
        <w:t>liveness</w:t>
      </w:r>
      <w:proofErr w:type="spellEnd"/>
      <w:r>
        <w:rPr>
          <w:color w:val="000000"/>
        </w:rPr>
        <w:t xml:space="preserve"> + AI-</w:t>
      </w:r>
      <w:proofErr w:type="spellStart"/>
      <w:r>
        <w:rPr>
          <w:color w:val="000000"/>
        </w:rPr>
        <w:t>фрод</w:t>
      </w:r>
      <w:proofErr w:type="spellEnd"/>
      <w:r>
        <w:rPr>
          <w:color w:val="000000"/>
        </w:rPr>
        <w:t xml:space="preserve"> + ПИН [38; 40; 41]; к этому добавляется публично не зафиксированная независимая международная верификация точности (NIST FRTE,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, CVPR), отдельно отмеченная в параграфе 2.2. </w:t>
      </w:r>
      <w:proofErr w:type="spellStart"/>
      <w:r>
        <w:rPr>
          <w:color w:val="000000"/>
        </w:rPr>
        <w:t>Promotion</w:t>
      </w:r>
      <w:proofErr w:type="spellEnd"/>
      <w:r>
        <w:rPr>
          <w:color w:val="000000"/>
        </w:rPr>
        <w:t xml:space="preserve"> реализуется через точечные релизы без регулярного контент-конвейера, </w:t>
      </w:r>
      <w:proofErr w:type="spellStart"/>
      <w:r>
        <w:rPr>
          <w:color w:val="000000"/>
        </w:rPr>
        <w:t>Price</w:t>
      </w:r>
      <w:proofErr w:type="spellEnd"/>
      <w:r>
        <w:rPr>
          <w:color w:val="000000"/>
        </w:rPr>
        <w:t xml:space="preserve"> публично не раскрывается совсем.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Маркетинговая воронка Face2</w:t>
      </w:r>
    </w:p>
    <w:p w:rsidR="00C4374C" w:rsidRDefault="00522436">
      <w:pPr>
        <w:ind w:firstLine="708"/>
      </w:pPr>
      <w:r>
        <w:rPr>
          <w:color w:val="000000"/>
        </w:rPr>
        <w:t xml:space="preserve">Эталонная воронка биометрии в банковском секторе, выведенная в параграфе 1.3, имеет специфическую форму: между этапами «Интерес» и «Пробное использование» встроен длинный этап «Доверие», и именно на нём концентрируется основная часть коммуникационных усилий до этапа массового принятия. Сопоставление эталонной воронки с фактической раскладкой активностей Face2 показывает асимметрию противоположного характера, чем у эталонной модели. У эталонной воронки этап «Доверие» расширен по сравнению с традиционным товаром, но расширен равномерно </w:t>
      </w:r>
      <w:r w:rsidR="00875DD8">
        <w:rPr>
          <w:color w:val="000000"/>
        </w:rPr>
        <w:t>–</w:t>
      </w:r>
      <w:r>
        <w:rPr>
          <w:color w:val="000000"/>
        </w:rPr>
        <w:t xml:space="preserve"> чтобы перевести в пробное использование как можно большую долю аудитории, проявившей интерес. У Face2 этап «Доверие» содержательно сильный, но узкий: его пропускная способность ограничена тем, что доказательная база подаётся языком, понятным специалистам, и не достигает массового пользователя. Этап «Пробное использование» сильный для B2B и для жителей Татарстана (внутренняя инсталляция, </w:t>
      </w:r>
      <w:proofErr w:type="spellStart"/>
      <w:r>
        <w:rPr>
          <w:color w:val="000000"/>
        </w:rPr>
        <w:t>демозоны</w:t>
      </w:r>
      <w:proofErr w:type="spellEnd"/>
      <w:r>
        <w:rPr>
          <w:color w:val="000000"/>
        </w:rPr>
        <w:t xml:space="preserve">, региональные пилоты), но фактически нулевой для всех остальных регионов </w:t>
      </w:r>
      <w:r w:rsidR="00875DD8">
        <w:rPr>
          <w:color w:val="000000"/>
        </w:rPr>
        <w:t>–</w:t>
      </w:r>
      <w:r>
        <w:rPr>
          <w:color w:val="000000"/>
        </w:rPr>
        <w:t xml:space="preserve"> получить пользовательский опыт Face2 за пределами РТ практически негде. Этапы «Осведомлённость» и «Лояльность» работают слабо: первый </w:t>
      </w:r>
      <w:r w:rsidR="00875DD8">
        <w:rPr>
          <w:color w:val="000000"/>
        </w:rPr>
        <w:t>–</w:t>
      </w:r>
      <w:r>
        <w:rPr>
          <w:color w:val="000000"/>
        </w:rPr>
        <w:t xml:space="preserve"> из-за фрагментарности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-каналов, второй </w:t>
      </w:r>
      <w:r w:rsidR="00875DD8">
        <w:rPr>
          <w:color w:val="000000"/>
        </w:rPr>
        <w:t>–</w:t>
      </w:r>
      <w:r>
        <w:rPr>
          <w:color w:val="000000"/>
        </w:rPr>
        <w:t xml:space="preserve"> из-за отсутствия системной программы работы с </w:t>
      </w:r>
      <w:proofErr w:type="spellStart"/>
      <w:r>
        <w:rPr>
          <w:color w:val="000000"/>
        </w:rPr>
        <w:t>референс</w:t>
      </w:r>
      <w:proofErr w:type="spellEnd"/>
      <w:r>
        <w:rPr>
          <w:color w:val="000000"/>
        </w:rPr>
        <w:t>-клиентами, NPS и кейс-</w:t>
      </w:r>
      <w:proofErr w:type="spellStart"/>
      <w:r>
        <w:rPr>
          <w:color w:val="000000"/>
        </w:rPr>
        <w:t>стади</w:t>
      </w:r>
      <w:proofErr w:type="spellEnd"/>
      <w:r>
        <w:rPr>
          <w:color w:val="000000"/>
        </w:rPr>
        <w:t>. Графически распределение активностей Face2 по этапам воронки в сопоставлении с эталонной формой представлено на рисунке 2.3.1.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Рис. 2.3.1. Воронка продвижения Face2 в сопоставлении с эталонной воронкой биометрического продукта в банковском секторе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Содержательно фигура на рисунке 2.3.1 показывает, что у Face2 архитектурно перегружен центральный этап «Доверие» по содержательной составляющей и недогружены полюса (Осведомлённость, Лояльность) и массовый охват самого ядра. Это совпадает со структурой коммерческого присутствия из параграфа 2.2: банк глубоко работает в немногих сегментах и в одном регионе вместо широкого покрытия рынка.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SWOT-анализ продвижения Face2</w:t>
      </w:r>
    </w:p>
    <w:p w:rsidR="00C4374C" w:rsidRDefault="00522436">
      <w:pPr>
        <w:ind w:firstLine="708"/>
      </w:pPr>
      <w:r>
        <w:rPr>
          <w:color w:val="000000"/>
        </w:rPr>
        <w:t xml:space="preserve">Сводная характеристика продвижения Face2 в формате SWOT дана в таблице 2.3.4. SWOT строится строго в маркетинговой плоскости </w:t>
      </w:r>
      <w:r w:rsidR="00875DD8">
        <w:rPr>
          <w:color w:val="000000"/>
        </w:rPr>
        <w:t>–</w:t>
      </w:r>
      <w:r>
        <w:rPr>
          <w:color w:val="000000"/>
        </w:rPr>
        <w:t xml:space="preserve"> общая характеристика продукта и банка собрана в параграфе 2.1, рыночный контекст и конкурентные позиции </w:t>
      </w:r>
      <w:r w:rsidR="00875DD8">
        <w:rPr>
          <w:color w:val="000000"/>
        </w:rPr>
        <w:t>–</w:t>
      </w:r>
      <w:r>
        <w:rPr>
          <w:color w:val="000000"/>
        </w:rPr>
        <w:t xml:space="preserve"> в параграфе 2.2, и здесь они не повторяются. Зона интереса </w:t>
      </w:r>
      <w:r w:rsidR="00875DD8">
        <w:rPr>
          <w:color w:val="000000"/>
        </w:rPr>
        <w:t>–</w:t>
      </w:r>
      <w:r>
        <w:rPr>
          <w:color w:val="000000"/>
        </w:rPr>
        <w:t xml:space="preserve"> только то, что относится к коммуникационному контуру и его инструментам.</w:t>
      </w:r>
    </w:p>
    <w:p w:rsidR="00C4374C" w:rsidRDefault="00522436">
      <w:pPr>
        <w:ind w:firstLine="708"/>
      </w:pPr>
      <w:r>
        <w:rPr>
          <w:color w:val="000000"/>
        </w:rPr>
        <w:t>Таблица 2.3.4</w:t>
      </w:r>
    </w:p>
    <w:p w:rsidR="00C4374C" w:rsidRDefault="00522436">
      <w:pPr>
        <w:ind w:firstLine="708"/>
      </w:pPr>
      <w:r>
        <w:rPr>
          <w:color w:val="000000"/>
        </w:rPr>
        <w:t>SWOT-анализ продвижения Face2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S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сильные стороны продвижения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W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слабые стороны продвижения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Полный пул </w:t>
            </w:r>
            <w:proofErr w:type="spellStart"/>
            <w:r>
              <w:rPr>
                <w:color w:val="000000"/>
                <w:sz w:val="24"/>
                <w:szCs w:val="24"/>
              </w:rPr>
              <w:t>Physical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evidence</w:t>
            </w:r>
            <w:proofErr w:type="spellEnd"/>
            <w:r>
              <w:rPr>
                <w:color w:val="000000"/>
                <w:sz w:val="24"/>
                <w:szCs w:val="24"/>
              </w:rPr>
              <w:t>: КБС, ФСБ, ФСТЭК, реестр ПО, № 115-ФЗ (№ 101) [27; 35]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Локальный охват СМИ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концентрация в Татарстане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Партнёрства федерального уровня в одном проекте: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>, Минтранс, ЦБТ, НСПК [26, с. 30–31]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Нет отдельного бренда Face2 в </w:t>
            </w:r>
            <w:proofErr w:type="spellStart"/>
            <w:r>
              <w:rPr>
                <w:color w:val="000000"/>
                <w:sz w:val="24"/>
                <w:szCs w:val="24"/>
              </w:rPr>
              <w:t>соцсетях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[26, с. 33]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Внутренняя </w:t>
            </w:r>
            <w:proofErr w:type="spellStart"/>
            <w:r>
              <w:rPr>
                <w:color w:val="000000"/>
                <w:sz w:val="24"/>
                <w:szCs w:val="24"/>
              </w:rPr>
              <w:t>демозона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5 000+ сотрудников × 200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[27]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Нет регулярного контент-конвейера и </w:t>
            </w:r>
            <w:proofErr w:type="spellStart"/>
            <w:r>
              <w:rPr>
                <w:color w:val="000000"/>
                <w:sz w:val="24"/>
                <w:szCs w:val="24"/>
              </w:rPr>
              <w:t>редпрограммы</w:t>
            </w:r>
            <w:proofErr w:type="spellEnd"/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Карта жителя РТ как канал через социальную инфраструктуру (450 тыс. карт, биометрия в приложении) [26, с. 28–29]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Независимая верификация точности (NIST FRTE,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>, CVPR) публично не зафиксирована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Стаж в ЕБС с 10.07.2018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готовый </w:t>
            </w:r>
            <w:proofErr w:type="spellStart"/>
            <w:r>
              <w:rPr>
                <w:color w:val="000000"/>
                <w:sz w:val="24"/>
                <w:szCs w:val="24"/>
              </w:rPr>
              <w:t>сторителлинг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[39]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Публичные тарифы, ROI-калькулятор, конверсионная механика на сайте отсутствуют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Рейтинги «A» и ESG-A банка как </w:t>
            </w:r>
            <w:proofErr w:type="spellStart"/>
            <w:r>
              <w:rPr>
                <w:color w:val="000000"/>
                <w:sz w:val="24"/>
                <w:szCs w:val="24"/>
              </w:rPr>
              <w:t>Physical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evidence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второго уровня [26, с. 4]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Минимальная публичная экспертная команда (один контакт продаж) [27]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left"/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Необновлённая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исходная маркетинговая гипотеза 2018 г. об органическом спросе [39]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возможности рынка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T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угрозы продвижения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Девятикратный рост числа биометрических платежей (9 мес. 2025 / 9 мес. 2024) [32]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Доминирование </w:t>
            </w:r>
            <w:proofErr w:type="spellStart"/>
            <w:r>
              <w:rPr>
                <w:color w:val="000000"/>
                <w:sz w:val="24"/>
                <w:szCs w:val="24"/>
              </w:rPr>
              <w:t>Сбера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 B2C-биоэквайринге: 700 тыс. терминалов, 30 млн зарегистрированных, 116 млрд руб. за 2025 г. [38]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420-ФЗ и 421-ФЗ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растёт ценность аккредитованных операторов [27]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Отрыв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 NIST FRTE и работа в 38 странах [40]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10+ млн пользователей в ЕБС к началу 2026 г.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клиентская база без повторной сдачи [32]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OVISION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полный цикл СКУД с собственным аппаратом и федеральными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референсами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(РЖД, </w:t>
            </w:r>
            <w:proofErr w:type="spellStart"/>
            <w:r>
              <w:rPr>
                <w:color w:val="000000"/>
                <w:sz w:val="24"/>
                <w:szCs w:val="24"/>
              </w:rPr>
              <w:t>Мосэнергосбыт</w:t>
            </w:r>
            <w:proofErr w:type="spellEnd"/>
            <w:r>
              <w:rPr>
                <w:color w:val="000000"/>
                <w:sz w:val="24"/>
                <w:szCs w:val="24"/>
              </w:rPr>
              <w:t>, Тульская обл.) [41]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Фаза массовой коммерциализации: средний чек ≈ 770 руб., рост по числу транзакций [32]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Репутационный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риск утечек у любого аккредитованного оператора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удар по доверию ко всему классу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[27; 26, с. 4, 28–33; 38; 35; 40; 32; 41; 39]</w:t>
      </w:r>
    </w:p>
    <w:p w:rsidR="00C4374C" w:rsidRDefault="00522436">
      <w:pPr>
        <w:ind w:firstLine="708"/>
      </w:pPr>
      <w:r>
        <w:rPr>
          <w:color w:val="000000"/>
        </w:rPr>
        <w:t xml:space="preserve">Структурный вывод SWOT: сильные стороны продвижения Face2 сосредоточены в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-контуре, слабые </w:t>
      </w:r>
      <w:r w:rsidR="00875DD8">
        <w:rPr>
          <w:color w:val="000000"/>
        </w:rPr>
        <w:t>–</w:t>
      </w:r>
      <w:r>
        <w:rPr>
          <w:color w:val="000000"/>
        </w:rPr>
        <w:t xml:space="preserve"> в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-контуре, при этом возможности рынка (рост биометрических платежей, ужесточение 420-ФЗ и 421-ФЗ, накопление 10+ млн пользователей ЕБС [27; 32]) работают в пользу банка, а угрозы распределены по трём осям </w:t>
      </w:r>
      <w:r w:rsidR="00875DD8">
        <w:rPr>
          <w:color w:val="000000"/>
        </w:rPr>
        <w:t>–</w:t>
      </w:r>
      <w:r>
        <w:rPr>
          <w:color w:val="000000"/>
        </w:rPr>
        <w:t xml:space="preserve"> масштабу (</w:t>
      </w:r>
      <w:proofErr w:type="spellStart"/>
      <w:r>
        <w:rPr>
          <w:color w:val="000000"/>
        </w:rPr>
        <w:t>Сбер</w:t>
      </w:r>
      <w:proofErr w:type="spellEnd"/>
      <w:r>
        <w:rPr>
          <w:color w:val="000000"/>
        </w:rPr>
        <w:t xml:space="preserve"> [38]), технологической верификации (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[40]) и полному циклу СКУД (OVISION [41]). Продвижение находится в диспозиции, при которой слабые стороны сосредоточены в той части маркетингового инструментария, где у банка уже есть необходимые ресурсы (банковская экосистема, рейтинги, региональные данные). Это вопрос конфигурации, а не дополнительных вложений </w:t>
      </w:r>
      <w:r w:rsidR="00875DD8">
        <w:rPr>
          <w:color w:val="000000"/>
        </w:rPr>
        <w:t>–</w:t>
      </w:r>
      <w:r>
        <w:rPr>
          <w:color w:val="000000"/>
        </w:rPr>
        <w:t xml:space="preserve"> основа для управленческой повестки главы 3.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Сводный перечень пробелов продвижения и переход к главе 3</w:t>
      </w:r>
    </w:p>
    <w:p w:rsidR="00C4374C" w:rsidRDefault="00522436">
      <w:pPr>
        <w:ind w:firstLine="708"/>
      </w:pPr>
      <w:r>
        <w:rPr>
          <w:color w:val="000000"/>
        </w:rPr>
        <w:t xml:space="preserve">Восемь пробелов продвижения, последовательно зафиксированных в предыдущих подразделах настоящего параграфа, агрегированы в таблицу 2.3.5. Эта таблица одновременно завершает анализ текущего состояния и формирует управленческую повестку для главы 3 </w:t>
      </w:r>
      <w:r w:rsidR="00875DD8">
        <w:rPr>
          <w:color w:val="000000"/>
        </w:rPr>
        <w:t>–</w:t>
      </w:r>
      <w:r>
        <w:rPr>
          <w:color w:val="000000"/>
        </w:rPr>
        <w:t xml:space="preserve"> каждый пробел переходит в задачу разработки стратегии продвижения.</w:t>
      </w:r>
    </w:p>
    <w:p w:rsidR="00C4374C" w:rsidRDefault="00522436">
      <w:pPr>
        <w:ind w:firstLine="708"/>
      </w:pPr>
      <w:r>
        <w:rPr>
          <w:color w:val="000000"/>
        </w:rPr>
        <w:lastRenderedPageBreak/>
        <w:t>Таблица 2.3.5</w:t>
      </w:r>
    </w:p>
    <w:p w:rsidR="00C4374C" w:rsidRDefault="00522436">
      <w:pPr>
        <w:ind w:firstLine="708"/>
      </w:pPr>
      <w:r>
        <w:rPr>
          <w:color w:val="000000"/>
        </w:rPr>
        <w:t>Сводный перечень пробелов продвижения Face2 как управленческая повестка для главы 3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748"/>
        <w:gridCol w:w="3747"/>
        <w:gridCol w:w="1748"/>
        <w:gridCol w:w="1748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Пробел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Группа пробелов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Где зафиксирован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Канальный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-каналы (B2B/B2G, партнёрства, пилоты) сильны; </w:t>
            </w: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-каналы (массовые СМИ вне РТ, отдельный бренд в </w:t>
            </w:r>
            <w:proofErr w:type="spellStart"/>
            <w:r>
              <w:rPr>
                <w:color w:val="000000"/>
                <w:sz w:val="24"/>
                <w:szCs w:val="24"/>
              </w:rPr>
              <w:t>соцсетях</w:t>
            </w:r>
            <w:proofErr w:type="spellEnd"/>
            <w:r>
              <w:rPr>
                <w:color w:val="000000"/>
                <w:sz w:val="24"/>
                <w:szCs w:val="24"/>
              </w:rPr>
              <w:t>) фрагментарны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Охват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Инвентаризация каналов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Контентный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Регуляторный капитал (КБС, аккредитации, № 115-ФЗ, стаж с 2018 г.) не переведён в массовое сообщение «доверие»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Аргументация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7P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Сегментный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«Гостеприимство» и «возрастная верификация в ритейле» заявлены </w:t>
            </w:r>
            <w:proofErr w:type="spellStart"/>
            <w:r>
              <w:rPr>
                <w:color w:val="000000"/>
                <w:sz w:val="24"/>
                <w:szCs w:val="24"/>
              </w:rPr>
              <w:t>продуктово</w:t>
            </w:r>
            <w:proofErr w:type="spellEnd"/>
            <w:r>
              <w:rPr>
                <w:color w:val="000000"/>
                <w:sz w:val="24"/>
                <w:szCs w:val="24"/>
              </w:rPr>
              <w:t>, публичных кейсов нет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Охват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Сегментация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Доказательный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Публично не зафиксирована независимая международная верификация точности (NIST FRTE,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>, CVPR)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Аргументация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7P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People</w:t>
            </w:r>
            <w:proofErr w:type="spellEnd"/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Нет публичной линейки спикеров (CISO, юрист по 572-ФЗ, </w:t>
            </w:r>
            <w:proofErr w:type="spellStart"/>
            <w:r>
              <w:rPr>
                <w:color w:val="000000"/>
                <w:sz w:val="24"/>
                <w:szCs w:val="24"/>
              </w:rPr>
              <w:t>продакт</w:t>
            </w:r>
            <w:proofErr w:type="spellEnd"/>
            <w:r>
              <w:rPr>
                <w:color w:val="000000"/>
                <w:sz w:val="24"/>
                <w:szCs w:val="24"/>
              </w:rPr>
              <w:t>-менеджер); один публичный контакт продаж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Аргументация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7P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Конверсионный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На face2.ru нет CTA-механики (заявка на пилот, </w:t>
            </w:r>
            <w:proofErr w:type="spellStart"/>
            <w:r>
              <w:rPr>
                <w:color w:val="000000"/>
                <w:sz w:val="24"/>
                <w:szCs w:val="24"/>
              </w:rPr>
              <w:t>демо</w:t>
            </w:r>
            <w:proofErr w:type="spellEnd"/>
            <w:r>
              <w:rPr>
                <w:color w:val="000000"/>
                <w:sz w:val="24"/>
                <w:szCs w:val="24"/>
              </w:rPr>
              <w:t>-доступ, ROI-калькулятор), автоматическая воронка не оформлена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Инфраструктура воронки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Инвентаризация каналов; 7P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Лояльностный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референсный</w:t>
            </w:r>
            <w:proofErr w:type="spellEnd"/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Нет системной работы с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</w:t>
            </w:r>
            <w:proofErr w:type="spellEnd"/>
            <w:r>
              <w:rPr>
                <w:color w:val="000000"/>
                <w:sz w:val="24"/>
                <w:szCs w:val="24"/>
              </w:rPr>
              <w:t>-клиентами: отзывы, кейсы, NPS, повторные продажи модулей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Инфраструктура воронки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Маркетинговая воронка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Географический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Коммерческое присутствие сконцентрировано в РТ; банковская экосистема (АБО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930 тыс.) и Карта жителя РТ как ресурсы распространения вне РТ не задействованы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Охват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Сегментация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результатам предыдущих подразделов настоящего параграфа</w:t>
      </w:r>
    </w:p>
    <w:p w:rsidR="00C4374C" w:rsidRDefault="00522436">
      <w:pPr>
        <w:ind w:firstLine="708"/>
      </w:pPr>
      <w:r>
        <w:rPr>
          <w:color w:val="000000"/>
        </w:rPr>
        <w:t xml:space="preserve">Восемь пробелов в таблице 2.3.5 не независимы </w:t>
      </w:r>
      <w:r w:rsidR="00875DD8">
        <w:rPr>
          <w:color w:val="000000"/>
        </w:rPr>
        <w:t>–</w:t>
      </w:r>
      <w:r>
        <w:rPr>
          <w:color w:val="000000"/>
        </w:rPr>
        <w:t xml:space="preserve"> они группируются в три кластера: пробелы охвата (1, 3, 8 </w:t>
      </w:r>
      <w:r w:rsidR="00875DD8">
        <w:rPr>
          <w:color w:val="000000"/>
        </w:rPr>
        <w:t>–</w:t>
      </w:r>
      <w:r>
        <w:rPr>
          <w:color w:val="000000"/>
        </w:rPr>
        <w:t xml:space="preserve"> канальный, сегментный, географический), пробелы аргументации (2, 4, 5 </w:t>
      </w:r>
      <w:r w:rsidR="00875DD8">
        <w:rPr>
          <w:color w:val="000000"/>
        </w:rPr>
        <w:t>–</w:t>
      </w:r>
      <w:r>
        <w:rPr>
          <w:color w:val="000000"/>
        </w:rPr>
        <w:t xml:space="preserve"> контентный, доказательный,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) и пробелы инфраструктуры воронки (6, 7 </w:t>
      </w:r>
      <w:r w:rsidR="00875DD8">
        <w:rPr>
          <w:color w:val="000000"/>
        </w:rPr>
        <w:t>–</w:t>
      </w:r>
      <w:r>
        <w:rPr>
          <w:color w:val="000000"/>
        </w:rPr>
        <w:t xml:space="preserve"> конверсионный, </w:t>
      </w:r>
      <w:proofErr w:type="spellStart"/>
      <w:r>
        <w:rPr>
          <w:color w:val="000000"/>
        </w:rPr>
        <w:t>лояльностный</w:t>
      </w:r>
      <w:proofErr w:type="spellEnd"/>
      <w:r>
        <w:rPr>
          <w:color w:val="000000"/>
        </w:rPr>
        <w:t xml:space="preserve">). </w:t>
      </w:r>
      <w:r>
        <w:rPr>
          <w:color w:val="000000"/>
        </w:rPr>
        <w:lastRenderedPageBreak/>
        <w:t>Управленческая повестка главы 3 распадается на эти три параллельных направления.</w:t>
      </w:r>
    </w:p>
    <w:p w:rsidR="00C4374C" w:rsidRDefault="00522436">
      <w:pPr>
        <w:ind w:firstLine="708"/>
      </w:pPr>
      <w:r>
        <w:rPr>
          <w:color w:val="000000"/>
        </w:rPr>
        <w:t xml:space="preserve">Приоритеты повестки задаются связью с уже занятой конкурентной нишей: регуляторное преимущество, банковская экосистема и шестилетний стаж в ЕБС </w:t>
      </w:r>
      <w:r w:rsidR="00875DD8">
        <w:rPr>
          <w:color w:val="000000"/>
        </w:rPr>
        <w:t>–</w:t>
      </w:r>
      <w:r>
        <w:rPr>
          <w:color w:val="000000"/>
        </w:rPr>
        <w:t xml:space="preserve"> ресурсы, которые в продвижении нужно не создавать, а активизировать. Стратегия Face2 не должна строиться ни как догоняющий марш к </w:t>
      </w:r>
      <w:proofErr w:type="spellStart"/>
      <w:r>
        <w:rPr>
          <w:color w:val="000000"/>
        </w:rPr>
        <w:t>Сберу</w:t>
      </w:r>
      <w:proofErr w:type="spellEnd"/>
      <w:r>
        <w:rPr>
          <w:color w:val="000000"/>
        </w:rPr>
        <w:t xml:space="preserve">, ни как верификационное состязание с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обе траектории требуют ресурсов, которых у банка нет в нужных объёмах. Содержательная задача </w:t>
      </w:r>
      <w:r w:rsidR="00875DD8">
        <w:rPr>
          <w:color w:val="000000"/>
        </w:rPr>
        <w:t>–</w:t>
      </w:r>
      <w:r>
        <w:rPr>
          <w:color w:val="000000"/>
        </w:rPr>
        <w:t xml:space="preserve"> конвертация уже накопленного институционального и инфраструктурного капитала в массовое сообщение и в массовый канал при сохранении сильной B2B-составляющей и без размывания регуляторного позиционирования. На этой рамке строится глава 3: 3.1 переводит повестку в цели и задачи стратегии и обновляет позиционирование, 3.2 разрабатывает комплекс маркетинговых мероприятий и дорожную карту, 3.3 проверяет стратегию через KPI, экономический эффект, оценку рисков и план внедрения.</w:t>
      </w:r>
    </w:p>
    <w:p w:rsidR="00C4374C" w:rsidRDefault="00C4374C">
      <w:pPr>
        <w:spacing w:line="240" w:lineRule="auto"/>
      </w:pPr>
    </w:p>
    <w:p w:rsidR="00C4374C" w:rsidRDefault="00522436">
      <w:r>
        <w:br w:type="page"/>
      </w: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ВЫВОД ПО ГЛАВЕ 2</w:t>
      </w:r>
    </w:p>
    <w:p w:rsidR="00C4374C" w:rsidRDefault="00522436">
      <w:pPr>
        <w:ind w:firstLine="708"/>
      </w:pPr>
      <w:r>
        <w:rPr>
          <w:color w:val="000000"/>
        </w:rPr>
        <w:t xml:space="preserve">Глава 2 описала Ак Барс Банк как разработчика Face2 </w:t>
      </w:r>
      <w:r w:rsidR="00875DD8">
        <w:rPr>
          <w:color w:val="000000"/>
        </w:rPr>
        <w:t>–</w:t>
      </w:r>
      <w:r>
        <w:rPr>
          <w:color w:val="000000"/>
        </w:rPr>
        <w:t xml:space="preserve"> крупный региональный банк с активами 1,16 трлн рублей, рейтингами «A» по национальной шкале и собственной биометрической вертикалью с аккредитацией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по правилам КБС, сертификацией ФСБ и ФСТЭК, внутренней инсталляцией на 5 000+ сотрудников и пилотами с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, Минтрансом и НСПК [31, с. 1–3; 27; 26, с. 30–31]. Российский рынок биометрии прошёл точку массовой коммерциализации </w:t>
      </w:r>
      <w:r w:rsidR="00875DD8">
        <w:rPr>
          <w:color w:val="000000"/>
        </w:rPr>
        <w:t>–</w:t>
      </w:r>
      <w:r>
        <w:rPr>
          <w:color w:val="000000"/>
        </w:rPr>
        <w:t xml:space="preserve"> 145,9 млн платежей и 112,5 млрд рублей оборота за девять месяцев 2025 года, свыше 10 млн пользователей ЕБС </w:t>
      </w:r>
      <w:r w:rsidR="00875DD8">
        <w:rPr>
          <w:color w:val="000000"/>
        </w:rPr>
        <w:t>–</w:t>
      </w:r>
      <w:r>
        <w:rPr>
          <w:color w:val="000000"/>
        </w:rPr>
        <w:t xml:space="preserve"> и работает в жёсткой регуляторной рамке 572-ФЗ, ограничивающей круг операторов аккредитованными игроками [1; 32; 34]. Балльная экспертная оценка под целевой сегмент B2B и B2G со сценариями работы с физическими лицами через ЕБС вывела Face2 на разделённую вторую позицию (4,10) после </w:t>
      </w:r>
      <w:proofErr w:type="spellStart"/>
      <w:r>
        <w:rPr>
          <w:color w:val="000000"/>
        </w:rPr>
        <w:t>Сбера</w:t>
      </w:r>
      <w:proofErr w:type="spellEnd"/>
      <w:r>
        <w:rPr>
          <w:color w:val="000000"/>
        </w:rPr>
        <w:t xml:space="preserve"> (4,25), а собственный конкурентный сегмент банка </w:t>
      </w:r>
      <w:r w:rsidR="00875DD8">
        <w:rPr>
          <w:color w:val="000000"/>
        </w:rPr>
        <w:t>–</w:t>
      </w:r>
      <w:r>
        <w:rPr>
          <w:color w:val="000000"/>
        </w:rPr>
        <w:t xml:space="preserve"> пересечение банковской экосистемы, права работы с биометрией физических лиц через ЕБС и продуктовой линейки под платежи, проход и подтверждение возраста </w:t>
      </w:r>
      <w:r w:rsidR="00875DD8">
        <w:rPr>
          <w:color w:val="000000"/>
        </w:rPr>
        <w:t>–</w:t>
      </w:r>
      <w:r>
        <w:rPr>
          <w:color w:val="000000"/>
        </w:rPr>
        <w:t xml:space="preserve"> у ключевых конкурентов отсутствует [27; 38; 35; 40; 41]. Анализ текущего продвижения через STP, 7P, маркетинговую воронку с этапом «Доверие» и карту каналов выявил структурную асимметрию: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-каналы развиты сильно,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-каналы фрагментарны, что собирается в восемь связанных пробелов </w:t>
      </w:r>
      <w:r w:rsidR="00875DD8">
        <w:rPr>
          <w:color w:val="000000"/>
        </w:rPr>
        <w:t>–</w:t>
      </w:r>
      <w:r>
        <w:rPr>
          <w:color w:val="000000"/>
        </w:rPr>
        <w:t xml:space="preserve"> канальный, контентный, сегментный, доказательный,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конверсионный, </w:t>
      </w:r>
      <w:proofErr w:type="spellStart"/>
      <w:r>
        <w:rPr>
          <w:color w:val="000000"/>
        </w:rPr>
        <w:t>лояльностный</w:t>
      </w:r>
      <w:proofErr w:type="spellEnd"/>
      <w:r>
        <w:rPr>
          <w:color w:val="000000"/>
        </w:rPr>
        <w:t xml:space="preserve"> и географический [27; 26, с. 28–33; 35; 39]. Эта расстановка задаёт управленческую повестку для главы 3 </w:t>
      </w:r>
      <w:r w:rsidR="00875DD8">
        <w:rPr>
          <w:color w:val="000000"/>
        </w:rPr>
        <w:t>–</w:t>
      </w:r>
      <w:r>
        <w:rPr>
          <w:color w:val="000000"/>
        </w:rPr>
        <w:t xml:space="preserve"> спроектировать стратегию продвижения, опирающуюся на сильные стороны Face2 (регуляторный капитал, банковская экосистема, стаж в ЕБС с 2018 года) и закрывающую выявленные пробелы по трём направлениям: расширение охвата, усиление аргументации и достройка инфраструктуры воронки.</w:t>
      </w:r>
    </w:p>
    <w:p w:rsidR="00C4374C" w:rsidRDefault="00C4374C">
      <w:pPr>
        <w:spacing w:line="240" w:lineRule="auto"/>
      </w:pP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ГЛАВА 3. РАЗРАБОТКА СТРАТЕГИИ ПРОДВИЖЕНИЯ ИННОВАЦИОННОГО ПРОДУКТА FACE2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3.1. Обоснование стратегии продвижения продукта Face2</w:t>
      </w:r>
    </w:p>
    <w:p w:rsidR="00C4374C" w:rsidRDefault="00522436">
      <w:pPr>
        <w:ind w:firstLine="708"/>
      </w:pPr>
      <w:r>
        <w:rPr>
          <w:color w:val="000000"/>
        </w:rPr>
        <w:t xml:space="preserve">Настоящий параграф переводит управленческую повестку, сформированную в параграфе 2.3, в стратегическую рамку: восемь пробелов продвижения Face2, агрегированных в таблице 2.3.5, и три кластера, на которые они группируются (пробелы охвата, аргументации и инфраструктуры воронки), переоформляются в цели, задачи, приоритетные сегменты, позиционирование и тип стратегии. Методическую основу разработки составляют инструменты, выведенные в главе 1: модель STP для сегментации и позиционирования [8, с. 314; 10, с. 175], расширенный комплекс маркетинга 7P для биометрии с особым весом элементов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[16, с. 48; 24, с. 106], маркетинговая воронка с обязательным этапом «Доверие» между интересом и пробным использованием [6, с. 64; 20, с. 11; 19, с. 6], рамка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-стратегий и интегрированный подход [16, с. 48; 24, с. 106], а также теория диффузии инноваций Э. </w:t>
      </w:r>
      <w:proofErr w:type="spellStart"/>
      <w:r>
        <w:rPr>
          <w:color w:val="000000"/>
        </w:rPr>
        <w:t>Роджерса</w:t>
      </w:r>
      <w:proofErr w:type="spellEnd"/>
      <w:r>
        <w:rPr>
          <w:color w:val="000000"/>
        </w:rPr>
        <w:t xml:space="preserve"> [14, с. 156], задающая логику последовательной работы с разными группами аудитории </w:t>
      </w:r>
      <w:r w:rsidR="00875DD8">
        <w:rPr>
          <w:color w:val="000000"/>
        </w:rPr>
        <w:t>–</w:t>
      </w:r>
      <w:r>
        <w:rPr>
          <w:color w:val="000000"/>
        </w:rPr>
        <w:t xml:space="preserve"> от новаторов и ранних последователей к раннему и позднему большинству.</w:t>
      </w:r>
    </w:p>
    <w:p w:rsidR="00C4374C" w:rsidRDefault="00522436">
      <w:pPr>
        <w:ind w:firstLine="708"/>
      </w:pPr>
      <w:r>
        <w:rPr>
          <w:color w:val="000000"/>
        </w:rPr>
        <w:t xml:space="preserve">Разработка стратегии продвижения опирается на результаты второй главы. В параграфе 2.1 показано, что Face2 прошёл путь от тестового внедрения в офисах банка в 2019 году до коммерческой биометрической системы с аккредитацией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 в 2023 году, </w:t>
      </w:r>
      <w:proofErr w:type="spellStart"/>
      <w:r>
        <w:rPr>
          <w:color w:val="000000"/>
        </w:rPr>
        <w:t>биоэквайринга</w:t>
      </w:r>
      <w:proofErr w:type="spellEnd"/>
      <w:r>
        <w:rPr>
          <w:color w:val="000000"/>
        </w:rPr>
        <w:t xml:space="preserve"> в Казанском метрополитене в 2024 году и сервисов подтверждения возраста и регистрации в гостинице без паспорта в 2025 году [27; 26, с. 28–33; 28; 29]. Согласно теории диффузии </w:t>
      </w:r>
      <w:proofErr w:type="spellStart"/>
      <w:r>
        <w:rPr>
          <w:color w:val="000000"/>
        </w:rPr>
        <w:t>Роджерса</w:t>
      </w:r>
      <w:proofErr w:type="spellEnd"/>
      <w:r>
        <w:rPr>
          <w:color w:val="000000"/>
        </w:rPr>
        <w:t>, продукт находится на стыке стадий ранних последователей и раннего большинства: тестовый и пилотный контуры пройдены, начат этап коммерческого масштабирования, при котором ключевой задачей продвижения становится перевод накопленной доказательной базы в массовое сообщение и в массовый канал [14, с. 156, 161].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Параграф 2.2 зафиксировал конкурентную позицию Face2: сравнительная матрица (таблица 2.2.5) и балльная экспертная оценка по восьми ключевым факторам успеха (таблица 2.2.6) показали, что банк удерживает сильные позиции по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-правовому капиталу (аккредитация КБС, сертификация ФСБ и ФСТЭК, реестр отечественного ПО, шестилетний стаж в ЕБС), сегментной полноте под B2B/B2G и </w:t>
      </w:r>
      <w:proofErr w:type="spellStart"/>
      <w:r>
        <w:rPr>
          <w:color w:val="000000"/>
        </w:rPr>
        <w:t>экосистемной</w:t>
      </w:r>
      <w:proofErr w:type="spellEnd"/>
      <w:r>
        <w:rPr>
          <w:color w:val="000000"/>
        </w:rPr>
        <w:t xml:space="preserve"> интеграции, но уступает лидерам по независимой верификации точности и масштабу присутствия [27; 26; 38; 35; 40; 41]. Параграф 2.3 диагностировал асимметрию коммуникационной архитектуры: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-каналы (B2B/B2G, партнёрства, пилоты) развиты сильно,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-каналы (массовые СМИ за пределами Татарстана, отдельный бренд в социальных сетях, экспертный контент) фрагментарны (таблица 2.3.2 и рисунок 2.3.1). Этот диагноз </w:t>
      </w:r>
      <w:r w:rsidR="00875DD8">
        <w:rPr>
          <w:color w:val="000000"/>
        </w:rPr>
        <w:t>–</w:t>
      </w:r>
      <w:r>
        <w:rPr>
          <w:color w:val="000000"/>
        </w:rPr>
        <w:t xml:space="preserve"> отправная точка для стратегии: задача не в смене инструментов, а в их перенастройке.</w:t>
      </w:r>
    </w:p>
    <w:p w:rsidR="00C4374C" w:rsidRDefault="00522436">
      <w:pPr>
        <w:ind w:firstLine="708"/>
      </w:pPr>
      <w:r>
        <w:rPr>
          <w:color w:val="000000"/>
        </w:rPr>
        <w:t>Перечень проблем продвижения Face2 формируется на основе сводной таблицы 2.3.5 параграфа 2.3, в которой зафиксированы восемь пробелов, сгруппированных в три кластера (охват, аргументация, инфраструктура воронки). Корректное стратегическое прочтение этих пробелов требует разделения трёх содержательно разных классов проблем.</w:t>
      </w:r>
    </w:p>
    <w:p w:rsidR="00C4374C" w:rsidRDefault="00522436">
      <w:pPr>
        <w:ind w:firstLine="708"/>
      </w:pPr>
      <w:r>
        <w:rPr>
          <w:color w:val="000000"/>
        </w:rPr>
        <w:t xml:space="preserve">Первый класс </w:t>
      </w:r>
      <w:r w:rsidR="00875DD8">
        <w:rPr>
          <w:color w:val="000000"/>
        </w:rPr>
        <w:t>–</w:t>
      </w:r>
      <w:r>
        <w:rPr>
          <w:color w:val="000000"/>
        </w:rPr>
        <w:t xml:space="preserve"> внешние барьеры биометрии (параграф 1.3, таблица 1.3.1): психологические, поведенческие, организационные для B2B и </w:t>
      </w:r>
      <w:proofErr w:type="spellStart"/>
      <w:r>
        <w:rPr>
          <w:color w:val="000000"/>
        </w:rPr>
        <w:t>регуляторно-репутационные</w:t>
      </w:r>
      <w:proofErr w:type="spellEnd"/>
      <w:r>
        <w:rPr>
          <w:color w:val="000000"/>
        </w:rPr>
        <w:t>. Они характеризуют биометрию как технологию и определяют рамки любой стратегии продвижения на рынке [16, с. 43–48; 24, с. 100–110; 25, с. 112–115].</w:t>
      </w:r>
    </w:p>
    <w:p w:rsidR="00C4374C" w:rsidRDefault="00522436">
      <w:pPr>
        <w:ind w:firstLine="708"/>
      </w:pPr>
      <w:r>
        <w:rPr>
          <w:color w:val="000000"/>
        </w:rPr>
        <w:t xml:space="preserve">Второй класс </w:t>
      </w:r>
      <w:r w:rsidR="00875DD8">
        <w:rPr>
          <w:color w:val="000000"/>
        </w:rPr>
        <w:t>–</w:t>
      </w:r>
      <w:r>
        <w:rPr>
          <w:color w:val="000000"/>
        </w:rPr>
        <w:t xml:space="preserve"> особенности продукта Face2. Линейка из девяти продуктов обращена к одиннадцати отраслям применения [27; 28; 29], а двухуровневая модель продаж (таблица 2.1.4) задаёт два принципиально разных канала и цикла сделки. Сегментная карта (таблица 2.2.2) и продуктовая раскладка (таблица 2.1.4) образуют матрицу «продукт × сегмент», требующую отдельного ценностного предложения для каждого сегмента.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Третий класс </w:t>
      </w:r>
      <w:r w:rsidR="00875DD8">
        <w:rPr>
          <w:color w:val="000000"/>
        </w:rPr>
        <w:t>–</w:t>
      </w:r>
      <w:r>
        <w:rPr>
          <w:color w:val="000000"/>
        </w:rPr>
        <w:t xml:space="preserve"> собственно дефициты продвижения, выявленные в параграфе 2.3 и сведённые в таблице 2.3.5. Стратегия разрабатывается прежде всего по третьему классу, а первые два учитываются как условия успешной коммуникации. Раскладка таблицы 2.3.5 показывает, что пробелы продвижения Face2 сосредоточены не в зоне продуктовых характеристик и не в зоне регуляторного капитала (эти зоны сильны по результатам параграфа 2.2), а в зоне коммуникационной архитектуры. Стратегия, разрабатываемая в подразделах 3.1.1–3.1.5 и в параграфе 3.2, должна последовательно закрывать три кластера пробелов: охват, аргументацию и инфраструктуру воронки.</w:t>
      </w:r>
    </w:p>
    <w:p w:rsidR="00C4374C" w:rsidRDefault="00522436">
      <w:pPr>
        <w:ind w:firstLine="708"/>
      </w:pPr>
      <w:r>
        <w:rPr>
          <w:color w:val="000000"/>
        </w:rPr>
        <w:t xml:space="preserve">Цель стратегии продвижения Face2 формулируется в SMART-логике с горизонтом 2026–2028 годов: повысить узнаваемость Face2 на российском рынке биометрических решений и сформировать доверие к продукту со стороны B2B-, B2G- и B2C-аудиторий, увеличив за указанный горизонт количество подтверждённых внешних внедрений продуктов линейки не менее чем в три раза относительно базового 2025 года и доведя долю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-канала (массовое цифровое присутствие, экспертный контент, отраслевые публикации) в структуре коммуникационных активностей до уровня, сопоставимого с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-каналом, при сохранении конкурентного преимущества по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-правовому капиталу. Численные ориентиры по узнаваемости, количеству </w:t>
      </w:r>
      <w:proofErr w:type="spellStart"/>
      <w:r>
        <w:rPr>
          <w:color w:val="000000"/>
        </w:rPr>
        <w:t>лидов</w:t>
      </w:r>
      <w:proofErr w:type="spellEnd"/>
      <w:r>
        <w:rPr>
          <w:color w:val="000000"/>
        </w:rPr>
        <w:t>, пилотным проектам и коммерческой конверсии формируются в параграфе 3.3 как KPI стратегии и согласуются с мероприятиями параграфа 3.2.</w:t>
      </w:r>
    </w:p>
    <w:p w:rsidR="00C4374C" w:rsidRDefault="00522436">
      <w:pPr>
        <w:ind w:firstLine="708"/>
      </w:pPr>
      <w:r>
        <w:rPr>
          <w:color w:val="000000"/>
        </w:rPr>
        <w:t>Цель стратегии разворачивается в семь задач, каждая из которых закрывает один из трёх кластеров пробелов, выделенных в таблице 3.1.1, и сшита с подразделом параграфа 3.2, в котором эта задача будет реализована мероприятиями:</w:t>
      </w:r>
    </w:p>
    <w:p w:rsidR="00C4374C" w:rsidRDefault="00522436">
      <w:pPr>
        <w:ind w:firstLine="708"/>
      </w:pPr>
      <w:r>
        <w:rPr>
          <w:color w:val="000000"/>
        </w:rPr>
        <w:t>а) уточнить позиционирование Face2 как комплексной отечественной биометрической платформы Ак Барс Банка, соответствующей требованиям 572-ФЗ и ориентированной на практические задачи организаций (закрывает контентный пробел; реализуется в подразделе 3.1.4 и в подразделах 3.2.1, 3.2.4);</w:t>
      </w:r>
    </w:p>
    <w:p w:rsidR="00C4374C" w:rsidRDefault="00522436">
      <w:pPr>
        <w:ind w:firstLine="708"/>
      </w:pPr>
      <w:r>
        <w:rPr>
          <w:color w:val="000000"/>
        </w:rPr>
        <w:lastRenderedPageBreak/>
        <w:t>б) сформировать отраслевые ценностные предложения для шести приоритетных сегментов с учётом двухуровневой модели продаж (закрывает сегментный пробел; реализуется в подразделах 3.1.3 и 3.2.1, 3.2.2);</w:t>
      </w:r>
    </w:p>
    <w:p w:rsidR="00C4374C" w:rsidRDefault="00522436">
      <w:pPr>
        <w:ind w:firstLine="708"/>
      </w:pPr>
      <w:r>
        <w:rPr>
          <w:color w:val="000000"/>
        </w:rPr>
        <w:t>в) усилить коммуникацию по вопросам безопасности биометрических данных, соответствия требованиям 572-ФЗ, использования ЕБС и КБС, переведя регуляторный капитал из языка специалистов в массовое сообщение «доверие» (закрывает контентный и доказательный пробелы; реализуется в подразделе 3.2.4 и на этапе «Доверие» маркетинговой воронки 3.3.1);</w:t>
      </w:r>
    </w:p>
    <w:p w:rsidR="00C4374C" w:rsidRDefault="00522436">
      <w:pPr>
        <w:ind w:firstLine="708"/>
      </w:pPr>
      <w:r>
        <w:rPr>
          <w:color w:val="000000"/>
        </w:rPr>
        <w:t>г) повысить узнаваемость Face2 на федеральном рынке за счёт PR-активности, участия в отраслевых мероприятиях, публикации экспертных материалов и развития цифровых каналов (закрывает канальный и географический пробелы; реализуется в подразделах 3.2.3, 3.2.4);</w:t>
      </w:r>
    </w:p>
    <w:p w:rsidR="00C4374C" w:rsidRDefault="00522436">
      <w:pPr>
        <w:ind w:firstLine="708"/>
      </w:pPr>
      <w:r>
        <w:rPr>
          <w:color w:val="000000"/>
        </w:rPr>
        <w:t xml:space="preserve">д) расширить доказательную базу продукта за счёт публичных кейсов внедрения, демонстрационных проектов, расчётов экономического эффекта и сравнительных материалов (закрывает доказательный пробел и пробел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>; реализуется в подразделах 3.2.2, 3.2.4);</w:t>
      </w:r>
    </w:p>
    <w:p w:rsidR="00C4374C" w:rsidRDefault="00522436">
      <w:pPr>
        <w:ind w:firstLine="708"/>
      </w:pPr>
      <w:r>
        <w:rPr>
          <w:color w:val="000000"/>
        </w:rPr>
        <w:t xml:space="preserve">е) развернуть систему продвижения для двух уровней продаж </w:t>
      </w:r>
      <w:r w:rsidR="00875DD8">
        <w:rPr>
          <w:color w:val="000000"/>
        </w:rPr>
        <w:t>–</w:t>
      </w:r>
      <w:r>
        <w:rPr>
          <w:color w:val="000000"/>
        </w:rPr>
        <w:t xml:space="preserve"> КБС под ключ для аккредитованных операторов (уровень 1) и подключение конечных объектов к КБС Ак Барс Банка по транзакционной или абонементной модели (уровень 2), включая прямые продажи, партнёрства с интеграторами и </w:t>
      </w:r>
      <w:proofErr w:type="spellStart"/>
      <w:r>
        <w:rPr>
          <w:color w:val="000000"/>
        </w:rPr>
        <w:t>вендорами</w:t>
      </w:r>
      <w:proofErr w:type="spellEnd"/>
      <w:r>
        <w:rPr>
          <w:color w:val="000000"/>
        </w:rPr>
        <w:t xml:space="preserve"> оборудования, пилотные проекты и B2C-сценарии для конечных пользователей сервисов Face2Pay, Face2Pass и Face2Check-in (закрывает канальный, географический и конверсионный пробелы; реализуется в подразделах 3.2.1, 3.2.3);</w:t>
      </w:r>
    </w:p>
    <w:p w:rsidR="00C4374C" w:rsidRDefault="00522436">
      <w:pPr>
        <w:ind w:firstLine="708"/>
      </w:pPr>
      <w:r>
        <w:rPr>
          <w:color w:val="000000"/>
        </w:rPr>
        <w:t xml:space="preserve">ё) сформировать систему показателей эффективности продвижения и инфраструктуру </w:t>
      </w:r>
      <w:proofErr w:type="spellStart"/>
      <w:r>
        <w:rPr>
          <w:color w:val="000000"/>
        </w:rPr>
        <w:t>референсной</w:t>
      </w:r>
      <w:proofErr w:type="spellEnd"/>
      <w:r>
        <w:rPr>
          <w:color w:val="000000"/>
        </w:rPr>
        <w:t xml:space="preserve"> работы </w:t>
      </w:r>
      <w:r w:rsidR="00875DD8">
        <w:rPr>
          <w:color w:val="000000"/>
        </w:rPr>
        <w:t>–</w:t>
      </w:r>
      <w:r>
        <w:rPr>
          <w:color w:val="000000"/>
        </w:rPr>
        <w:t xml:space="preserve"> отзывы, кейс-</w:t>
      </w:r>
      <w:proofErr w:type="spellStart"/>
      <w:r>
        <w:rPr>
          <w:color w:val="000000"/>
        </w:rPr>
        <w:t>стади</w:t>
      </w:r>
      <w:proofErr w:type="spellEnd"/>
      <w:r>
        <w:rPr>
          <w:color w:val="000000"/>
        </w:rPr>
        <w:t xml:space="preserve">, NPS, программа повторных продаж модулей (закрывает конверсионный и </w:t>
      </w:r>
      <w:proofErr w:type="spellStart"/>
      <w:r>
        <w:rPr>
          <w:color w:val="000000"/>
        </w:rPr>
        <w:t>лояльностный</w:t>
      </w:r>
      <w:proofErr w:type="spellEnd"/>
      <w:r>
        <w:rPr>
          <w:color w:val="000000"/>
        </w:rPr>
        <w:t xml:space="preserve"> пробелы; реализуется в подразделе 3.2.5 и в параграфе 3.3).</w:t>
      </w:r>
    </w:p>
    <w:p w:rsidR="00C4374C" w:rsidRDefault="00522436">
      <w:pPr>
        <w:ind w:firstLine="708"/>
      </w:pPr>
      <w:r>
        <w:rPr>
          <w:color w:val="000000"/>
        </w:rPr>
        <w:t>Цель и сшивка задач с кластерами пробелов и подразделами 3.2 представлены в таблице 3.1.1.</w:t>
      </w:r>
    </w:p>
    <w:p w:rsidR="00C4374C" w:rsidRDefault="00522436">
      <w:pPr>
        <w:ind w:firstLine="708"/>
      </w:pPr>
      <w:r>
        <w:rPr>
          <w:color w:val="000000"/>
        </w:rPr>
        <w:lastRenderedPageBreak/>
        <w:t>Таблица 3.1.1</w:t>
      </w:r>
    </w:p>
    <w:p w:rsidR="00C4374C" w:rsidRDefault="00522436">
      <w:pPr>
        <w:ind w:firstLine="708"/>
      </w:pPr>
      <w:r>
        <w:rPr>
          <w:color w:val="000000"/>
        </w:rPr>
        <w:t>Цели и задачи стратегии продвижения Face2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4072"/>
        <w:gridCol w:w="3393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Элемент стратегии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Закрываемый кластер пробелов / подраздел реализации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Цель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Повысить узнаваемость Face2 и сформировать доверие со стороны B2B-, B2G- и B2C-аудиторий; на горизонте 2026–2028 гг. увеличить число подтверждённых внешних внедрений не менее чем в три раза к базе 2025 г. и довести долю </w:t>
            </w: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-канала до уровня, сопоставимого с </w:t>
            </w: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Все три кластера / параграфы 3.2 и 3.3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Коммуникационная задача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Перевести регуляторный капитал в массовое сообщение «доверие» и усилить экспертное позиционирование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Аргументация / 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Маркетинговая задача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Разработать отраслевые </w:t>
            </w:r>
            <w:proofErr w:type="spellStart"/>
            <w:r>
              <w:rPr>
                <w:color w:val="000000"/>
                <w:sz w:val="24"/>
                <w:szCs w:val="24"/>
              </w:rPr>
              <w:t>офферы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под шесть приоритетных сегментов с учётом двух уровней продаж и расширить присутствие в цифровых и PR-каналах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Охват, аргументация / 3.2.1, 3.2.2, 3.2.3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Коммерческая задача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Увеличить количество входящих заявок, пилотных проектов и коммерческих внедрений по обоим уровням продаж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Охват, инфраструктура воронки / 3.2.1, 3.2.3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Имиджевая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задача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Закрепить Face2 как отечественную биометрическую платформу с банковской экспертизой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Аргументация / 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Аналитическая задача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Ввести KPI продвижения, систему регулярной оценки эффективности мероприятий и программу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референсной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работы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Инфраструктура воронки / 3.2.5, 3.3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Доказательная задача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Сформировать публичную базу отраслевых кейсов с расчётом экономического эффекта и линейку спикеров (CISO, юрист по 572-ФЗ, </w:t>
            </w:r>
            <w:proofErr w:type="spellStart"/>
            <w:r>
              <w:rPr>
                <w:color w:val="000000"/>
                <w:sz w:val="24"/>
                <w:szCs w:val="24"/>
              </w:rPr>
              <w:t>продакт</w:t>
            </w:r>
            <w:proofErr w:type="spellEnd"/>
            <w:r>
              <w:rPr>
                <w:color w:val="000000"/>
                <w:sz w:val="24"/>
                <w:szCs w:val="24"/>
              </w:rPr>
              <w:t>-менеджер)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Аргументация / 3.2.2, 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Конверсионная задача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Развернуть на face2.ru CTA-механику (заявка на пилот, </w:t>
            </w:r>
            <w:proofErr w:type="spellStart"/>
            <w:r>
              <w:rPr>
                <w:color w:val="000000"/>
                <w:sz w:val="24"/>
                <w:szCs w:val="24"/>
              </w:rPr>
              <w:t>демо</w:t>
            </w:r>
            <w:proofErr w:type="spellEnd"/>
            <w:r>
              <w:rPr>
                <w:color w:val="000000"/>
                <w:sz w:val="24"/>
                <w:szCs w:val="24"/>
              </w:rPr>
              <w:t>-доступ, ROI-калькулятор) и автоматическую воронку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Инфраструктура воронки / 3.2.3, 3.2.5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параграфов 1.2 (таблица 1.2.1) и 2.3 (таблица 2.3.5), [18, с. 5; 8, с. 412; 10, с. 156]</w:t>
      </w:r>
    </w:p>
    <w:p w:rsidR="00C4374C" w:rsidRDefault="00522436">
      <w:pPr>
        <w:ind w:firstLine="708"/>
      </w:pPr>
      <w:r>
        <w:rPr>
          <w:color w:val="000000"/>
        </w:rPr>
        <w:t xml:space="preserve">Сшивка задач с кластерами пробелов и подразделами параграфа 3.2 делает стратегию </w:t>
      </w:r>
      <w:proofErr w:type="spellStart"/>
      <w:r>
        <w:rPr>
          <w:color w:val="000000"/>
        </w:rPr>
        <w:t>операционализируемой</w:t>
      </w:r>
      <w:proofErr w:type="spellEnd"/>
      <w:r>
        <w:rPr>
          <w:color w:val="000000"/>
        </w:rPr>
        <w:t xml:space="preserve">: каждая задача 3.1.1 имеет явный адрес </w:t>
      </w:r>
      <w:r>
        <w:rPr>
          <w:color w:val="000000"/>
        </w:rPr>
        <w:lastRenderedPageBreak/>
        <w:t>реализации и явный измеримый результат, который будет оценён системой KPI параграфа 3.3.</w:t>
      </w:r>
    </w:p>
    <w:p w:rsidR="00C4374C" w:rsidRDefault="00522436">
      <w:pPr>
        <w:ind w:firstLine="708"/>
      </w:pPr>
      <w:r>
        <w:rPr>
          <w:color w:val="000000"/>
        </w:rPr>
        <w:t xml:space="preserve">Выбор и </w:t>
      </w:r>
      <w:proofErr w:type="spellStart"/>
      <w:r>
        <w:rPr>
          <w:color w:val="000000"/>
        </w:rPr>
        <w:t>приоритизация</w:t>
      </w:r>
      <w:proofErr w:type="spellEnd"/>
      <w:r>
        <w:rPr>
          <w:color w:val="000000"/>
        </w:rPr>
        <w:t xml:space="preserve"> целевых сегментов выполняются по модели STP [8, с. 314; 10, с. 175]: сегментация рынка проведена в параграфе 2.2 (таблица 2.2.2 </w:t>
      </w:r>
      <w:r w:rsidR="00875DD8">
        <w:rPr>
          <w:color w:val="000000"/>
        </w:rPr>
        <w:t>–</w:t>
      </w:r>
      <w:r>
        <w:rPr>
          <w:color w:val="000000"/>
        </w:rPr>
        <w:t xml:space="preserve"> шесть устойчивых сегментов российского рынка биометрии: государственная идентификация, финансовый сектор, транспорт, СКУД режимных объектов, ритейл с возрастной верификацией, гостиничный сегмент); </w:t>
      </w:r>
      <w:proofErr w:type="spellStart"/>
      <w:r>
        <w:rPr>
          <w:color w:val="000000"/>
        </w:rPr>
        <w:t>таргетирование</w:t>
      </w:r>
      <w:proofErr w:type="spellEnd"/>
      <w:r>
        <w:rPr>
          <w:color w:val="000000"/>
        </w:rPr>
        <w:t xml:space="preserve"> выполняется в настоящем подразделе по трём критериям </w:t>
      </w:r>
      <w:proofErr w:type="spellStart"/>
      <w:r>
        <w:rPr>
          <w:color w:val="000000"/>
        </w:rPr>
        <w:t>приоритизации</w:t>
      </w:r>
      <w:proofErr w:type="spellEnd"/>
      <w:r>
        <w:rPr>
          <w:color w:val="000000"/>
        </w:rPr>
        <w:t xml:space="preserve">; позиционирование </w:t>
      </w:r>
      <w:r w:rsidR="00875DD8">
        <w:rPr>
          <w:color w:val="000000"/>
        </w:rPr>
        <w:t>–</w:t>
      </w:r>
      <w:r>
        <w:rPr>
          <w:color w:val="000000"/>
        </w:rPr>
        <w:t xml:space="preserve"> в подразделе 3.1.4. Критерии </w:t>
      </w:r>
      <w:proofErr w:type="spellStart"/>
      <w:r>
        <w:rPr>
          <w:color w:val="000000"/>
        </w:rPr>
        <w:t>приоритизации</w:t>
      </w:r>
      <w:proofErr w:type="spellEnd"/>
      <w:r>
        <w:rPr>
          <w:color w:val="000000"/>
        </w:rPr>
        <w:t xml:space="preserve"> сегментов: соответствие сильным сторонам Face2 по результатам балльной оценки конкурентов (таблица 2.2.6 </w:t>
      </w:r>
      <w:r w:rsidR="00875DD8">
        <w:rPr>
          <w:color w:val="000000"/>
        </w:rPr>
        <w:t>–</w:t>
      </w:r>
      <w:r>
        <w:rPr>
          <w:color w:val="000000"/>
        </w:rPr>
        <w:t xml:space="preserve"> регуляторный капитал, </w:t>
      </w:r>
      <w:proofErr w:type="spellStart"/>
      <w:r>
        <w:rPr>
          <w:color w:val="000000"/>
        </w:rPr>
        <w:t>экосистемная</w:t>
      </w:r>
      <w:proofErr w:type="spellEnd"/>
      <w:r>
        <w:rPr>
          <w:color w:val="000000"/>
        </w:rPr>
        <w:t xml:space="preserve"> интеграция, банковская экспертиза); текущая стадия закрытия сегмента </w:t>
      </w:r>
      <w:proofErr w:type="spellStart"/>
      <w:r>
        <w:rPr>
          <w:color w:val="000000"/>
        </w:rPr>
        <w:t>продуктово</w:t>
      </w:r>
      <w:proofErr w:type="spellEnd"/>
      <w:r>
        <w:rPr>
          <w:color w:val="000000"/>
        </w:rPr>
        <w:t xml:space="preserve"> и коммуникативно (таблица 2.3.1); экономический потенциал </w:t>
      </w:r>
      <w:r w:rsidR="00875DD8">
        <w:rPr>
          <w:color w:val="000000"/>
        </w:rPr>
        <w:t>–</w:t>
      </w:r>
      <w:r>
        <w:rPr>
          <w:color w:val="000000"/>
        </w:rPr>
        <w:t xml:space="preserve"> рост биометрических платежей, количество пользователей ЕБС, плотность регуляторных требований [27; 38; 32; 34].</w:t>
      </w:r>
    </w:p>
    <w:p w:rsidR="00C4374C" w:rsidRDefault="00522436">
      <w:pPr>
        <w:ind w:firstLine="708"/>
      </w:pPr>
      <w:r>
        <w:rPr>
          <w:color w:val="000000"/>
        </w:rPr>
        <w:t xml:space="preserve">Сегментация ведётся в разрезе двухуровневой модели продаж Face2, введённой в таблице 2.1.4 параграфа 2.1. Уровень 1 </w:t>
      </w:r>
      <w:r w:rsidR="00875DD8">
        <w:rPr>
          <w:color w:val="000000"/>
        </w:rPr>
        <w:t>–</w:t>
      </w:r>
      <w:r>
        <w:rPr>
          <w:color w:val="000000"/>
        </w:rPr>
        <w:t xml:space="preserve"> поставка полного программного контура КБС аккредитованной организации-оператору биометрии (банку-партнёру или государственной структуре с правом регистрировать векторы в ЕБС): длительный цикл продажи, единичные сделки, ЛПР </w:t>
      </w:r>
      <w:r w:rsidR="00875DD8">
        <w:rPr>
          <w:color w:val="000000"/>
        </w:rPr>
        <w:t>–</w:t>
      </w:r>
      <w:r>
        <w:rPr>
          <w:color w:val="000000"/>
        </w:rPr>
        <w:t xml:space="preserve"> топ-менеджмент и совет директоров заказчика, каналы </w:t>
      </w:r>
      <w:r w:rsidR="00875DD8">
        <w:rPr>
          <w:color w:val="000000"/>
        </w:rPr>
        <w:t>–</w:t>
      </w:r>
      <w:r>
        <w:rPr>
          <w:color w:val="000000"/>
        </w:rPr>
        <w:t xml:space="preserve"> прямые B2B-продажи, отраслевые конференции, персональные демонстрации, экономика </w:t>
      </w:r>
      <w:r w:rsidR="00875DD8">
        <w:rPr>
          <w:color w:val="000000"/>
        </w:rPr>
        <w:t>–</w:t>
      </w:r>
      <w:r>
        <w:rPr>
          <w:color w:val="000000"/>
        </w:rPr>
        <w:t xml:space="preserve"> лицензионные и проектные платежи [27; 28; 29]. Уровень 2 </w:t>
      </w:r>
      <w:r w:rsidR="00875DD8">
        <w:rPr>
          <w:color w:val="000000"/>
        </w:rPr>
        <w:t>–</w:t>
      </w:r>
      <w:r>
        <w:rPr>
          <w:color w:val="000000"/>
        </w:rPr>
        <w:t xml:space="preserve"> подключение конечного объекта к КБС, размещённой у Ак Барс Банка, по транзакционной или абонементной модели без аккредитации заказчика: короткий цикл продажи, массовые сделки, ЛПР </w:t>
      </w:r>
      <w:r w:rsidR="00875DD8">
        <w:rPr>
          <w:color w:val="000000"/>
        </w:rPr>
        <w:t>–</w:t>
      </w:r>
      <w:r>
        <w:rPr>
          <w:color w:val="000000"/>
        </w:rPr>
        <w:t xml:space="preserve"> операционный менеджмент объекта, каналы </w:t>
      </w:r>
      <w:r w:rsidR="00875DD8">
        <w:rPr>
          <w:color w:val="000000"/>
        </w:rPr>
        <w:t>–</w:t>
      </w:r>
      <w:r>
        <w:rPr>
          <w:color w:val="000000"/>
        </w:rPr>
        <w:t xml:space="preserve"> партнёрства с интеграторами, </w:t>
      </w:r>
      <w:proofErr w:type="spellStart"/>
      <w:r>
        <w:rPr>
          <w:color w:val="000000"/>
        </w:rPr>
        <w:t>вендорами</w:t>
      </w:r>
      <w:proofErr w:type="spellEnd"/>
      <w:r>
        <w:rPr>
          <w:color w:val="000000"/>
        </w:rPr>
        <w:t xml:space="preserve"> оборудования и платёжными провайдерами, цифровые каналы и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-инструменты, экономика </w:t>
      </w:r>
      <w:r w:rsidR="00875DD8">
        <w:rPr>
          <w:color w:val="000000"/>
        </w:rPr>
        <w:t>–</w:t>
      </w:r>
      <w:r>
        <w:rPr>
          <w:color w:val="000000"/>
        </w:rPr>
        <w:t xml:space="preserve"> транзакционные комиссии и абонементные платежи [27; 29]. На втором уровне в качестве конечного потребителя сервиса (B2C-составляющая) выступает </w:t>
      </w:r>
      <w:r>
        <w:rPr>
          <w:color w:val="000000"/>
        </w:rPr>
        <w:lastRenderedPageBreak/>
        <w:t xml:space="preserve">физическое лицо </w:t>
      </w:r>
      <w:r w:rsidR="00875DD8">
        <w:rPr>
          <w:color w:val="000000"/>
        </w:rPr>
        <w:t>–</w:t>
      </w:r>
      <w:r>
        <w:rPr>
          <w:color w:val="000000"/>
        </w:rPr>
        <w:t xml:space="preserve"> пользователь Face2Pay, Face2Pass или Face2Check-in: для него стратегия продвижения формирует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-спрос через массовые сценарии (метро, ритейл, гостиница, спортивная арена) и через коммуникацию о безопасности и удобстве биометрии. Согласно </w:t>
      </w:r>
      <w:proofErr w:type="gramStart"/>
      <w:r>
        <w:rPr>
          <w:color w:val="000000"/>
        </w:rPr>
        <w:t>теории диффузии инноваций</w:t>
      </w:r>
      <w:proofErr w:type="gramEnd"/>
      <w:r>
        <w:rPr>
          <w:color w:val="000000"/>
        </w:rPr>
        <w:t xml:space="preserve"> Э. </w:t>
      </w:r>
      <w:proofErr w:type="spellStart"/>
      <w:r>
        <w:rPr>
          <w:color w:val="000000"/>
        </w:rPr>
        <w:t>Роджерса</w:t>
      </w:r>
      <w:proofErr w:type="spellEnd"/>
      <w:r>
        <w:rPr>
          <w:color w:val="000000"/>
        </w:rPr>
        <w:t xml:space="preserve">, в B2C-составляющей приоритетной аудиторией стратегии на горизонте 2026–2028 годов являются ранние последователи и раннее большинство, поскольку именно они переводят технологию из стадии пилотов в стадию массового использования и формируют </w:t>
      </w:r>
      <w:proofErr w:type="spellStart"/>
      <w:r>
        <w:rPr>
          <w:color w:val="000000"/>
        </w:rPr>
        <w:t>референсный</w:t>
      </w:r>
      <w:proofErr w:type="spellEnd"/>
      <w:r>
        <w:rPr>
          <w:color w:val="000000"/>
        </w:rPr>
        <w:t xml:space="preserve"> материал для более консервативных сегментов аудитории [14, с. 156, 161].</w:t>
      </w:r>
    </w:p>
    <w:p w:rsidR="00C4374C" w:rsidRDefault="00522436">
      <w:pPr>
        <w:ind w:firstLine="708"/>
      </w:pPr>
      <w:r>
        <w:rPr>
          <w:color w:val="000000"/>
        </w:rPr>
        <w:t>Приоритетные сегменты в разрезе двух уровней продаж и с указанием отраслевого ценностного предложения представлены в таблице 3.1.2.</w:t>
      </w:r>
    </w:p>
    <w:p w:rsidR="00C4374C" w:rsidRDefault="00522436">
      <w:pPr>
        <w:ind w:firstLine="708"/>
      </w:pPr>
      <w:r>
        <w:rPr>
          <w:color w:val="000000"/>
        </w:rPr>
        <w:t>Таблица 3.1.2</w:t>
      </w:r>
    </w:p>
    <w:p w:rsidR="00C4374C" w:rsidRDefault="00522436">
      <w:pPr>
        <w:ind w:firstLine="708"/>
      </w:pPr>
      <w:r>
        <w:rPr>
          <w:color w:val="000000"/>
        </w:rPr>
        <w:t>Приоритетные целевые сегменты продвижения Face2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931"/>
        <w:gridCol w:w="1710"/>
        <w:gridCol w:w="2397"/>
        <w:gridCol w:w="1877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Целевой сегмент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Уровень продаж (по табл. 2.1.4)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Подходящий продукт Face2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Основной потребитель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Отраслевое ценностное предложение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Банки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1 (КБС под ключ аккредитованному оператору)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КБС, Face2Pay, KYC, SDK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Кредитные организации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операторы биометрии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Соответствие 572-ФЗ, снижение рисков мошенничества, KYC по ЕБС, банковская экспертиза партнёра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МФО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1 / Уровень 2 (через банк-партнёра)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KYC, интеграция с КБС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Микрофинансовые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организации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Готовый сервис дистанционной идентификации заёмщиков на базе инфраструктуры аккредитованного банка; снижение операционных и регуляторных рисков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Ритейл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 (подключение к КБС Ак Барс Банка)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Face2Pay, подтверждение возраста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Розничные сети, точки продаж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Ускорение оплаты, снижение очередей, автоматизация продажи товаров с возрастными ограничениями, новый клиентский опыт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Вендинг</w:t>
            </w:r>
            <w:proofErr w:type="spellEnd"/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Face2Pay, подтверждение возраста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Операторы </w:t>
            </w:r>
            <w:proofErr w:type="spellStart"/>
            <w:r>
              <w:rPr>
                <w:color w:val="000000"/>
                <w:sz w:val="24"/>
                <w:szCs w:val="24"/>
              </w:rPr>
              <w:t>вендинговых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сетей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Автоматизация оплаты и продаж товаров с возрастными ограничениями без участия продавца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Гостиницы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Face2Check-in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Гостиничные сети и отдельные средства размещения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Сокращение времени регистрации, заселение без предъявления паспорта, повышение клиентского опыта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Вузы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Face2Pass, биометрический СКУД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Образовательные организации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Контроль доступа в кампус, учёт посещаемости, снижение рисков передачи пропусков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Промышленные предприятия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Face2Pass, биометрический СКУД, доступ к ПК по биометрии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Промышленные и режимные предприятия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Контроль доступа и рабочего времени, снижение рисков передачи пропусков, защита периметра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Государственные учреждения и МФЦ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1 (КБС под ключ государственной структуре с правом регистрации в ЕБС) / Уровень 2 (отдельные точки обслуживания)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КБС, идентификация без документов, Face2Pass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Государственные органы, многофункциональные центры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Цифровизация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процессов идентификации граждан, повышение доступности услуг, соответствие требованиям регулирования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Транспортная инфраструктура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Face2Pay, Face2Pass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Метрополитены, аэропорты, пригородные перевозчики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Ускорение пассажиропотока, снижение очередей, </w:t>
            </w:r>
            <w:proofErr w:type="spellStart"/>
            <w:r>
              <w:rPr>
                <w:color w:val="000000"/>
                <w:sz w:val="24"/>
                <w:szCs w:val="24"/>
              </w:rPr>
              <w:t>биоэквайринг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по модели Казанского метрополитена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Спортивные и массовые объекты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Face2Pass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Спортивные арены, концертные площадки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Безопасность, управление потоками посетителей, контроль прохода без передачи билетов и пропусков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[27; 26, с. 28–33; 38; 35; 41; 28; 29], параграфов 2.1 (таблица 2.1.4) и 2.2 (таблица 2.2.2)</w:t>
      </w:r>
    </w:p>
    <w:p w:rsidR="00C4374C" w:rsidRDefault="00522436">
      <w:pPr>
        <w:ind w:firstLine="708"/>
      </w:pPr>
      <w:r>
        <w:rPr>
          <w:color w:val="000000"/>
        </w:rPr>
        <w:t xml:space="preserve">Раскладка по двум уровням продаж в таблице 3.1.2 показывает, что банки и государственные учреждения преимущественно относятся к первому уровню продаж и требуют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-инструментов с длинным циклом согласования, тогда как ритейл, </w:t>
      </w:r>
      <w:proofErr w:type="spellStart"/>
      <w:r>
        <w:rPr>
          <w:color w:val="000000"/>
        </w:rPr>
        <w:t>вендинг</w:t>
      </w:r>
      <w:proofErr w:type="spellEnd"/>
      <w:r>
        <w:rPr>
          <w:color w:val="000000"/>
        </w:rPr>
        <w:t xml:space="preserve">, гостиницы, вузы, промышленные предприятия, транспорт и массовые объекты относятся ко второму уровню и могут продвигаться </w:t>
      </w:r>
      <w:proofErr w:type="gramStart"/>
      <w:r>
        <w:rPr>
          <w:color w:val="000000"/>
        </w:rPr>
        <w:t>через интеграторов</w:t>
      </w:r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вендоров</w:t>
      </w:r>
      <w:proofErr w:type="spellEnd"/>
      <w:r>
        <w:rPr>
          <w:color w:val="000000"/>
        </w:rPr>
        <w:t xml:space="preserve"> оборудования и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>-инструменты массового охвата. Это распределение задаёт принципиальную развилку для типа стратегии, обоснование которой даётся в подразделе 3.1.5.</w:t>
      </w:r>
    </w:p>
    <w:p w:rsidR="00C4374C" w:rsidRDefault="00522436">
      <w:pPr>
        <w:ind w:firstLine="708"/>
      </w:pPr>
      <w:r>
        <w:rPr>
          <w:color w:val="000000"/>
        </w:rPr>
        <w:t xml:space="preserve">Позиционирование Face2 формируется как третий шаг модели STP и опирается на конфигурацию комплекса 7P, выведенную в параграфе 1.3 и сопоставленную с фактической практикой Face2 в параграфе 2.3 (таблица 2.3.3). </w:t>
      </w:r>
      <w:r>
        <w:rPr>
          <w:color w:val="000000"/>
        </w:rPr>
        <w:lastRenderedPageBreak/>
        <w:t xml:space="preserve">По результатам этого сопоставления самым сильным элементом комплекса маркетинга Face2 является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-правовой капитал, удерживаемый банком (КБС, аккредитация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России, сертификация ФСБ и ФСТЭК, реестр отечественного ПО, № 101 в перечне банков по № 115-ФЗ [35], стаж в ЕБС с 10 июля 2018 года [39]), </w:t>
      </w:r>
      <w:r w:rsidR="00875DD8">
        <w:rPr>
          <w:color w:val="000000"/>
        </w:rPr>
        <w:t>–</w:t>
      </w:r>
      <w:r>
        <w:rPr>
          <w:color w:val="000000"/>
        </w:rPr>
        <w:t xml:space="preserve"> но его коммуникационная отдача снижена из-за того, что он подаётся языком специалистов, а не массовой аудитории. Целевая конфигурация 7P для стратегии продвижения Face2 предполагает усиление элементов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 (линейка спикеров </w:t>
      </w:r>
      <w:r w:rsidR="00875DD8">
        <w:rPr>
          <w:color w:val="000000"/>
        </w:rPr>
        <w:t>–</w:t>
      </w:r>
      <w:r>
        <w:rPr>
          <w:color w:val="000000"/>
        </w:rPr>
        <w:t xml:space="preserve"> CISO, юрист по 572-ФЗ, </w:t>
      </w:r>
      <w:proofErr w:type="spellStart"/>
      <w:r>
        <w:rPr>
          <w:color w:val="000000"/>
        </w:rPr>
        <w:t>продакт</w:t>
      </w:r>
      <w:proofErr w:type="spellEnd"/>
      <w:r>
        <w:rPr>
          <w:color w:val="000000"/>
        </w:rPr>
        <w:t xml:space="preserve">-менеджер) и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(автоматическая воронка на face2.ru, CTA-механика, ROI-калькулятор) при сохранении и переоформлении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в массовое сообщение «доверие». Маркетинговая воронка маркетинговой воронки параграфа 1.2 в её биометрической конфигурации (рисунок 2.3.1) требует расширения этапа «Доверие» </w:t>
      </w:r>
      <w:r w:rsidR="00875DD8">
        <w:rPr>
          <w:color w:val="000000"/>
        </w:rPr>
        <w:t>–</w:t>
      </w:r>
      <w:r>
        <w:rPr>
          <w:color w:val="000000"/>
        </w:rPr>
        <w:t xml:space="preserve"> именно на нём концентрируются элементы позиционирования, переводящие регуляторный капитал банка в аргумент для массовой аудитории.</w:t>
      </w:r>
    </w:p>
    <w:p w:rsidR="00C4374C" w:rsidRDefault="00522436">
      <w:pPr>
        <w:ind w:firstLine="708"/>
      </w:pPr>
      <w:r>
        <w:rPr>
          <w:color w:val="000000"/>
        </w:rPr>
        <w:t xml:space="preserve">С учётом сильных сторон Face2, зафиксированных балльной оценкой в таблице 2.2.6 параграфа 2.2 (преимущества по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-правовому капиталу, </w:t>
      </w:r>
      <w:proofErr w:type="spellStart"/>
      <w:r>
        <w:rPr>
          <w:color w:val="000000"/>
        </w:rPr>
        <w:t>экосистемной</w:t>
      </w:r>
      <w:proofErr w:type="spellEnd"/>
      <w:r>
        <w:rPr>
          <w:color w:val="000000"/>
        </w:rPr>
        <w:t xml:space="preserve"> интеграции и банковской экспертизе при сопоставимой с конкурентами скорости сканирования и наличии отечественного программного обеспечения и терминалов [27; 28; 29]), позиционирование формулируется через единое ценностное предложение, которое раскрывается далее в пяти смысловых блоках:</w:t>
      </w:r>
    </w:p>
    <w:p w:rsidR="00C4374C" w:rsidRDefault="00522436">
      <w:pPr>
        <w:ind w:firstLine="708"/>
      </w:pPr>
      <w:r>
        <w:rPr>
          <w:color w:val="000000"/>
        </w:rPr>
        <w:t xml:space="preserve">Face2 </w:t>
      </w:r>
      <w:r w:rsidR="00875DD8">
        <w:rPr>
          <w:color w:val="000000"/>
        </w:rPr>
        <w:t>–</w:t>
      </w:r>
      <w:r>
        <w:rPr>
          <w:color w:val="000000"/>
        </w:rPr>
        <w:t xml:space="preserve"> комплексная отечественная биометрическая платформа Ак Барс Банка для бизнеса и государственных организаций, обеспечивающая безопасную идентификацию, оплату, контроль доступа и обслуживание клиентов в соответствии с требованиями законодательства Российской Федерации.</w:t>
      </w:r>
    </w:p>
    <w:p w:rsidR="00C4374C" w:rsidRDefault="00522436">
      <w:pPr>
        <w:ind w:firstLine="708"/>
      </w:pPr>
      <w:r>
        <w:rPr>
          <w:color w:val="000000"/>
        </w:rPr>
        <w:t xml:space="preserve">В качестве слогана-якоря, под который разворачивается коммуникация в параграфе 3.2, предлагается формулировка: «Биометрия по закону, банковский уровень доверия». Слоган фиксирует два ключевых дифференциатора Face2 (соответствие 572-ФЗ и принадлежность банковской инфраструктуре </w:t>
      </w:r>
      <w:r>
        <w:rPr>
          <w:color w:val="000000"/>
        </w:rPr>
        <w:lastRenderedPageBreak/>
        <w:t>аккредитованного оператора) и работает одновременно на этапе «Осведомлённость» и на этапе «Доверие» маркетинговой воронки.</w:t>
      </w:r>
    </w:p>
    <w:p w:rsidR="00C4374C" w:rsidRDefault="00522436">
      <w:pPr>
        <w:ind w:firstLine="708"/>
      </w:pPr>
      <w:r>
        <w:rPr>
          <w:color w:val="000000"/>
        </w:rPr>
        <w:t xml:space="preserve">Позиционирование раскрывается через пять смысловых блоков. Во-первых, законность и соответствие требованиям регулирования: Face2 продвигается как решение, позволяющее организациям использовать биометрию в правовом поле </w:t>
      </w:r>
      <w:r w:rsidR="00875DD8">
        <w:rPr>
          <w:color w:val="000000"/>
        </w:rPr>
        <w:t>–</w:t>
      </w:r>
      <w:r>
        <w:rPr>
          <w:color w:val="000000"/>
        </w:rPr>
        <w:t xml:space="preserve"> на базе аккредитованной КБС, ЕБС и сертификации ФСБ и ФСТЭК [27; 1; 36; 37; 28]. Этот блок критичен для банков, МФО, государственных учреждений, крупных предприятий и режимных объектов. Во-вторых, безопасность и защита данных: коммуникация подчёркивает архитектуру защищённого хранения биометрических векторов, использование криптозащиты и снижение рисков несанкционированного доступа [16, с. 43–48; 24, с. 100–110; 25, с. 112–115; 1; 36]. В-третьих, комплексность платформы: Face2 позиционируется как экосистема биометрических решений, охватывающая КБС, </w:t>
      </w:r>
      <w:proofErr w:type="spellStart"/>
      <w:r>
        <w:rPr>
          <w:color w:val="000000"/>
        </w:rPr>
        <w:t>биоэквайринг</w:t>
      </w:r>
      <w:proofErr w:type="spellEnd"/>
      <w:r>
        <w:rPr>
          <w:color w:val="000000"/>
        </w:rPr>
        <w:t xml:space="preserve"> (Face2Pay), биометрический проход (Face2Pass), регистрацию в гостинице (Face2Check-in), подтверждение возраста, доступ к ПК и SDK для интеграторов [27; 28; 29]; комплексность даёт заказчику возможность закрыть несколько задач одним поставщиком. В-четвёртых, банковская экспертиза и практический опыт внедрения: использование Face2 более чем 5 тыс. сотрудников банка и работа около 200 </w:t>
      </w:r>
      <w:proofErr w:type="spellStart"/>
      <w:r>
        <w:rPr>
          <w:color w:val="000000"/>
        </w:rPr>
        <w:t>биотерминалов</w:t>
      </w:r>
      <w:proofErr w:type="spellEnd"/>
      <w:r>
        <w:rPr>
          <w:color w:val="000000"/>
        </w:rPr>
        <w:t xml:space="preserve"> в офисах и отделениях [27; 26, с. 33] подтверждают применимость продукта в крупной организации и закрывают типовое возражение B2B-аудитории о </w:t>
      </w:r>
      <w:proofErr w:type="spellStart"/>
      <w:r>
        <w:rPr>
          <w:color w:val="000000"/>
        </w:rPr>
        <w:t>неотлаженности</w:t>
      </w:r>
      <w:proofErr w:type="spellEnd"/>
      <w:r>
        <w:rPr>
          <w:color w:val="000000"/>
        </w:rPr>
        <w:t xml:space="preserve"> технологии. В-пятых, отечественное технологическое решение: в условиях курса на технологическую независимость Face2 опирается на отечественное программное обеспечение, реестр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и отечественные терминалы, что переводится в аргумент соответствия политике </w:t>
      </w:r>
      <w:proofErr w:type="spellStart"/>
      <w:r>
        <w:rPr>
          <w:color w:val="000000"/>
        </w:rPr>
        <w:t>импортозамещения</w:t>
      </w:r>
      <w:proofErr w:type="spellEnd"/>
      <w:r>
        <w:rPr>
          <w:color w:val="000000"/>
        </w:rPr>
        <w:t xml:space="preserve"> для государственного и корпоративного сегмента [27; 1; 35; 28].</w:t>
      </w:r>
    </w:p>
    <w:p w:rsidR="00C4374C" w:rsidRDefault="00522436">
      <w:pPr>
        <w:ind w:firstLine="708"/>
      </w:pPr>
      <w:r>
        <w:rPr>
          <w:color w:val="000000"/>
        </w:rPr>
        <w:t>Систематизация ключевых элементов позиционирования и значения каждого элемента для клиента дана в таблице 3.1.3.</w:t>
      </w:r>
    </w:p>
    <w:p w:rsidR="00C4374C" w:rsidRDefault="00522436">
      <w:pPr>
        <w:ind w:firstLine="708"/>
      </w:pPr>
      <w:r>
        <w:rPr>
          <w:color w:val="000000"/>
        </w:rPr>
        <w:t>Таблица 3.1.3</w:t>
      </w:r>
    </w:p>
    <w:p w:rsidR="00C4374C" w:rsidRDefault="00522436">
      <w:pPr>
        <w:ind w:firstLine="708"/>
      </w:pPr>
      <w:r>
        <w:rPr>
          <w:color w:val="000000"/>
        </w:rPr>
        <w:t>Ключевые элементы позиционирования Face2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4015"/>
        <w:gridCol w:w="3480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lastRenderedPageBreak/>
              <w:t>Элемент позиционирования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Значение для клиента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Законность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Соответствие требованиям регулирования биометрии (572-ФЗ, аккредитация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>, ЕБС, КБС)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Снижение юридических рисков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Защита биометрических данных, криптозащита, сертификация ФСБ и ФСТЭК, защищённая инфраструктура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Повышение доверия к продукту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Комплексность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КБС, Face2Pay, Face2Pass, Face2Check-in, подтверждение возраста, доступ к ПК, SDK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Возможность закрыть несколько задач одним поставщиком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Банковская экспертиза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Связь с Ак Барс Банком и внутренний кейс внедрения (5 тыс. сотрудников, около 200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Повышение надёжности и доверия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Отечественное решение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Российское программное обеспечение и терминалы, реестр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Соответствие курсу на </w:t>
            </w:r>
            <w:proofErr w:type="spellStart"/>
            <w:r>
              <w:rPr>
                <w:color w:val="000000"/>
                <w:sz w:val="24"/>
                <w:szCs w:val="24"/>
              </w:rPr>
              <w:t>импортозамещение</w:t>
            </w:r>
            <w:proofErr w:type="spellEnd"/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Практическая эффективность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Ускорение процессов, контроль доступа, снижение рисков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Экономическая и организационная выгода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[16, с. 43–48; 24, с. 100–110; 25, с. 112–115; 27; 26, с. 33; 1; 36; 35; 39; 37; 28; 29]</w:t>
      </w:r>
    </w:p>
    <w:p w:rsidR="00C4374C" w:rsidRDefault="00522436">
      <w:pPr>
        <w:ind w:firstLine="708"/>
      </w:pPr>
      <w:r>
        <w:rPr>
          <w:color w:val="000000"/>
        </w:rPr>
        <w:t>Таким образом, стратегическое позиционирование Face2 строится не только на технологической новизне, но и на сочетании пяти факторов: законности, безопасности, комплексности, банковской экспертизы и отечественного происхождения. Эти факторы выделяют Face2 среди конкурентов, зафиксированных в таблице 2.2.6 (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, OVISION, </w:t>
      </w:r>
      <w:proofErr w:type="spellStart"/>
      <w:r>
        <w:rPr>
          <w:color w:val="000000"/>
        </w:rPr>
        <w:t>Сбер</w:t>
      </w:r>
      <w:proofErr w:type="spellEnd"/>
      <w:r>
        <w:rPr>
          <w:color w:val="000000"/>
        </w:rPr>
        <w:t>), и формируют основу для отраслевых ценностных предложений из таблицы 3.1.2. Графически целевая позиция Face2 относительно конкурентов в осях «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-правовой капитал </w:t>
      </w:r>
      <w:r w:rsidR="00875DD8">
        <w:rPr>
          <w:color w:val="000000"/>
        </w:rPr>
        <w:t>–</w:t>
      </w:r>
      <w:r>
        <w:rPr>
          <w:color w:val="000000"/>
        </w:rPr>
        <w:t xml:space="preserve"> независимая верификация точности» с учётом масштаба банковской/инфраструктурной экосистемы (размер маркера) представлена на рисунке 3.1.1.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>Рис. 3.1.1. Карта позиционирования Face2 и ключевых конкурентов на российском рынке биометрии</w:t>
      </w:r>
    </w:p>
    <w:p w:rsidR="00522436" w:rsidRDefault="00522436">
      <w:pPr>
        <w:ind w:firstLine="708"/>
        <w:rPr>
          <w:color w:val="000000"/>
        </w:rPr>
      </w:pPr>
    </w:p>
    <w:p w:rsidR="00C4374C" w:rsidRDefault="00522436">
      <w:pPr>
        <w:ind w:firstLine="708"/>
      </w:pPr>
      <w:r>
        <w:rPr>
          <w:color w:val="000000"/>
        </w:rPr>
        <w:t xml:space="preserve">Карта на рисунке 3.1.1 показывает, что текущая позиция Face2 расположена в правом нижнем квадранте «сильная </w:t>
      </w:r>
      <w:proofErr w:type="spellStart"/>
      <w:r>
        <w:rPr>
          <w:color w:val="000000"/>
        </w:rPr>
        <w:t>регуляторика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слабая независимая верификация»; ближайший по координатам конкурент </w:t>
      </w:r>
      <w:r w:rsidR="00875DD8">
        <w:rPr>
          <w:color w:val="000000"/>
        </w:rPr>
        <w:t>–</w:t>
      </w:r>
      <w:r>
        <w:rPr>
          <w:color w:val="000000"/>
        </w:rPr>
        <w:t xml:space="preserve"> OVISION, </w:t>
      </w:r>
      <w:r>
        <w:rPr>
          <w:color w:val="000000"/>
        </w:rPr>
        <w:lastRenderedPageBreak/>
        <w:t xml:space="preserve">но он не имеет банковской экосистемы. Стратегическая цель </w:t>
      </w:r>
      <w:r w:rsidR="00875DD8">
        <w:rPr>
          <w:color w:val="000000"/>
        </w:rPr>
        <w:t>–</w:t>
      </w:r>
      <w:r>
        <w:rPr>
          <w:color w:val="000000"/>
        </w:rPr>
        <w:t xml:space="preserve"> сместить позицию Face2 в верхний правый квадрант через получение независимой международной верификации (NIST FRTE,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2), сохранив масштаб банковской экосистемы и регуляторный капитал. Это смещение реализуется мероприятиями подраздела 3.2.4 (план сертификации) и закрывает доказательный пробел 4 таблицы 2.3.5.</w:t>
      </w:r>
    </w:p>
    <w:p w:rsidR="00C4374C" w:rsidRDefault="00522436">
      <w:pPr>
        <w:ind w:firstLine="708"/>
      </w:pPr>
      <w:r>
        <w:rPr>
          <w:color w:val="000000"/>
        </w:rPr>
        <w:t>Из четырёх альтернативных типов стратегии (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, интегрированная, партнёрская </w:t>
      </w:r>
      <w:r w:rsidR="00875DD8">
        <w:rPr>
          <w:color w:val="000000"/>
        </w:rPr>
        <w:t>–</w:t>
      </w:r>
      <w:r>
        <w:rPr>
          <w:color w:val="000000"/>
        </w:rPr>
        <w:t xml:space="preserve"> § 1.2) для Face2 выбирается интегрированная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-стратегия с асимметричным усилением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-контура на втором уровне продаж и сохранением сильного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-контура на первом. Чисто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-стратегия лишь усиливает уже сильный контур и не закрывает канальный, географический и конверсионный пробелы; чисто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-стратегия требует ресурсов уровня </w:t>
      </w:r>
      <w:proofErr w:type="spellStart"/>
      <w:r>
        <w:rPr>
          <w:color w:val="000000"/>
        </w:rPr>
        <w:t>Сбера</w:t>
      </w:r>
      <w:proofErr w:type="spellEnd"/>
      <w:r>
        <w:rPr>
          <w:color w:val="000000"/>
        </w:rPr>
        <w:t xml:space="preserve"> и не учитывает первичности B2B-согласований для биометрии (параграф 1.3); партнёрская стратегия у Face2 уже работает и не снимает асимметрию.</w:t>
      </w:r>
    </w:p>
    <w:p w:rsidR="00C4374C" w:rsidRDefault="00522436">
      <w:pPr>
        <w:ind w:firstLine="708"/>
      </w:pPr>
      <w:r>
        <w:rPr>
          <w:color w:val="000000"/>
        </w:rPr>
        <w:t xml:space="preserve">Развилка по уровням продаж: на первом уровне (КБС под ключ аккредитованным операторам) сохраняется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-контур с длительным циклом согласований и персональными продажами; на втором уровне (Face2Pay, Face2Pass, Face2Check-in) разворачивается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>-контур через цифровые каналы, контент-маркетинг и работу с ранними последователями. Такая конфигурация конвертирует уже накопленный институциональный капитал банка (регуляторное преимущество, стаж в ЕБС с 2018 года, банковская экосистема, более 10 млн пользователей ЕБС [27; 32; 39]) в массовое сообщение и массовый канал без размывания регуляторного позиционирования и без инвестиций в собственный B2C-маркетинг федерального масштаба.</w:t>
      </w:r>
    </w:p>
    <w:p w:rsidR="00C4374C" w:rsidRDefault="00522436">
      <w:pPr>
        <w:ind w:firstLine="708"/>
      </w:pPr>
      <w:r>
        <w:rPr>
          <w:color w:val="000000"/>
        </w:rPr>
        <w:t xml:space="preserve">Вывод по параграфу 3.1. Стратегия продвижения Face2 на горизонте 2026–2028 годов </w:t>
      </w:r>
      <w:r w:rsidR="00875DD8">
        <w:rPr>
          <w:color w:val="000000"/>
        </w:rPr>
        <w:t>–</w:t>
      </w:r>
      <w:r>
        <w:rPr>
          <w:color w:val="000000"/>
        </w:rPr>
        <w:t xml:space="preserve"> интегрированная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-стратегия с асимметричным усилением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-контура на втором уровне продаж. Она закрывает три кластера пробелов таблицы 2.3.5, опирается на сильные стороны Face2 по таблице 2.2.6 и нацелена на трёхкратное увеличение подтверждённых внешних внедрений к базе 2025 года при доведении доли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-канала до уровня, сопоставимого с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. Слоган-</w:t>
      </w:r>
      <w:r>
        <w:rPr>
          <w:color w:val="000000"/>
        </w:rPr>
        <w:lastRenderedPageBreak/>
        <w:t xml:space="preserve">якорь «Биометрия по закону, банковский уровень доверия» переводит регуляторный капитал в массовое сообщение. Содержательное наполнение разрабатывается в параграфе 3.2, проверка эффективности </w:t>
      </w:r>
      <w:r w:rsidR="00875DD8">
        <w:rPr>
          <w:color w:val="000000"/>
        </w:rPr>
        <w:t>–</w:t>
      </w:r>
      <w:r>
        <w:rPr>
          <w:color w:val="000000"/>
        </w:rPr>
        <w:t xml:space="preserve"> в параграфе 3.3.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3.2. Разработка комплекса маркетинговых мероприятий по продвижению Face2</w:t>
      </w:r>
    </w:p>
    <w:p w:rsidR="00C4374C" w:rsidRDefault="00522436">
      <w:pPr>
        <w:ind w:firstLine="708"/>
      </w:pPr>
      <w:r>
        <w:rPr>
          <w:color w:val="000000"/>
        </w:rPr>
        <w:t xml:space="preserve">Настоящий параграф переводит стратегические направления, сегментирование и позиционирование, обоснованные в параграфе 3.1, в комплекс конкретных мероприятий по логике «направления → </w:t>
      </w:r>
      <w:proofErr w:type="spellStart"/>
      <w:r>
        <w:rPr>
          <w:color w:val="000000"/>
        </w:rPr>
        <w:t>офферы</w:t>
      </w:r>
      <w:proofErr w:type="spellEnd"/>
      <w:r>
        <w:rPr>
          <w:color w:val="000000"/>
        </w:rPr>
        <w:t xml:space="preserve"> → каналы → контент и PR → этапы внедрения → бюджет» [18, с. 5; 8, с. 412; 10, с. 156]. Каждое мероприятие имеет адресный пробел из таблицы 2.3.5, который оно закрывает, и адресную задачу из таблицы 3.1.1, которую оно решает.</w:t>
      </w:r>
    </w:p>
    <w:p w:rsidR="00C4374C" w:rsidRDefault="00522436">
      <w:pPr>
        <w:ind w:firstLine="708"/>
      </w:pPr>
      <w:r>
        <w:rPr>
          <w:color w:val="000000"/>
        </w:rPr>
        <w:t xml:space="preserve">Двухуровневая модель продаж Face2 (таблица 2.1.4) предполагает, что стратегические направления не могут быть едиными для всех сегментов: длительный цикл КБС-проектов уровня 1 несовместим с массовой коммуникацией, а транзакционная экономика подключений уровня 2 </w:t>
      </w:r>
      <w:r w:rsidR="00875DD8">
        <w:rPr>
          <w:color w:val="000000"/>
        </w:rPr>
        <w:t>–</w:t>
      </w:r>
      <w:r>
        <w:rPr>
          <w:color w:val="000000"/>
        </w:rPr>
        <w:t xml:space="preserve"> с режимом единичных персональных продаж [27; 28; 29]. Выделяются три направления продвижения </w:t>
      </w:r>
      <w:r w:rsidR="00875DD8">
        <w:rPr>
          <w:color w:val="000000"/>
        </w:rPr>
        <w:t>–</w:t>
      </w:r>
      <w:r>
        <w:rPr>
          <w:color w:val="000000"/>
        </w:rPr>
        <w:t xml:space="preserve"> А (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в B2B длинного цикла, уровень 1), Б (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 в B2B/B2G короткого цикла, уровень 2) и В (B2C-слой как подложка к уровню 2, реализующий теорию диффузии Э. </w:t>
      </w:r>
      <w:proofErr w:type="spellStart"/>
      <w:r>
        <w:rPr>
          <w:color w:val="000000"/>
        </w:rPr>
        <w:t>Роджерса</w:t>
      </w:r>
      <w:proofErr w:type="spellEnd"/>
      <w:r>
        <w:rPr>
          <w:color w:val="000000"/>
        </w:rPr>
        <w:t xml:space="preserve"> для ранних последователей и раннего большинства [14, с. 156, 161]). Сводная характеристика дана в таблице 3.2.1.</w:t>
      </w:r>
    </w:p>
    <w:p w:rsidR="00C4374C" w:rsidRDefault="00522436">
      <w:pPr>
        <w:ind w:firstLine="708"/>
      </w:pPr>
      <w:r>
        <w:rPr>
          <w:color w:val="000000"/>
        </w:rPr>
        <w:t>Таблица 3.2.1</w:t>
      </w:r>
    </w:p>
    <w:p w:rsidR="00C4374C" w:rsidRDefault="00522436">
      <w:pPr>
        <w:ind w:firstLine="708"/>
      </w:pPr>
      <w:r>
        <w:rPr>
          <w:color w:val="000000"/>
        </w:rPr>
        <w:t>Стратегические направления продвижения Face2 по сегментам и уровням продаж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1287"/>
        <w:gridCol w:w="1909"/>
        <w:gridCol w:w="1207"/>
        <w:gridCol w:w="1546"/>
        <w:gridCol w:w="1538"/>
        <w:gridCol w:w="1391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lastRenderedPageBreak/>
              <w:t>Направление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Уровень продаж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Аудитория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Цикл сделки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 коммуникации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Точки входа в воронку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Закрываемые задачи 3.1.1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А. B2B длинного цикла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1 (КБС под ключ)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Банки, МФО, госструктуры федерального и регионального уровня, крупные корпорации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1–4 квартала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партнёрская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Персональные продажи, отраслевые конференции, экспертные публикации, </w:t>
            </w:r>
            <w:proofErr w:type="spellStart"/>
            <w:r>
              <w:rPr>
                <w:color w:val="000000"/>
                <w:sz w:val="24"/>
                <w:szCs w:val="24"/>
              </w:rPr>
              <w:t>демо</w:t>
            </w:r>
            <w:proofErr w:type="spellEnd"/>
            <w:r>
              <w:rPr>
                <w:color w:val="000000"/>
                <w:sz w:val="24"/>
                <w:szCs w:val="24"/>
              </w:rPr>
              <w:t>-зона АББ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а), в), д)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Б. B2B/B2G короткого цикла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Pr="00522436" w:rsidRDefault="00522436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Уровень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2 (Face2Pay, Face2Pass, Face2Check-in)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Ритейл, </w:t>
            </w:r>
            <w:proofErr w:type="spellStart"/>
            <w:r>
              <w:rPr>
                <w:color w:val="000000"/>
                <w:sz w:val="24"/>
                <w:szCs w:val="24"/>
              </w:rPr>
              <w:t>вендинг</w:t>
            </w:r>
            <w:proofErr w:type="spellEnd"/>
            <w:r>
              <w:rPr>
                <w:color w:val="000000"/>
                <w:sz w:val="24"/>
                <w:szCs w:val="24"/>
              </w:rPr>
              <w:t>, транспорт, БЦ, вузы, гостиницы, промпредприятия, аэропорты, спортивные объекты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2–8 недель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типовое отраслевое предложение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Цифровые каналы, партнёрские </w:t>
            </w:r>
            <w:proofErr w:type="spellStart"/>
            <w:r>
              <w:rPr>
                <w:color w:val="000000"/>
                <w:sz w:val="24"/>
                <w:szCs w:val="24"/>
              </w:rPr>
              <w:t>маркетплейсы</w:t>
            </w:r>
            <w:proofErr w:type="spellEnd"/>
            <w:r>
              <w:rPr>
                <w:color w:val="000000"/>
                <w:sz w:val="24"/>
                <w:szCs w:val="24"/>
              </w:rPr>
              <w:t>, CTA-механика на face2.ru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б), г), е)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В. B2C-слой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Подложка к уровню 2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Pr="00522436" w:rsidRDefault="00522436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Конечные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пользователи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Face2Pay, Face2Check-in, Face2Pass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Транзакция (секунды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минуты)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точка контакта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Терминал, приложение АБО, «Карта жителя РТ», массовые СМИ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в), г), ё)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на основе таблиц 2.1.4, 3.1.1, 3.1.2, [11, с. 567; 16, с. 48; 24, с. 106; 6, с. 87; 8, с. 567; 10, с. 198; 14, с. 156, 161]</w:t>
      </w:r>
    </w:p>
    <w:p w:rsidR="00C4374C" w:rsidRDefault="00522436">
      <w:pPr>
        <w:ind w:firstLine="708"/>
      </w:pPr>
      <w:r>
        <w:rPr>
          <w:color w:val="000000"/>
        </w:rPr>
        <w:t xml:space="preserve">Три направления закрывают разные кластеры пробелов 2.3.5: А и Б </w:t>
      </w:r>
      <w:r w:rsidR="00875DD8">
        <w:rPr>
          <w:color w:val="000000"/>
        </w:rPr>
        <w:t>–</w:t>
      </w:r>
      <w:r>
        <w:rPr>
          <w:color w:val="000000"/>
        </w:rPr>
        <w:t xml:space="preserve"> канальный (разведение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 по уровням продаж), Б и В </w:t>
      </w:r>
      <w:r w:rsidR="00875DD8">
        <w:rPr>
          <w:color w:val="000000"/>
        </w:rPr>
        <w:t>–</w:t>
      </w:r>
      <w:r>
        <w:rPr>
          <w:color w:val="000000"/>
        </w:rPr>
        <w:t xml:space="preserve"> сегментный (гостиничный, возрастная верификация, B2C) и географический (выход за пределы Республики Татарстан через цифровые каналы и массовые СМИ).</w:t>
      </w:r>
    </w:p>
    <w:p w:rsidR="00C4374C" w:rsidRDefault="00522436">
      <w:pPr>
        <w:ind w:firstLine="708"/>
      </w:pPr>
      <w:r>
        <w:rPr>
          <w:color w:val="000000"/>
        </w:rPr>
        <w:t xml:space="preserve">Принцип «один сегмент </w:t>
      </w:r>
      <w:r w:rsidR="00875DD8">
        <w:rPr>
          <w:color w:val="000000"/>
        </w:rPr>
        <w:t>–</w:t>
      </w:r>
      <w:r>
        <w:rPr>
          <w:color w:val="000000"/>
        </w:rPr>
        <w:t xml:space="preserve"> одно ценностное предложение» [5, с. 124; 8, с. 318] требует от стратегии Face2 матрицы из шести </w:t>
      </w:r>
      <w:proofErr w:type="spellStart"/>
      <w:r>
        <w:rPr>
          <w:color w:val="000000"/>
        </w:rPr>
        <w:t>офферов</w:t>
      </w:r>
      <w:proofErr w:type="spellEnd"/>
      <w:r>
        <w:rPr>
          <w:color w:val="000000"/>
        </w:rPr>
        <w:t xml:space="preserve"> с собственным ценностным предложением, ключевым сообщением, количественной аргументацией и форматом коммерческого предложения для каждого сегмента из таблицы 3.1.2. Это закрывает контентный пробел 2 (регуляторный капитал переводится в массовое сообщение раздельно по сегментам) и сегментный пробел 3 таблицы 2.3.5.</w:t>
      </w:r>
    </w:p>
    <w:p w:rsidR="00C4374C" w:rsidRDefault="00522436">
      <w:pPr>
        <w:ind w:firstLine="708"/>
      </w:pPr>
      <w:r>
        <w:rPr>
          <w:color w:val="000000"/>
        </w:rPr>
        <w:t>Таблица 3.2.2</w:t>
      </w:r>
    </w:p>
    <w:p w:rsidR="00C4374C" w:rsidRDefault="00522436">
      <w:pPr>
        <w:ind w:firstLine="708"/>
      </w:pPr>
      <w:r>
        <w:rPr>
          <w:color w:val="000000"/>
        </w:rPr>
        <w:t xml:space="preserve">Отраслевые </w:t>
      </w:r>
      <w:proofErr w:type="spellStart"/>
      <w:r>
        <w:rPr>
          <w:color w:val="000000"/>
        </w:rPr>
        <w:t>офферы</w:t>
      </w:r>
      <w:proofErr w:type="spellEnd"/>
      <w:r>
        <w:rPr>
          <w:color w:val="000000"/>
        </w:rPr>
        <w:t xml:space="preserve"> Face2 для шести приоритетных сегментов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1659"/>
        <w:gridCol w:w="1648"/>
        <w:gridCol w:w="1820"/>
        <w:gridCol w:w="1598"/>
        <w:gridCol w:w="1391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lastRenderedPageBreak/>
              <w:t>Сегмент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Ценностное предложение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Ключевое сообщение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Количественные аргументы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Формат КП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Закрываемые пробелы 2.3.5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Банки и МФО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КБС под ключ от регионального банка с банковской экспертизой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«Безопасность и соответствие 572-ФЗ»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Одна из 16 аккредитованных КБС в РФ; стаж в ЕБС с 2018 г.; 5 тыс. сотрудников и 200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  <w:r>
              <w:rPr>
                <w:color w:val="000000"/>
                <w:sz w:val="24"/>
                <w:szCs w:val="24"/>
              </w:rPr>
              <w:t>; № 101 в перечне Банка России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Экспертная встреча + RFP + </w:t>
            </w:r>
            <w:proofErr w:type="spellStart"/>
            <w:r>
              <w:rPr>
                <w:color w:val="000000"/>
                <w:sz w:val="24"/>
                <w:szCs w:val="24"/>
              </w:rPr>
              <w:t>демо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ТЭО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2, 5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Ритейл и </w:t>
            </w:r>
            <w:proofErr w:type="spellStart"/>
            <w:r>
              <w:rPr>
                <w:color w:val="000000"/>
                <w:sz w:val="24"/>
                <w:szCs w:val="24"/>
              </w:rPr>
              <w:t>вендинг</w:t>
            </w:r>
            <w:proofErr w:type="spellEnd"/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Биоэквайринг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возрастная верификация без аккредитации заказчика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«Платёж лицом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быстрее, чем картой и QR»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770 руб. среднего чека; 145,9 млн платежей в РФ за 9 мес. 2025 г.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Типовое КП + онлайн-заявка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3, 6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Транспорт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Оплата проезда лицом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кейс Казанского метро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«Уже работает в одной из крупнейших транспортных систем РФ»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Партнёрство с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>, Минтрансом, ЦБТ, НСПК; 145,9 млн платежей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Пилот с региональным оператором и Минтрансом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3, 4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Гостиницы, массовые объекты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Заселение и проход без паспорта по вектору ЕБС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«50+ млн векторов полезной базы ЕБС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ваши гости тоже»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119 млн векторов в ГИС ЕБС на 31.12.2025; полезная база &gt; 50 млн; десятикратный рост за 2024–2025 гг.; сокращение времени заселения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Типовое КП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3, 8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Промпредприятия, БЦ, вузы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СКУД на лицах через ЕБС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«Карты и пропуска можно списать»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Внутренний кейс АББ; снижение операционных рисков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Типовое КП + </w:t>
            </w:r>
            <w:proofErr w:type="spellStart"/>
            <w:r>
              <w:rPr>
                <w:color w:val="000000"/>
                <w:sz w:val="24"/>
                <w:szCs w:val="24"/>
              </w:rPr>
              <w:t>опц</w:t>
            </w:r>
            <w:proofErr w:type="spellEnd"/>
            <w:r>
              <w:rPr>
                <w:color w:val="000000"/>
                <w:sz w:val="24"/>
                <w:szCs w:val="24"/>
              </w:rPr>
              <w:t>. пилот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3, 7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Госучреждения, МФЦ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Идентификация граждан без документов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«</w:t>
            </w:r>
            <w:proofErr w:type="spellStart"/>
            <w:r>
              <w:rPr>
                <w:color w:val="000000"/>
                <w:sz w:val="24"/>
                <w:szCs w:val="24"/>
              </w:rPr>
              <w:t>Цифровизация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без потери юридической силы»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450 131 «Карта жителя РТ»; 5-уровневый регуляторный контур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Пилот в субъекте → тиражирование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3, 4, 8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на основе таблиц 2.2.2, 3.1.2, [5, с. 124; 8, с. 318; 27; 26, с. 29, 33; 35; 32; 39; 37; 34; 28; 29], а также по предоставленным компанией данным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Матрица решает три задачи: переводит регуляторный капитал в шесть сообщений, понятных операционному менеджменту конкретных сегментов; фиксирует количественную доказательную базу для каждого </w:t>
      </w:r>
      <w:proofErr w:type="spellStart"/>
      <w:r>
        <w:rPr>
          <w:color w:val="000000"/>
        </w:rPr>
        <w:t>оффера</w:t>
      </w:r>
      <w:proofErr w:type="spellEnd"/>
      <w:r>
        <w:rPr>
          <w:color w:val="000000"/>
        </w:rPr>
        <w:t xml:space="preserve">; дифференцирует формат КП </w:t>
      </w:r>
      <w:r w:rsidR="00875DD8">
        <w:rPr>
          <w:color w:val="000000"/>
        </w:rPr>
        <w:t>–</w:t>
      </w:r>
      <w:r>
        <w:rPr>
          <w:color w:val="000000"/>
        </w:rPr>
        <w:t xml:space="preserve"> от экспертной встречи с RFP в банковском сегменте до онлайн-заявки в ритейле.</w:t>
      </w:r>
    </w:p>
    <w:p w:rsidR="00C4374C" w:rsidRDefault="00522436">
      <w:pPr>
        <w:ind w:firstLine="708"/>
      </w:pPr>
      <w:r>
        <w:rPr>
          <w:color w:val="000000"/>
        </w:rPr>
        <w:t xml:space="preserve">Канальная структура Face2 формируется как ответ на канальный (1), географический (8) и конверсионный (6) пробелы таблицы 2.3.5. Принципиальное решение </w:t>
      </w:r>
      <w:r w:rsidR="00875DD8">
        <w:rPr>
          <w:color w:val="000000"/>
        </w:rPr>
        <w:t>–</w:t>
      </w:r>
      <w:r>
        <w:rPr>
          <w:color w:val="000000"/>
        </w:rPr>
        <w:t xml:space="preserve"> сохранение сильного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-контура (внутренний контур банка, партнёрские каналы федерального уровня, демонстрационные каналы в Республике Татарстан, инвентаризированные в таблице 2.3.2) и достройка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>-контура за счёт четырёх канальных групп: цифровых каналов, экспертных офлайн-каналов, партнёрских каналов и банковской экосистемы как самостоятельного канала. Целевая структура представлена в таблице 3.2.3.</w:t>
      </w:r>
    </w:p>
    <w:p w:rsidR="00C4374C" w:rsidRDefault="00522436">
      <w:pPr>
        <w:ind w:firstLine="708"/>
      </w:pPr>
      <w:r>
        <w:rPr>
          <w:color w:val="000000"/>
        </w:rPr>
        <w:t>Таблица 3.2.3</w:t>
      </w:r>
    </w:p>
    <w:p w:rsidR="00C4374C" w:rsidRDefault="00522436">
      <w:pPr>
        <w:ind w:firstLine="708"/>
      </w:pPr>
      <w:r>
        <w:rPr>
          <w:color w:val="000000"/>
        </w:rPr>
        <w:t>Целевая канальная структура продвижения Face2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9"/>
        <w:gridCol w:w="2488"/>
        <w:gridCol w:w="585"/>
        <w:gridCol w:w="1661"/>
        <w:gridCol w:w="1838"/>
        <w:gridCol w:w="1413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Группа каналов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Канал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Обслуживаемое направление 3.2.1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Этап воронки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Закрываемый пробел 2.3.5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Цифровые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face2.ru с CTA-механикой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Б, В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Интерес → Доверие → Пилот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1, 6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Цифровые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Контекстная реклама в «Яндексе»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Осведомлённость → Интерес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Цифровые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Pr="00522436" w:rsidRDefault="00522436">
            <w:pPr>
              <w:spacing w:line="240" w:lineRule="auto"/>
              <w:jc w:val="left"/>
              <w:rPr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Соцсети</w:t>
            </w:r>
            <w:proofErr w:type="spellEnd"/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Face2 (Telegram, </w:t>
            </w:r>
            <w:proofErr w:type="spellStart"/>
            <w:r>
              <w:rPr>
                <w:color w:val="000000"/>
                <w:sz w:val="24"/>
                <w:szCs w:val="24"/>
              </w:rPr>
              <w:t>ВКонтакте</w:t>
            </w:r>
            <w:proofErr w:type="spellEnd"/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2436">
              <w:rPr>
                <w:color w:val="000000"/>
                <w:sz w:val="24"/>
                <w:szCs w:val="24"/>
                <w:lang w:val="en-US"/>
              </w:rPr>
              <w:t>Habr</w:t>
            </w:r>
            <w:proofErr w:type="spellEnd"/>
            <w:r w:rsidRPr="00522436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А, Б, В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Осведомлённость → Доверие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1, 2, 5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Цифровые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Email</w:t>
            </w:r>
            <w:proofErr w:type="spellEnd"/>
            <w:r>
              <w:rPr>
                <w:color w:val="000000"/>
                <w:sz w:val="24"/>
                <w:szCs w:val="24"/>
              </w:rPr>
              <w:t>-маркетинг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А, Б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Интерес → Доверие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1, 7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Офлайн-экспертные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Отраслевые конференции (FINOPOLIS, CIPR и др.)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Доверие → Пилот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сохранение </w:t>
            </w: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Офлайн-экспертные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Демонстрационная зона АББ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Доверие → Пилот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Офлайн-экспертные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Закрытые экспертные встречи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Пилот → Принятие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сохранение </w:t>
            </w: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Партнёрские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Интеграторы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Интерес → Пилот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Партнёрские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Вендоры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оборудования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Интерес → Пилот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Партнёрские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Государственные партнёры (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>, Минтранс, ЦБТ, НСПК)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А, B2G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Доверие → Пилот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Экосистемные</w:t>
            </w:r>
            <w:proofErr w:type="spellEnd"/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Мобильное приложение АБО АББ (930 тыс. пользователей)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Осведомлённость → Доверие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Экосистемные</w:t>
            </w:r>
            <w:proofErr w:type="spellEnd"/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«Карта жителя РТ» (450 131 карта)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Осведомлённость → Доверие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Экосистемные</w:t>
            </w:r>
            <w:proofErr w:type="spellEnd"/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Сеть из 166 офисов АББ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Регистрация в ЕБС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на основе шестиэтапной воронки (§ 1.2), 2.3.2, [6, с. 87; 7; 27; 26, с. 17, 29, 30–31, 33]</w:t>
      </w:r>
    </w:p>
    <w:p w:rsidR="00C4374C" w:rsidRDefault="00522436">
      <w:pPr>
        <w:ind w:firstLine="708"/>
      </w:pPr>
      <w:r>
        <w:rPr>
          <w:color w:val="000000"/>
        </w:rPr>
        <w:t xml:space="preserve">К существующей структуре «как есть» (таблица 2.3.2) добавляются четыре новых элемента: переоснащённый face2.ru с CTA-механикой, отдельный бренд Face2 в </w:t>
      </w:r>
      <w:proofErr w:type="spellStart"/>
      <w:r>
        <w:rPr>
          <w:color w:val="000000"/>
        </w:rPr>
        <w:t>соцсетях</w:t>
      </w:r>
      <w:proofErr w:type="spellEnd"/>
      <w:r>
        <w:rPr>
          <w:color w:val="000000"/>
        </w:rPr>
        <w:t xml:space="preserve">, контекстная реклама под направление Б и банковская экосистема как самостоятельный канал направления В.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-блок при этом сохраняется в полном объёме, что соответствует асимметричной интегрированной стратегии § 3.1.5.</w:t>
      </w:r>
    </w:p>
    <w:p w:rsidR="00C4374C" w:rsidRDefault="00522436">
      <w:pPr>
        <w:ind w:firstLine="708"/>
      </w:pPr>
      <w:r>
        <w:rPr>
          <w:color w:val="000000"/>
        </w:rPr>
        <w:t xml:space="preserve">Контентная и PR-стратегия наполняет этап «Доверие» маркетинговой воронки массовой аудиторией и синхронно закрывает три пробела аргументации таблицы 2.3.5: контентный (2) </w:t>
      </w:r>
      <w:r w:rsidR="00875DD8">
        <w:rPr>
          <w:color w:val="000000"/>
        </w:rPr>
        <w:t>–</w:t>
      </w:r>
      <w:r>
        <w:rPr>
          <w:color w:val="000000"/>
        </w:rPr>
        <w:t xml:space="preserve"> переводом регуляторного капитала в массовое сообщение; доказательный (4) </w:t>
      </w:r>
      <w:r w:rsidR="00875DD8">
        <w:rPr>
          <w:color w:val="000000"/>
        </w:rPr>
        <w:t>–</w:t>
      </w:r>
      <w:r>
        <w:rPr>
          <w:color w:val="000000"/>
        </w:rPr>
        <w:t xml:space="preserve"> планом независимой международной верификации точности (NIST FRTE,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2); пробел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 (5) </w:t>
      </w:r>
      <w:r w:rsidR="00875DD8">
        <w:rPr>
          <w:color w:val="000000"/>
        </w:rPr>
        <w:t>–</w:t>
      </w:r>
      <w:r>
        <w:rPr>
          <w:color w:val="000000"/>
        </w:rPr>
        <w:t xml:space="preserve"> формированием публичной линейки из четырёх ролей: CISO банка, юрист по № 572-ФЗ, </w:t>
      </w:r>
      <w:proofErr w:type="spellStart"/>
      <w:r>
        <w:rPr>
          <w:color w:val="000000"/>
        </w:rPr>
        <w:t>продакт</w:t>
      </w:r>
      <w:proofErr w:type="spellEnd"/>
      <w:r>
        <w:rPr>
          <w:color w:val="000000"/>
        </w:rPr>
        <w:t xml:space="preserve">-менеджер Face2, </w:t>
      </w:r>
      <w:proofErr w:type="spellStart"/>
      <w:r>
        <w:rPr>
          <w:color w:val="000000"/>
        </w:rPr>
        <w:t>амбассадоры</w:t>
      </w:r>
      <w:proofErr w:type="spellEnd"/>
      <w:r>
        <w:rPr>
          <w:color w:val="000000"/>
        </w:rPr>
        <w:t xml:space="preserve"> из числа </w:t>
      </w:r>
      <w:proofErr w:type="spellStart"/>
      <w:r>
        <w:rPr>
          <w:color w:val="000000"/>
        </w:rPr>
        <w:t>референс</w:t>
      </w:r>
      <w:proofErr w:type="spellEnd"/>
      <w:r>
        <w:rPr>
          <w:color w:val="000000"/>
        </w:rPr>
        <w:t xml:space="preserve">-клиентов. Контент-конвейер строится на трёх типах материалов </w:t>
      </w:r>
      <w:r w:rsidR="00875DD8">
        <w:rPr>
          <w:color w:val="000000"/>
        </w:rPr>
        <w:t>–</w:t>
      </w:r>
      <w:r>
        <w:rPr>
          <w:color w:val="000000"/>
        </w:rPr>
        <w:t xml:space="preserve"> регуляторном, </w:t>
      </w:r>
      <w:proofErr w:type="spellStart"/>
      <w:r>
        <w:rPr>
          <w:color w:val="000000"/>
        </w:rPr>
        <w:t>кейсовом</w:t>
      </w:r>
      <w:proofErr w:type="spellEnd"/>
      <w:r>
        <w:rPr>
          <w:color w:val="000000"/>
        </w:rPr>
        <w:t xml:space="preserve"> и доказательном [1; 36; 35; 40; 37; 2; 3; 4; 28; 29]. PR-стратегия выводит размещения за пределы татарстанских изданий в деловые федеральные СМИ и отраслевые ИТ-каталоги, закрывая географический (8) и канальный (1) пробелы. Распределение мероприятий сведено в таблице 3.2.4.</w:t>
      </w:r>
    </w:p>
    <w:p w:rsidR="00C4374C" w:rsidRDefault="00522436">
      <w:pPr>
        <w:ind w:firstLine="708"/>
      </w:pPr>
      <w:r>
        <w:rPr>
          <w:color w:val="000000"/>
        </w:rPr>
        <w:t>Таблица 3.2.4</w:t>
      </w:r>
    </w:p>
    <w:p w:rsidR="00C4374C" w:rsidRDefault="00522436">
      <w:pPr>
        <w:ind w:firstLine="708"/>
      </w:pPr>
      <w:r>
        <w:rPr>
          <w:color w:val="000000"/>
        </w:rPr>
        <w:lastRenderedPageBreak/>
        <w:t>Контентная и PR-стратегия Face2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2013"/>
        <w:gridCol w:w="1660"/>
        <w:gridCol w:w="1641"/>
        <w:gridCol w:w="1393"/>
        <w:gridCol w:w="1413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 активности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Конкретное мероприятие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Регулярность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Канал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Спикер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Закрываемый пробел 2.3.5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Контент-конвейер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Регуляторные обзоры (572-ФЗ, ЕБС, КБС, 420-ФЗ, 421-ФЗ)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2 публикации в месяц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Сайт + </w:t>
            </w:r>
            <w:proofErr w:type="spellStart"/>
            <w:r>
              <w:rPr>
                <w:color w:val="000000"/>
                <w:sz w:val="24"/>
                <w:szCs w:val="24"/>
              </w:rPr>
              <w:t>соцсети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000000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Юрист по 572-ФЗ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2, 5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Контент-конвейер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Кейсы внедрений с расчётом эффекта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 кейс в месяц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Сайт + </w:t>
            </w:r>
            <w:proofErr w:type="spellStart"/>
            <w:r>
              <w:rPr>
                <w:color w:val="000000"/>
                <w:sz w:val="24"/>
                <w:szCs w:val="24"/>
              </w:rPr>
              <w:t>соцсети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СМИ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Продакт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-менеджер + </w:t>
            </w:r>
            <w:proofErr w:type="spellStart"/>
            <w:r>
              <w:rPr>
                <w:color w:val="000000"/>
                <w:sz w:val="24"/>
                <w:szCs w:val="24"/>
              </w:rPr>
              <w:t>амбассадор</w:t>
            </w:r>
            <w:proofErr w:type="spellEnd"/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3, 7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Контент-конвейер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Технические материалы (точность, </w:t>
            </w:r>
            <w:proofErr w:type="spellStart"/>
            <w:r>
              <w:rPr>
                <w:color w:val="000000"/>
                <w:sz w:val="24"/>
                <w:szCs w:val="24"/>
              </w:rPr>
              <w:t>спуфинг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дипфейки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 публикация в квартал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Habr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сайт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CISO + </w:t>
            </w:r>
            <w:proofErr w:type="spellStart"/>
            <w:r>
              <w:rPr>
                <w:color w:val="000000"/>
                <w:sz w:val="24"/>
                <w:szCs w:val="24"/>
              </w:rPr>
              <w:t>продакт</w:t>
            </w:r>
            <w:proofErr w:type="spellEnd"/>
            <w:r>
              <w:rPr>
                <w:color w:val="000000"/>
                <w:sz w:val="24"/>
                <w:szCs w:val="24"/>
              </w:rPr>
              <w:t>-менеджер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4, 5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PR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Размещения в деловых федеральных СМИ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1–2 в квартал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«Ведомости», РБК, «Коммерсантъ»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Профильный спикер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1, 8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PR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Размещения в ИТ-каталогах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 мере выхода обновлений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TAdviser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CNews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Продакт</w:t>
            </w:r>
            <w:proofErr w:type="spellEnd"/>
            <w:r>
              <w:rPr>
                <w:color w:val="000000"/>
                <w:sz w:val="24"/>
                <w:szCs w:val="24"/>
              </w:rPr>
              <w:t>-менеджер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1, 4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Сертификация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NIST FRTE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Подача заявки в фазе 1, результат в фазе 2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Сертификация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Level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 (</w:t>
            </w:r>
            <w:proofErr w:type="spellStart"/>
            <w:r>
              <w:rPr>
                <w:color w:val="000000"/>
                <w:sz w:val="24"/>
                <w:szCs w:val="24"/>
              </w:rPr>
              <w:t>антиспуфинг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Подача заявки в фазе 1, результат в фазе 2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Линейка спикеров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Публичные выступления на конференциях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4–6 в год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FINOPOLIS, CIPR, отраслевые форумы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Все четыре роли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на основе шестиэтапной воронки (§ 1.2), 2.3.3, [16, с. 43–48; 24, с. 100–110; 6, с. 87; 7; 1; 36; 35; 40; 32; 37; 2; 3; 4; 28; 29]</w:t>
      </w:r>
    </w:p>
    <w:p w:rsidR="00C4374C" w:rsidRDefault="00522436">
      <w:pPr>
        <w:ind w:firstLine="708"/>
      </w:pPr>
      <w:r>
        <w:rPr>
          <w:color w:val="000000"/>
        </w:rPr>
        <w:t>От существующей практики Face2 стратегия отличается тремя элементами: переходом от точечных пресс-релизов к регулярному контент-конвейеру; планом получения независимой международной верификации точности; формированием публичной линейки из четырёх спикеров вместо одного контактного менеджера. Совокупно эти элементы наполняют этап «Доверие» массовой аудиторией без размывания регуляторного позиционирования.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Горизонт реализации </w:t>
      </w:r>
      <w:r w:rsidR="00875DD8">
        <w:rPr>
          <w:color w:val="000000"/>
        </w:rPr>
        <w:t>–</w:t>
      </w:r>
      <w:r>
        <w:rPr>
          <w:color w:val="000000"/>
        </w:rPr>
        <w:t xml:space="preserve"> 36 месяцев, разделённых на три фазы. Содержательная логика по фазам сведена в таблице 3.2.5; календарный план с RACI и контрольными точками </w:t>
      </w:r>
      <w:r w:rsidR="00875DD8">
        <w:rPr>
          <w:color w:val="000000"/>
        </w:rPr>
        <w:t>–</w:t>
      </w:r>
      <w:r>
        <w:rPr>
          <w:color w:val="000000"/>
        </w:rPr>
        <w:t xml:space="preserve"> в подразделе 3.3.4 (разделение содержательной и организационной плоскостей внедрения).</w:t>
      </w:r>
    </w:p>
    <w:p w:rsidR="00C4374C" w:rsidRDefault="00522436">
      <w:pPr>
        <w:ind w:firstLine="708"/>
      </w:pPr>
      <w:r>
        <w:rPr>
          <w:color w:val="000000"/>
        </w:rPr>
        <w:t>Таблица 3.2.5</w:t>
      </w:r>
    </w:p>
    <w:p w:rsidR="00C4374C" w:rsidRDefault="00522436">
      <w:pPr>
        <w:ind w:firstLine="708"/>
      </w:pPr>
      <w:r>
        <w:rPr>
          <w:color w:val="000000"/>
        </w:rPr>
        <w:t>Содержательная логика этапов реализации стратегии продвижения Face2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976"/>
        <w:gridCol w:w="2641"/>
        <w:gridCol w:w="1391"/>
        <w:gridCol w:w="2710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Горизонт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Закрываемые пробелы 2.3.5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Что должно быть готово к выходу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1. Активация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мес. 1–6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CTA-сайт, контент-конвейер, линейка спикеров, заявки на NIST/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бренд в </w:t>
            </w:r>
            <w:proofErr w:type="spellStart"/>
            <w:r>
              <w:rPr>
                <w:color w:val="000000"/>
                <w:sz w:val="24"/>
                <w:szCs w:val="24"/>
              </w:rPr>
              <w:t>соцсетях</w:t>
            </w:r>
            <w:proofErr w:type="spellEnd"/>
            <w:r>
              <w:rPr>
                <w:color w:val="000000"/>
                <w:sz w:val="24"/>
                <w:szCs w:val="24"/>
              </w:rPr>
              <w:t>, типовые КП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 (частично), 2, 5, 6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Инфраструктура привлечения </w:t>
            </w:r>
            <w:proofErr w:type="spellStart"/>
            <w:r>
              <w:rPr>
                <w:color w:val="000000"/>
                <w:sz w:val="24"/>
                <w:szCs w:val="24"/>
              </w:rPr>
              <w:t>лидов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доказательная база в работе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2. Масштабирование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мес. 7–18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Конференции, партнёрская сеть, пилоты в трёх сегментах, экосистема как канал, размещения в СМИ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1, 3, 4, 8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Накопленная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база и подтверждённые сертификации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 Закрепление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мес. 19–36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Референс</w:t>
            </w:r>
            <w:proofErr w:type="spellEnd"/>
            <w:r>
              <w:rPr>
                <w:color w:val="000000"/>
                <w:sz w:val="24"/>
                <w:szCs w:val="24"/>
              </w:rPr>
              <w:t>-программа, расширение географии, эволюция продукта, закрепление в B2G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7, 8 (углубление)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Устойчивая узнаваемость и зрелая </w:t>
            </w:r>
            <w:proofErr w:type="spellStart"/>
            <w:r>
              <w:rPr>
                <w:color w:val="000000"/>
                <w:sz w:val="24"/>
                <w:szCs w:val="24"/>
              </w:rPr>
              <w:t>pull</w:t>
            </w:r>
            <w:proofErr w:type="spellEnd"/>
            <w:r>
              <w:rPr>
                <w:color w:val="000000"/>
                <w:sz w:val="24"/>
                <w:szCs w:val="24"/>
              </w:rPr>
              <w:t>-воронка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на основе анализа подразделов 3.2.1–3.2.4 с опорой на [18, с. 5; 8, с. 412; 10, с. 156]</w:t>
      </w:r>
    </w:p>
    <w:p w:rsidR="00C4374C" w:rsidRDefault="00522436">
      <w:pPr>
        <w:ind w:firstLine="708"/>
      </w:pPr>
      <w:r>
        <w:rPr>
          <w:color w:val="000000"/>
        </w:rPr>
        <w:t xml:space="preserve">Закрытие восьми пробелов распределяется по фазам неравномерно: пробелы аргументации (2, 5) и инфраструктуры воронки (6) </w:t>
      </w:r>
      <w:r w:rsidR="00875DD8">
        <w:rPr>
          <w:color w:val="000000"/>
        </w:rPr>
        <w:t>–</w:t>
      </w:r>
      <w:r>
        <w:rPr>
          <w:color w:val="000000"/>
        </w:rPr>
        <w:t xml:space="preserve"> в фазе активации; пробелы охвата (1, 3, 8) и доказательный (4) </w:t>
      </w:r>
      <w:r w:rsidR="00875DD8">
        <w:rPr>
          <w:color w:val="000000"/>
        </w:rPr>
        <w:t>–</w:t>
      </w:r>
      <w:r>
        <w:rPr>
          <w:color w:val="000000"/>
        </w:rPr>
        <w:t xml:space="preserve"> в фазе масштабирования; </w:t>
      </w:r>
      <w:proofErr w:type="spellStart"/>
      <w:r>
        <w:rPr>
          <w:color w:val="000000"/>
        </w:rPr>
        <w:t>лояльностный</w:t>
      </w:r>
      <w:proofErr w:type="spellEnd"/>
      <w:r>
        <w:rPr>
          <w:color w:val="000000"/>
        </w:rPr>
        <w:t xml:space="preserve"> (7) </w:t>
      </w:r>
      <w:r w:rsidR="00875DD8">
        <w:rPr>
          <w:color w:val="000000"/>
        </w:rPr>
        <w:t>–</w:t>
      </w:r>
      <w:r>
        <w:rPr>
          <w:color w:val="000000"/>
        </w:rPr>
        <w:t xml:space="preserve"> в фазе закрепления. Это распределение задаёт логику бюджета и системы KPI (§ 3.3): фаза 1 требует приоритетных вложений в CAPEX, фаза 2 </w:t>
      </w:r>
      <w:r w:rsidR="00875DD8">
        <w:rPr>
          <w:color w:val="000000"/>
        </w:rPr>
        <w:t>–</w:t>
      </w:r>
      <w:r>
        <w:rPr>
          <w:color w:val="000000"/>
        </w:rPr>
        <w:t xml:space="preserve"> в OPEX, фаза 3 </w:t>
      </w:r>
      <w:r w:rsidR="00875DD8">
        <w:rPr>
          <w:color w:val="000000"/>
        </w:rPr>
        <w:t>–</w:t>
      </w:r>
      <w:r>
        <w:rPr>
          <w:color w:val="000000"/>
        </w:rPr>
        <w:t xml:space="preserve"> поддерживающего бюджета.</w:t>
      </w:r>
    </w:p>
    <w:p w:rsidR="00C4374C" w:rsidRDefault="00522436">
      <w:pPr>
        <w:ind w:firstLine="708"/>
      </w:pPr>
      <w:r>
        <w:rPr>
          <w:color w:val="000000"/>
        </w:rPr>
        <w:t xml:space="preserve">Логические зависимости между фазами: CTA-механика на face2.ru (фаза 1) </w:t>
      </w:r>
      <w:r w:rsidR="00875DD8">
        <w:rPr>
          <w:color w:val="000000"/>
        </w:rPr>
        <w:t>–</w:t>
      </w:r>
      <w:r>
        <w:rPr>
          <w:color w:val="000000"/>
        </w:rPr>
        <w:t xml:space="preserve"> вход в </w:t>
      </w:r>
      <w:proofErr w:type="spellStart"/>
      <w:r>
        <w:rPr>
          <w:color w:val="000000"/>
        </w:rPr>
        <w:t>digital</w:t>
      </w:r>
      <w:proofErr w:type="spellEnd"/>
      <w:r>
        <w:rPr>
          <w:color w:val="000000"/>
        </w:rPr>
        <w:t xml:space="preserve">-каналы фазы 2; публичная линейка спикеров (фаза 1) </w:t>
      </w:r>
      <w:r w:rsidR="00875DD8">
        <w:rPr>
          <w:color w:val="000000"/>
        </w:rPr>
        <w:t>–</w:t>
      </w:r>
      <w:r>
        <w:rPr>
          <w:color w:val="000000"/>
        </w:rPr>
        <w:t xml:space="preserve"> вход в PR-активности фазы 2; результаты 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(фаза 2) </w:t>
      </w:r>
      <w:r w:rsidR="00875DD8">
        <w:rPr>
          <w:color w:val="000000"/>
        </w:rPr>
        <w:t>–</w:t>
      </w:r>
      <w:r>
        <w:rPr>
          <w:color w:val="000000"/>
        </w:rPr>
        <w:t xml:space="preserve"> вход в массовое позиционирование фазы 3; пилоты фазы 2 </w:t>
      </w:r>
      <w:r w:rsidR="00875DD8">
        <w:rPr>
          <w:color w:val="000000"/>
        </w:rPr>
        <w:t>–</w:t>
      </w:r>
      <w:r>
        <w:rPr>
          <w:color w:val="000000"/>
        </w:rPr>
        <w:t xml:space="preserve"> основа </w:t>
      </w:r>
      <w:proofErr w:type="spellStart"/>
      <w:r>
        <w:rPr>
          <w:color w:val="000000"/>
        </w:rPr>
        <w:t>референсной</w:t>
      </w:r>
      <w:proofErr w:type="spellEnd"/>
      <w:r>
        <w:rPr>
          <w:color w:val="000000"/>
        </w:rPr>
        <w:t xml:space="preserve"> базы фазы 3.</w:t>
      </w:r>
    </w:p>
    <w:p w:rsidR="00C4374C" w:rsidRDefault="00522436">
      <w:pPr>
        <w:ind w:firstLine="708"/>
      </w:pPr>
      <w:r>
        <w:rPr>
          <w:color w:val="000000"/>
        </w:rPr>
        <w:t xml:space="preserve">Бюджет переводит мероприятия 3.2.1–3.2.5 в плоскость затрат и формирует вход в § 3.3.2 для расчёта ROI. Структура бюджета строится по двум </w:t>
      </w:r>
      <w:r>
        <w:rPr>
          <w:color w:val="000000"/>
        </w:rPr>
        <w:lastRenderedPageBreak/>
        <w:t xml:space="preserve">разрезам: тип затрат (CAPEX </w:t>
      </w:r>
      <w:r w:rsidR="00875DD8">
        <w:rPr>
          <w:color w:val="000000"/>
        </w:rPr>
        <w:t>–</w:t>
      </w:r>
      <w:r>
        <w:rPr>
          <w:color w:val="000000"/>
        </w:rPr>
        <w:t xml:space="preserve"> разовые, OPEX </w:t>
      </w:r>
      <w:r w:rsidR="00875DD8">
        <w:rPr>
          <w:color w:val="000000"/>
        </w:rPr>
        <w:t>–</w:t>
      </w:r>
      <w:r>
        <w:rPr>
          <w:color w:val="000000"/>
        </w:rPr>
        <w:t xml:space="preserve"> текущие) и фаза реализации. Численные значения статей сформированы по отраслевым </w:t>
      </w:r>
      <w:proofErr w:type="spellStart"/>
      <w:r>
        <w:rPr>
          <w:color w:val="000000"/>
        </w:rPr>
        <w:t>бенчмаркам</w:t>
      </w:r>
      <w:proofErr w:type="spellEnd"/>
      <w:r>
        <w:rPr>
          <w:color w:val="000000"/>
        </w:rPr>
        <w:t xml:space="preserve"> B2B-маркетинга и рыночным ставкам сертификационных лабораторий 2025–2026 годов и подлежат уточнению по данным маркетинговой и финансовой служб ПАО «Ак Барс Банк».</w:t>
      </w:r>
    </w:p>
    <w:p w:rsidR="00C4374C" w:rsidRDefault="00522436">
      <w:pPr>
        <w:ind w:firstLine="708"/>
      </w:pPr>
      <w:r>
        <w:rPr>
          <w:color w:val="000000"/>
        </w:rPr>
        <w:t>Таблица 3.2.6</w:t>
      </w:r>
    </w:p>
    <w:p w:rsidR="00C4374C" w:rsidRDefault="00522436">
      <w:pPr>
        <w:ind w:firstLine="708"/>
      </w:pPr>
      <w:r>
        <w:rPr>
          <w:color w:val="000000"/>
        </w:rPr>
        <w:t>Бюджет мероприятий стратегии продвижения Face2 по фазам реализации, млн руб.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3"/>
        <w:gridCol w:w="807"/>
        <w:gridCol w:w="950"/>
        <w:gridCol w:w="1068"/>
        <w:gridCol w:w="1069"/>
        <w:gridCol w:w="955"/>
        <w:gridCol w:w="1333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Статья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1 (мес. 1–6)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2 (мес. 7–18)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3 (мес. 19–36)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Итого за 36 мес.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Связь с подразделом 3.2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Переоснащение face2.ru под CTA-механику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CAPEX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3.2.3, 3.2.4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Контентная студия (оборудование, первичная команда)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CAPEX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Заявки на NIST FRTE и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Level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CAPEX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5,0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Демонстрационные материалы и </w:t>
            </w:r>
            <w:proofErr w:type="spellStart"/>
            <w:r>
              <w:rPr>
                <w:color w:val="000000"/>
                <w:sz w:val="24"/>
                <w:szCs w:val="24"/>
              </w:rPr>
              <w:t>видеокейсы</w:t>
            </w:r>
            <w:proofErr w:type="spellEnd"/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CAPEX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0,8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0,8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3.2.1, 3.2.4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Брендинг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отдельной платформы Face2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CAPEX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0,8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0,8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Итого CAPEX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8,6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10,6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Контентный конвейер (команда, гонорары)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OPEX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10,0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15,0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29,0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PR-сопровождение (агентство / PR-менеджер)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OPEX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7,5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14,5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Контекстная реклама в «Яндексе»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OPEX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6,0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11,5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Email</w:t>
            </w:r>
            <w:proofErr w:type="spellEnd"/>
            <w:r>
              <w:rPr>
                <w:color w:val="000000"/>
                <w:sz w:val="24"/>
                <w:szCs w:val="24"/>
              </w:rPr>
              <w:t>-маркетинг и CRM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OPEX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0,3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2,8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Отраслевые конференции (стенды, спонсорство, командировки)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OPEX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4,0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10,5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Партнёрская программа (комиссии интеграторов и </w:t>
            </w:r>
            <w:proofErr w:type="spellStart"/>
            <w:r>
              <w:rPr>
                <w:color w:val="000000"/>
                <w:sz w:val="24"/>
                <w:szCs w:val="24"/>
              </w:rPr>
              <w:t>вендоров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OPEX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12,0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16,0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SMM (редактор, дизайнер, продвижение публикаций)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OPEX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5,0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9,5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3.2.3, 3.2.4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Референсная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программа (NPS, отзывы, кейс-</w:t>
            </w:r>
            <w:proofErr w:type="spellStart"/>
            <w:r>
              <w:rPr>
                <w:color w:val="000000"/>
                <w:sz w:val="24"/>
                <w:szCs w:val="24"/>
              </w:rPr>
              <w:t>стади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OPEX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3,0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3.2.5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Итого OPEX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10,3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32,5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54,0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96,8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Резерв (≈ 5 %)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0,9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5,3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Итого бюджет фазы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19,8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36,2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56,7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112,7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Кумулятивный бюджет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19,8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56,0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112,7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Источник: составлено автором по логике § 3.2.1–3.2.5; ставки контентной студии и PR-агентств на B2B-сегмент по среднерыночным значениям 2025–2026 гг.; стоимость заявок на 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2 по публичным прайсам соответствующих лабораторий; численные значения подлежат уточнению маркетинговой и финансовой службами ПАО «Ак Барс Банк»</w:t>
      </w:r>
    </w:p>
    <w:p w:rsidR="00C4374C" w:rsidRDefault="00522436">
      <w:pPr>
        <w:ind w:firstLine="708"/>
      </w:pPr>
      <w:r>
        <w:rPr>
          <w:color w:val="000000"/>
        </w:rPr>
        <w:t xml:space="preserve">Структура расходов даёт три устойчивых наблюдения для § 3.3.2. Во-первых, фаза 1 </w:t>
      </w:r>
      <w:r w:rsidR="00875DD8">
        <w:rPr>
          <w:color w:val="000000"/>
        </w:rPr>
        <w:t>–</w:t>
      </w:r>
      <w:r>
        <w:rPr>
          <w:color w:val="000000"/>
        </w:rPr>
        <w:t xml:space="preserve"> высокая доля CAPEX (8,6 из 19,8 млн руб., или 43 % бюджета фазы) и умеренный OPEX: запуск инфраструктуры </w:t>
      </w:r>
      <w:proofErr w:type="spellStart"/>
      <w:r>
        <w:rPr>
          <w:color w:val="000000"/>
        </w:rPr>
        <w:t>лидов</w:t>
      </w:r>
      <w:proofErr w:type="spellEnd"/>
      <w:r>
        <w:rPr>
          <w:color w:val="000000"/>
        </w:rPr>
        <w:t xml:space="preserve"> и подача заявок на сертификации концентрируются в первом полугодии. Во-вторых, фаза 2 </w:t>
      </w:r>
      <w:r w:rsidR="00875DD8">
        <w:rPr>
          <w:color w:val="000000"/>
        </w:rPr>
        <w:t>–</w:t>
      </w:r>
      <w:r>
        <w:rPr>
          <w:color w:val="000000"/>
        </w:rPr>
        <w:t xml:space="preserve"> резкое снижение CAPEX до 2,0 млн руб. (</w:t>
      </w:r>
      <w:proofErr w:type="spellStart"/>
      <w:r>
        <w:rPr>
          <w:color w:val="000000"/>
        </w:rPr>
        <w:t>досертификация</w:t>
      </w:r>
      <w:proofErr w:type="spellEnd"/>
      <w:r>
        <w:rPr>
          <w:color w:val="000000"/>
        </w:rPr>
        <w:t xml:space="preserve"> по NIST FRTE) и трёхкратный рост OPEX до 32,5 млн руб.: обслуживание коммерческой деятельности и плотная работа всех каналов. В-третьих, фаза 3 </w:t>
      </w:r>
      <w:r w:rsidR="00875DD8">
        <w:rPr>
          <w:color w:val="000000"/>
        </w:rPr>
        <w:t>–</w:t>
      </w:r>
      <w:r>
        <w:rPr>
          <w:color w:val="000000"/>
        </w:rPr>
        <w:t xml:space="preserve"> почти полностью OPEX (54,0 из 56,7 млн руб., или 95 %): сопровождение и наращивание партнёрской программы и </w:t>
      </w:r>
      <w:proofErr w:type="spellStart"/>
      <w:r>
        <w:rPr>
          <w:color w:val="000000"/>
        </w:rPr>
        <w:t>референсной</w:t>
      </w:r>
      <w:proofErr w:type="spellEnd"/>
      <w:r>
        <w:rPr>
          <w:color w:val="000000"/>
        </w:rPr>
        <w:t xml:space="preserve"> деятельности. Общий бюджет 36 месяцев </w:t>
      </w:r>
      <w:r w:rsidR="00875DD8">
        <w:rPr>
          <w:color w:val="000000"/>
        </w:rPr>
        <w:t>–</w:t>
      </w:r>
      <w:r>
        <w:rPr>
          <w:color w:val="000000"/>
        </w:rPr>
        <w:t xml:space="preserve"> 112,7 млн руб. </w:t>
      </w:r>
      <w:r w:rsidR="00875DD8">
        <w:rPr>
          <w:color w:val="000000"/>
        </w:rPr>
        <w:t>–</w:t>
      </w:r>
      <w:r>
        <w:rPr>
          <w:color w:val="000000"/>
        </w:rPr>
        <w:t xml:space="preserve"> соответствует масштабу маркетингового бюджета крупного регионального банка для одного продуктового направления и составляет менее 1 % от чистых процентных доходов АББ за 2025 год (58,1 млрд руб., таблица 2.1.1).</w:t>
      </w:r>
    </w:p>
    <w:p w:rsidR="00C4374C" w:rsidRDefault="00522436">
      <w:pPr>
        <w:ind w:firstLine="708"/>
      </w:pPr>
      <w:r>
        <w:rPr>
          <w:color w:val="000000"/>
        </w:rPr>
        <w:t xml:space="preserve">Вывод по параграфу 3.2. Комплекс маркетинговых мероприятий построен как операционная развёртка интегрированной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-стратегии и разворачивается в шести подразделах: три направления продвижения (3.2.1), шесть отраслевых </w:t>
      </w:r>
      <w:proofErr w:type="spellStart"/>
      <w:r>
        <w:rPr>
          <w:color w:val="000000"/>
        </w:rPr>
        <w:t>офферов</w:t>
      </w:r>
      <w:proofErr w:type="spellEnd"/>
      <w:r>
        <w:rPr>
          <w:color w:val="000000"/>
        </w:rPr>
        <w:t xml:space="preserve"> (3.2.2), четыре группы каналов (3.2.3), контент и PR с линейкой из четырёх спикеров и планом независимой сертификации (3.2.4), трёхфазная логика реализации (3.2.5) и численный бюджет 112,7 млн руб. за 36 месяцев в разрезе CAPEX и OPEX по фазам (3.2.6). Восемь пробелов таблицы 2.3.5 распределены между подразделами 3.2 без пропусков и дублирования. Ожидаемый эффект </w:t>
      </w:r>
      <w:r w:rsidR="00875DD8">
        <w:rPr>
          <w:color w:val="000000"/>
        </w:rPr>
        <w:t>–</w:t>
      </w:r>
      <w:r>
        <w:rPr>
          <w:color w:val="000000"/>
        </w:rPr>
        <w:t xml:space="preserve"> переход от точечной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-логики к интегрированной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-логике, перевод регуляторного капитала в шесть отраслевых сообщений и публичную линейку спикеров, ввод банковской экосистемы (АБО </w:t>
      </w:r>
      <w:r w:rsidR="00875DD8">
        <w:rPr>
          <w:color w:val="000000"/>
        </w:rPr>
        <w:t>–</w:t>
      </w:r>
      <w:r>
        <w:rPr>
          <w:color w:val="000000"/>
        </w:rPr>
        <w:t xml:space="preserve"> 930 тыс. пользователей, «Карта жителя РТ» </w:t>
      </w:r>
      <w:r w:rsidR="00875DD8">
        <w:rPr>
          <w:color w:val="000000"/>
        </w:rPr>
        <w:t>–</w:t>
      </w:r>
      <w:r>
        <w:rPr>
          <w:color w:val="000000"/>
        </w:rPr>
        <w:t xml:space="preserve"> 450 131 карта, 166 офисов) как </w:t>
      </w:r>
      <w:r>
        <w:rPr>
          <w:color w:val="000000"/>
        </w:rPr>
        <w:lastRenderedPageBreak/>
        <w:t xml:space="preserve">самостоятельного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-канала. Численная оценка эффекта, KPI, риски и </w:t>
      </w:r>
      <w:proofErr w:type="spellStart"/>
      <w:r>
        <w:rPr>
          <w:color w:val="000000"/>
        </w:rPr>
        <w:t>оргплан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в параграфе 3.3.</w:t>
      </w:r>
    </w:p>
    <w:p w:rsidR="00C4374C" w:rsidRDefault="00C4374C">
      <w:pPr>
        <w:spacing w:line="240" w:lineRule="auto"/>
      </w:pP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3.3. Оценка эффективности предложенной стратегии продвижения Face2</w:t>
      </w:r>
    </w:p>
    <w:p w:rsidR="00C4374C" w:rsidRDefault="00522436">
      <w:pPr>
        <w:ind w:firstLine="708"/>
      </w:pPr>
      <w:r>
        <w:rPr>
          <w:color w:val="000000"/>
        </w:rPr>
        <w:t xml:space="preserve">Параграф замыкает цепочку «диагноз </w:t>
      </w:r>
      <w:r w:rsidR="00875DD8">
        <w:rPr>
          <w:color w:val="000000"/>
        </w:rPr>
        <w:t>–</w:t>
      </w:r>
      <w:r>
        <w:rPr>
          <w:color w:val="000000"/>
        </w:rPr>
        <w:t xml:space="preserve"> стратегия </w:t>
      </w:r>
      <w:r w:rsidR="00875DD8">
        <w:rPr>
          <w:color w:val="000000"/>
        </w:rPr>
        <w:t>–</w:t>
      </w:r>
      <w:r>
        <w:rPr>
          <w:color w:val="000000"/>
        </w:rPr>
        <w:t xml:space="preserve"> проверка» и разворачивается в четыре подраздела: методика и система KPI (3.3.1), экономический эффект и ROI (3.3.2), матрица рисков (3.3.3), организационный план внедрения (3.3.4). Принципиальное методическое решение </w:t>
      </w:r>
      <w:r w:rsidR="00875DD8">
        <w:rPr>
          <w:color w:val="000000"/>
        </w:rPr>
        <w:t>–</w:t>
      </w:r>
      <w:r>
        <w:rPr>
          <w:color w:val="000000"/>
        </w:rPr>
        <w:t xml:space="preserve"> сценарный подход к расчёту эффекта (Π/Р/О), обусловленный отсутствием публичных </w:t>
      </w:r>
      <w:proofErr w:type="spellStart"/>
      <w:r>
        <w:rPr>
          <w:color w:val="000000"/>
        </w:rPr>
        <w:t>бенчмарков</w:t>
      </w:r>
      <w:proofErr w:type="spellEnd"/>
      <w:r>
        <w:rPr>
          <w:color w:val="000000"/>
        </w:rPr>
        <w:t xml:space="preserve"> по конверсии в B2B-биометрии РФ и неопределённостью отклика рынка на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>-инструменты в первый год их применения [18, с. 5; 8, с. 412; 10, с. 156].</w:t>
      </w:r>
    </w:p>
    <w:p w:rsidR="00C4374C" w:rsidRDefault="00522436">
      <w:pPr>
        <w:ind w:firstLine="708"/>
      </w:pPr>
      <w:r>
        <w:rPr>
          <w:color w:val="000000"/>
        </w:rPr>
        <w:t>Методический контур оценки эффективности задаётся четырьмя утверждениями, фиксируемыми в начале подраздела с тем, чтобы избежать претензии о произвольности расчёта.</w:t>
      </w:r>
    </w:p>
    <w:p w:rsidR="00C4374C" w:rsidRDefault="00522436">
      <w:pPr>
        <w:ind w:firstLine="708"/>
      </w:pPr>
      <w:r>
        <w:rPr>
          <w:color w:val="000000"/>
        </w:rPr>
        <w:t xml:space="preserve">Первое </w:t>
      </w:r>
      <w:r w:rsidR="00875DD8">
        <w:rPr>
          <w:color w:val="000000"/>
        </w:rPr>
        <w:t>–</w:t>
      </w:r>
      <w:r>
        <w:rPr>
          <w:color w:val="000000"/>
        </w:rPr>
        <w:t xml:space="preserve"> горизонт оценки. Стратегия оценивается на горизонте 36 месяцев, разделённом на три фазы по образцу таблицы 3.2.5: фаза активации (месяцы 1–6), фаза масштабирования (месяцы 7–18) и фаза закрепления (месяцы 19–36). Промежуточные точки контроля </w:t>
      </w:r>
      <w:r w:rsidR="00875DD8">
        <w:rPr>
          <w:color w:val="000000"/>
        </w:rPr>
        <w:t>–</w:t>
      </w:r>
      <w:r>
        <w:rPr>
          <w:color w:val="000000"/>
        </w:rPr>
        <w:t xml:space="preserve"> окончания фаз; внутри фазы 1 предусмотрен дополнительный квартальный контроль (месяцы 3 и 6), что соответствует логике короткого цикла обратной связи на этапе запуска инфраструктуры привлечения </w:t>
      </w:r>
      <w:proofErr w:type="spellStart"/>
      <w:r>
        <w:rPr>
          <w:color w:val="000000"/>
        </w:rPr>
        <w:t>лидов</w:t>
      </w:r>
      <w:proofErr w:type="spellEnd"/>
      <w:r>
        <w:rPr>
          <w:color w:val="000000"/>
        </w:rPr>
        <w:t>.</w:t>
      </w:r>
    </w:p>
    <w:p w:rsidR="00C4374C" w:rsidRDefault="00522436">
      <w:pPr>
        <w:ind w:firstLine="708"/>
      </w:pPr>
      <w:r>
        <w:rPr>
          <w:color w:val="000000"/>
        </w:rPr>
        <w:t xml:space="preserve">Второе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сценарность</w:t>
      </w:r>
      <w:proofErr w:type="spellEnd"/>
      <w:r>
        <w:rPr>
          <w:color w:val="000000"/>
        </w:rPr>
        <w:t xml:space="preserve"> расчёта. Оценка выполняется в трёх сценариях </w:t>
      </w:r>
      <w:r w:rsidR="00875DD8">
        <w:rPr>
          <w:color w:val="000000"/>
        </w:rPr>
        <w:t>–</w:t>
      </w:r>
      <w:r>
        <w:rPr>
          <w:color w:val="000000"/>
        </w:rPr>
        <w:t xml:space="preserve"> пессимистическом (Π), реалистическом (Р) и оптимистическом (О), различающихся предположениями о темпе масштабирования партнёрской сети, скорости получения независимых международных сертификаций (NIST FRTE,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2), конверсии посетителя face2.ru в заявку и конверсии пилотов во внедрения. </w:t>
      </w:r>
      <w:proofErr w:type="spellStart"/>
      <w:r>
        <w:rPr>
          <w:color w:val="000000"/>
        </w:rPr>
        <w:t>Сценарность</w:t>
      </w:r>
      <w:proofErr w:type="spellEnd"/>
      <w:r>
        <w:rPr>
          <w:color w:val="000000"/>
        </w:rPr>
        <w:t xml:space="preserve"> согласована с указанием на гибкость ценовой и коммуникационной стратегии в условиях неопределённости рынка [18, с. 5; 10, с. 156] и работает на снижение риска переоценки эффекта.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Третье </w:t>
      </w:r>
      <w:r w:rsidR="00875DD8">
        <w:rPr>
          <w:color w:val="000000"/>
        </w:rPr>
        <w:t>–</w:t>
      </w:r>
      <w:r>
        <w:rPr>
          <w:color w:val="000000"/>
        </w:rPr>
        <w:t xml:space="preserve"> типология метрик. Используются четыре типа KPI, последовательно соответствующие этапам маркетинговой воронки маркетинговой воронки параграфа 1.2: метрики охвата (</w:t>
      </w:r>
      <w:proofErr w:type="spellStart"/>
      <w:r>
        <w:rPr>
          <w:color w:val="000000"/>
        </w:rPr>
        <w:t>audience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) </w:t>
      </w:r>
      <w:r w:rsidR="00875DD8">
        <w:rPr>
          <w:color w:val="000000"/>
        </w:rPr>
        <w:t>–</w:t>
      </w:r>
      <w:r>
        <w:rPr>
          <w:color w:val="000000"/>
        </w:rPr>
        <w:t xml:space="preserve"> уникальные посетители face2.ru, медиа-охват, число подписчиков отдельного бренда Face2 в социальных сетях, цитируемость в деловых СМИ; метрики вовлечения (</w:t>
      </w:r>
      <w:proofErr w:type="spellStart"/>
      <w:r>
        <w:rPr>
          <w:color w:val="000000"/>
        </w:rPr>
        <w:t>engagement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) </w:t>
      </w:r>
      <w:r w:rsidR="00875DD8">
        <w:rPr>
          <w:color w:val="000000"/>
        </w:rPr>
        <w:t>–</w:t>
      </w:r>
      <w:r>
        <w:rPr>
          <w:color w:val="000000"/>
        </w:rPr>
        <w:t xml:space="preserve"> число входящих обращений, загрузки типовых коммерческих предложений по шести сегментам, средний </w:t>
      </w:r>
      <w:proofErr w:type="spellStart"/>
      <w:r>
        <w:rPr>
          <w:color w:val="000000"/>
        </w:rPr>
        <w:t>скоринг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лидов</w:t>
      </w:r>
      <w:proofErr w:type="spellEnd"/>
      <w:r>
        <w:rPr>
          <w:color w:val="000000"/>
        </w:rPr>
        <w:t>; метрики конверсии (</w:t>
      </w:r>
      <w:proofErr w:type="spellStart"/>
      <w:r>
        <w:rPr>
          <w:color w:val="000000"/>
        </w:rPr>
        <w:t>conversion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) </w:t>
      </w:r>
      <w:r w:rsidR="00875DD8">
        <w:rPr>
          <w:color w:val="000000"/>
        </w:rPr>
        <w:t>–</w:t>
      </w:r>
      <w:r>
        <w:rPr>
          <w:color w:val="000000"/>
        </w:rPr>
        <w:t xml:space="preserve"> доля пилотных проектов от </w:t>
      </w:r>
      <w:proofErr w:type="spellStart"/>
      <w:r>
        <w:rPr>
          <w:color w:val="000000"/>
        </w:rPr>
        <w:t>лидов</w:t>
      </w:r>
      <w:proofErr w:type="spellEnd"/>
      <w:r>
        <w:rPr>
          <w:color w:val="000000"/>
        </w:rPr>
        <w:t>, доля внедрений от пилотов, средний цикл сделки по двум уровням продаж; метрики коммерческого результата (</w:t>
      </w:r>
      <w:proofErr w:type="spellStart"/>
      <w:r>
        <w:rPr>
          <w:color w:val="000000"/>
        </w:rPr>
        <w:t>revenue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) </w:t>
      </w:r>
      <w:r w:rsidR="00875DD8">
        <w:rPr>
          <w:color w:val="000000"/>
        </w:rPr>
        <w:t>–</w:t>
      </w:r>
      <w:r>
        <w:rPr>
          <w:color w:val="000000"/>
        </w:rPr>
        <w:t xml:space="preserve"> выручка по уровням продаж из таблицы 2.1.4, средний чек подключения, ROI стратегии.</w:t>
      </w:r>
    </w:p>
    <w:p w:rsidR="00C4374C" w:rsidRDefault="00522436">
      <w:pPr>
        <w:ind w:firstLine="708"/>
      </w:pPr>
      <w:r>
        <w:rPr>
          <w:color w:val="000000"/>
        </w:rPr>
        <w:t xml:space="preserve">Четвёртое </w:t>
      </w:r>
      <w:r w:rsidR="00875DD8">
        <w:rPr>
          <w:color w:val="000000"/>
        </w:rPr>
        <w:t>–</w:t>
      </w:r>
      <w:r>
        <w:rPr>
          <w:color w:val="000000"/>
        </w:rPr>
        <w:t xml:space="preserve"> методические ограничения, фиксируемые открыто. Их три. Во-первых, отсутствие публичных </w:t>
      </w:r>
      <w:proofErr w:type="spellStart"/>
      <w:r>
        <w:rPr>
          <w:color w:val="000000"/>
        </w:rPr>
        <w:t>бенчмарков</w:t>
      </w:r>
      <w:proofErr w:type="spellEnd"/>
      <w:r>
        <w:rPr>
          <w:color w:val="000000"/>
        </w:rPr>
        <w:t xml:space="preserve"> по конверсии в B2B-биометрии в Российской Федерации, что требует опоры на общеотраслевые </w:t>
      </w:r>
      <w:proofErr w:type="spellStart"/>
      <w:r>
        <w:rPr>
          <w:color w:val="000000"/>
        </w:rPr>
        <w:t>бенчмарки</w:t>
      </w:r>
      <w:proofErr w:type="spellEnd"/>
      <w:r>
        <w:rPr>
          <w:color w:val="000000"/>
        </w:rPr>
        <w:t xml:space="preserve"> B2B-маркетинга и на экспертную оценку автора с возможностью её последующего уточнения маркетинговой службой банка. Во-вторых, неопределённость отклика рынка на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-инструменты в первый год после их запуска, что требует обязательного контроля по итогам фазы 1 с правом </w:t>
      </w:r>
      <w:proofErr w:type="spellStart"/>
      <w:r>
        <w:rPr>
          <w:color w:val="000000"/>
        </w:rPr>
        <w:t>пересборки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офферов</w:t>
      </w:r>
      <w:proofErr w:type="spellEnd"/>
      <w:r>
        <w:rPr>
          <w:color w:val="000000"/>
        </w:rPr>
        <w:t xml:space="preserve"> и посадочных страниц. В-третьих, отсутствие у автора доступа к внутренним данным управленческой отчётности ПАО «Ак Барс Банк» по продажам Face2 за прошлые периоды, что требует опоры на публичные источники [27; 26; 32; 37; 34] и на </w:t>
      </w:r>
      <w:proofErr w:type="spellStart"/>
      <w:r>
        <w:rPr>
          <w:color w:val="000000"/>
        </w:rPr>
        <w:t>бенчмарки</w:t>
      </w:r>
      <w:proofErr w:type="spellEnd"/>
      <w:r>
        <w:rPr>
          <w:color w:val="000000"/>
        </w:rPr>
        <w:t xml:space="preserve"> лидеров рынка [38; 40; 41] при формировании сценарных предпосылок.</w:t>
      </w:r>
    </w:p>
    <w:p w:rsidR="00C4374C" w:rsidRDefault="00522436">
      <w:pPr>
        <w:ind w:firstLine="708"/>
      </w:pPr>
      <w:r>
        <w:rPr>
          <w:color w:val="000000"/>
        </w:rPr>
        <w:t xml:space="preserve">С учётом перечисленной методической рамки система KPI стратегии формируется как двумерная матрица из 18 показателей: в строках расположены три направления продвижения из таблицы 3.2.1, в столбцах </w:t>
      </w:r>
      <w:r w:rsidR="00875DD8">
        <w:rPr>
          <w:color w:val="000000"/>
        </w:rPr>
        <w:t>–</w:t>
      </w:r>
      <w:r>
        <w:rPr>
          <w:color w:val="000000"/>
        </w:rPr>
        <w:t xml:space="preserve"> шесть этапов маркетинговой воронки § 1.2 (Осведомлённость, Интерес, Доверие, Пилот, Принятие, Лояльность). Полная развёртка матрицы KPI с описанием каждого показателя приведена в Приложении А. В основном тексте фиксируются только ключевые ориентиры реалистического сценария (Р): для метрик охвата фазы 1 </w:t>
      </w:r>
      <w:r>
        <w:rPr>
          <w:color w:val="000000"/>
        </w:rPr>
        <w:lastRenderedPageBreak/>
        <w:t xml:space="preserve">целевое значение по направлению Б </w:t>
      </w:r>
      <w:r w:rsidR="00875DD8">
        <w:rPr>
          <w:color w:val="000000"/>
        </w:rPr>
        <w:t>–</w:t>
      </w:r>
      <w:r>
        <w:rPr>
          <w:color w:val="000000"/>
        </w:rPr>
        <w:t xml:space="preserve"> 5–15 тыс. уникальных посетителей face2.ru в месяц к концу фазы (от нулевой базы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-канала); для метрик конверсии </w:t>
      </w:r>
      <w:proofErr w:type="spellStart"/>
      <w:r>
        <w:rPr>
          <w:color w:val="000000"/>
        </w:rPr>
        <w:t>лидов</w:t>
      </w:r>
      <w:proofErr w:type="spellEnd"/>
      <w:r>
        <w:rPr>
          <w:color w:val="000000"/>
        </w:rPr>
        <w:t xml:space="preserve"> в пилоты в направлениях А и Б </w:t>
      </w:r>
      <w:r w:rsidR="00875DD8">
        <w:rPr>
          <w:color w:val="000000"/>
        </w:rPr>
        <w:t>–</w:t>
      </w:r>
      <w:r>
        <w:rPr>
          <w:color w:val="000000"/>
        </w:rPr>
        <w:t xml:space="preserve"> 5 % в реалистическом сценарии (типовой </w:t>
      </w:r>
      <w:proofErr w:type="spellStart"/>
      <w:r>
        <w:rPr>
          <w:color w:val="000000"/>
        </w:rPr>
        <w:t>бенчмарк</w:t>
      </w:r>
      <w:proofErr w:type="spellEnd"/>
      <w:r>
        <w:rPr>
          <w:color w:val="000000"/>
        </w:rPr>
        <w:t xml:space="preserve"> B2B-маркетинга, по [6, с. 64; 7, с. 64]), 2 % в пессимистическом и 8 % в оптимистическом; для метрик конверсии пилотов во внедрения </w:t>
      </w:r>
      <w:r w:rsidR="00875DD8">
        <w:rPr>
          <w:color w:val="000000"/>
        </w:rPr>
        <w:t>–</w:t>
      </w:r>
      <w:r>
        <w:rPr>
          <w:color w:val="000000"/>
        </w:rPr>
        <w:t xml:space="preserve"> 45 % в реалистическом, 25 % в пессимистическом и 60 % в оптимистическом. Для B2C-направления В целевые значения назначаются от текущей базы 930 тыс. пользователей мобильного приложения АБО и 450 131 действующей «Карты жителя РТ» [26, с. 17, 29].</w:t>
      </w:r>
    </w:p>
    <w:p w:rsidR="00C4374C" w:rsidRDefault="00522436">
      <w:pPr>
        <w:ind w:firstLine="708"/>
      </w:pPr>
      <w:r>
        <w:rPr>
          <w:color w:val="000000"/>
        </w:rPr>
        <w:t xml:space="preserve">Связь системы KPI с задачами стратегии 3.1.2 и пробелами таблицы 2.3.5 фиксируется явно: каждая из семи задач имеет адресный KPI, а каждый из восьми пробелов закрывается измеримой метрикой (канальный </w:t>
      </w:r>
      <w:r w:rsidR="00875DD8">
        <w:rPr>
          <w:color w:val="000000"/>
        </w:rPr>
        <w:t>–</w:t>
      </w:r>
      <w:r>
        <w:rPr>
          <w:color w:val="000000"/>
        </w:rPr>
        <w:t xml:space="preserve"> долей выручки через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-каналы с целевым ростом с нулевого уровня до 30–50 % к концу фазы 3; конверсионный </w:t>
      </w:r>
      <w:r w:rsidR="00875DD8">
        <w:rPr>
          <w:color w:val="000000"/>
        </w:rPr>
        <w:t>–</w:t>
      </w:r>
      <w:r>
        <w:rPr>
          <w:color w:val="000000"/>
        </w:rPr>
        <w:t xml:space="preserve"> конверсией посетителя face2.ru в заявку 1,5–3 % в реалистическом сценарии; доказательный </w:t>
      </w:r>
      <w:r w:rsidR="00875DD8">
        <w:rPr>
          <w:color w:val="000000"/>
        </w:rPr>
        <w:t>–</w:t>
      </w:r>
      <w:r>
        <w:rPr>
          <w:color w:val="000000"/>
        </w:rPr>
        <w:t xml:space="preserve"> двоичной метрикой получения сертификатов 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2; географический </w:t>
      </w:r>
      <w:r w:rsidR="00875DD8">
        <w:rPr>
          <w:color w:val="000000"/>
        </w:rPr>
        <w:t>–</w:t>
      </w:r>
      <w:r>
        <w:rPr>
          <w:color w:val="000000"/>
        </w:rPr>
        <w:t xml:space="preserve"> долей заявок и подключений из субъектов Российской Федерации за пределами Республики Татарстан).</w:t>
      </w:r>
    </w:p>
    <w:p w:rsidR="00C4374C" w:rsidRDefault="00522436">
      <w:pPr>
        <w:ind w:firstLine="708"/>
      </w:pPr>
      <w:r>
        <w:rPr>
          <w:color w:val="000000"/>
        </w:rPr>
        <w:t>Оценка экономического эффекта строится как сопоставление ожидаемой выручки стратегии с её бюджетом, разнесённым в таблице 3.2.6, и выражается в показателях ROI и срока окупаемости в трёх сценариях. Структура ожидаемой выручки следует двухуровневой модели продаж Face2, введённой в таблице 2.1.4 параграфа 2.1.</w:t>
      </w:r>
    </w:p>
    <w:p w:rsidR="00C4374C" w:rsidRDefault="00522436">
      <w:pPr>
        <w:ind w:firstLine="708"/>
      </w:pPr>
      <w:r>
        <w:rPr>
          <w:color w:val="000000"/>
        </w:rPr>
        <w:t xml:space="preserve">Уровень 1 </w:t>
      </w:r>
      <w:r w:rsidR="00875DD8">
        <w:rPr>
          <w:color w:val="000000"/>
        </w:rPr>
        <w:t>–</w:t>
      </w:r>
      <w:r>
        <w:rPr>
          <w:color w:val="000000"/>
        </w:rPr>
        <w:t xml:space="preserve"> продажа КБС под ключ </w:t>
      </w:r>
      <w:r w:rsidR="00875DD8">
        <w:rPr>
          <w:color w:val="000000"/>
        </w:rPr>
        <w:t>–</w:t>
      </w:r>
      <w:r>
        <w:rPr>
          <w:color w:val="000000"/>
        </w:rPr>
        <w:t xml:space="preserve"> представлен моделью единичных крупных сделок длительного цикла. Целевые сегменты </w:t>
      </w:r>
      <w:r w:rsidR="00875DD8">
        <w:rPr>
          <w:color w:val="000000"/>
        </w:rPr>
        <w:t>–</w:t>
      </w:r>
      <w:r>
        <w:rPr>
          <w:color w:val="000000"/>
        </w:rPr>
        <w:t xml:space="preserve"> банки и </w:t>
      </w:r>
      <w:proofErr w:type="spellStart"/>
      <w:r>
        <w:rPr>
          <w:color w:val="000000"/>
        </w:rPr>
        <w:t>микрофинансовые</w:t>
      </w:r>
      <w:proofErr w:type="spellEnd"/>
      <w:r>
        <w:rPr>
          <w:color w:val="000000"/>
        </w:rPr>
        <w:t xml:space="preserve"> организации со статусом оператора по № 115-ФЗ, государственные структуры с правом регистрации векторов в ЕБС, крупные корпорации с профильной аккредитацией. Доходность сделки складывается из лицензионных платежей за поставку программного контура КБС и платы за техническую поддержку и сопровождение. Средний чек сделки уровня 1 имеет </w:t>
      </w:r>
      <w:r>
        <w:rPr>
          <w:color w:val="000000"/>
        </w:rPr>
        <w:lastRenderedPageBreak/>
        <w:t>порядок десятков миллионов рублей и принимается как сценарный параметр, опирающийся на структуру проекта КБС, описанную в технической документации Face2 [27; 28]; точное значение подлежит уточнению по данным маркетинговой службы банка.</w:t>
      </w:r>
    </w:p>
    <w:p w:rsidR="00C4374C" w:rsidRDefault="00522436">
      <w:pPr>
        <w:ind w:firstLine="708"/>
      </w:pPr>
      <w:r>
        <w:rPr>
          <w:color w:val="000000"/>
        </w:rPr>
        <w:t xml:space="preserve">Уровень 2 </w:t>
      </w:r>
      <w:r w:rsidR="00875DD8">
        <w:rPr>
          <w:color w:val="000000"/>
        </w:rPr>
        <w:t>–</w:t>
      </w:r>
      <w:r>
        <w:rPr>
          <w:color w:val="000000"/>
        </w:rPr>
        <w:t xml:space="preserve"> подключение конечного объекта к КБС, размещённой у Ак Барс Банка (Face2Pay, Face2Pass, Face2Check-in) </w:t>
      </w:r>
      <w:r w:rsidR="00875DD8">
        <w:rPr>
          <w:color w:val="000000"/>
        </w:rPr>
        <w:t>–</w:t>
      </w:r>
      <w:r>
        <w:rPr>
          <w:color w:val="000000"/>
        </w:rPr>
        <w:t xml:space="preserve"> представлен моделью массовых сделок короткого цикла с транзакционной или абонементной экономикой. Целевые сегменты </w:t>
      </w:r>
      <w:r w:rsidR="00875DD8">
        <w:rPr>
          <w:color w:val="000000"/>
        </w:rPr>
        <w:t>–</w:t>
      </w:r>
      <w:r>
        <w:rPr>
          <w:color w:val="000000"/>
        </w:rPr>
        <w:t xml:space="preserve"> ритейл и </w:t>
      </w:r>
      <w:proofErr w:type="spellStart"/>
      <w:r>
        <w:rPr>
          <w:color w:val="000000"/>
        </w:rPr>
        <w:t>вендинг</w:t>
      </w:r>
      <w:proofErr w:type="spellEnd"/>
      <w:r>
        <w:rPr>
          <w:color w:val="000000"/>
        </w:rPr>
        <w:t xml:space="preserve"> с возрастной верификацией, транспорт, гостеприимство, СКУД промышленных предприятий, бизнес-центров и вузов. Доходность подключения складывается из разовой платы за подключение объекта и текущих транзакционных или абонементных поступлений. Средний чек подключения принимается на уровне сотен тысяч рублей, а транзакционная составляющая опирается на публичный </w:t>
      </w:r>
      <w:proofErr w:type="spellStart"/>
      <w:r>
        <w:rPr>
          <w:color w:val="000000"/>
        </w:rPr>
        <w:t>бенчмарк</w:t>
      </w:r>
      <w:proofErr w:type="spellEnd"/>
      <w:r>
        <w:rPr>
          <w:color w:val="000000"/>
        </w:rPr>
        <w:t xml:space="preserve"> среднего чека биометрического платежа по Российской Федерации (770 руб.) и на динамику биометрических операций </w:t>
      </w:r>
      <w:r w:rsidR="00875DD8">
        <w:rPr>
          <w:color w:val="000000"/>
        </w:rPr>
        <w:t>–</w:t>
      </w:r>
      <w:r>
        <w:rPr>
          <w:color w:val="000000"/>
        </w:rPr>
        <w:t xml:space="preserve"> около 145,9 млн платежей за девять месяцев 2025 года [32; 34]. Третий уровень (B2C-слой) прямой выручки не приносит и обслуживает выручку уровня 2 через массовое использование сервисов; в численный расчёт он входит косвенно через объём транзакций уровня 2.</w:t>
      </w:r>
    </w:p>
    <w:p w:rsidR="00C4374C" w:rsidRDefault="00522436">
      <w:pPr>
        <w:ind w:firstLine="708"/>
      </w:pPr>
      <w:r>
        <w:rPr>
          <w:color w:val="000000"/>
        </w:rPr>
        <w:t xml:space="preserve">Сценарии различаются предпосылками: пессимистический (Π) исходит из медленного темпа масштабирования партнёрской сети, отсроченного получения сертификаций 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и низкой конверсии посетителя face2.ru в заявку; реалистический (Р) </w:t>
      </w:r>
      <w:r w:rsidR="00875DD8">
        <w:rPr>
          <w:color w:val="000000"/>
        </w:rPr>
        <w:t>–</w:t>
      </w:r>
      <w:r>
        <w:rPr>
          <w:color w:val="000000"/>
        </w:rPr>
        <w:t xml:space="preserve"> из планового темпа масштабирования и получения сертификаций к концу фазы 2; оптимистический (О) </w:t>
      </w:r>
      <w:r w:rsidR="00875DD8">
        <w:rPr>
          <w:color w:val="000000"/>
        </w:rPr>
        <w:t>–</w:t>
      </w:r>
      <w:r>
        <w:rPr>
          <w:color w:val="000000"/>
        </w:rPr>
        <w:t xml:space="preserve"> из ускоренного масштабирования, своевременного получения сертификаций и активного партнёрского отклика. Базовые параметры расчёта: средний чек сделки уровня 1 </w:t>
      </w:r>
      <w:r w:rsidR="00875DD8">
        <w:rPr>
          <w:color w:val="000000"/>
        </w:rPr>
        <w:t>–</w:t>
      </w:r>
      <w:r>
        <w:rPr>
          <w:color w:val="000000"/>
        </w:rPr>
        <w:t xml:space="preserve"> 40 млн руб. (программный контур КБС, развёртывание, год SLA); средний чек подключения объекта уровня 2 </w:t>
      </w:r>
      <w:r w:rsidR="00875DD8">
        <w:rPr>
          <w:color w:val="000000"/>
        </w:rPr>
        <w:t>–</w:t>
      </w:r>
      <w:r>
        <w:rPr>
          <w:color w:val="000000"/>
        </w:rPr>
        <w:t xml:space="preserve"> 0,25 млн руб.; абонементная плата объекта уровня 2 </w:t>
      </w:r>
      <w:r w:rsidR="00875DD8">
        <w:rPr>
          <w:color w:val="000000"/>
        </w:rPr>
        <w:t>–</w:t>
      </w:r>
      <w:r>
        <w:rPr>
          <w:color w:val="000000"/>
        </w:rPr>
        <w:t xml:space="preserve"> 0,05 млн руб./мес. со второго месяца после подключения; транзакционная составляющая уровня 2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пренебрежимая</w:t>
      </w:r>
      <w:proofErr w:type="spellEnd"/>
      <w:r>
        <w:rPr>
          <w:color w:val="000000"/>
        </w:rPr>
        <w:t xml:space="preserve"> величина в сравнении </w:t>
      </w:r>
      <w:r>
        <w:rPr>
          <w:color w:val="000000"/>
        </w:rPr>
        <w:lastRenderedPageBreak/>
        <w:t>с подключением и абонементом и в численный расчёт включается только в сценарии О. Сценарная развёртка выручки по двум уровням продаж и трём фазам реализации представлена в таблице 3.3.1.</w:t>
      </w:r>
    </w:p>
    <w:p w:rsidR="00C4374C" w:rsidRDefault="00522436">
      <w:pPr>
        <w:ind w:firstLine="708"/>
      </w:pPr>
      <w:r>
        <w:rPr>
          <w:color w:val="000000"/>
        </w:rPr>
        <w:t>Таблица 3.3.1</w:t>
      </w:r>
    </w:p>
    <w:p w:rsidR="00C4374C" w:rsidRDefault="00522436">
      <w:pPr>
        <w:ind w:firstLine="708"/>
      </w:pPr>
      <w:r>
        <w:rPr>
          <w:color w:val="000000"/>
        </w:rPr>
        <w:t>Сценарная развёртка ожидаемой выручки стратегии продвижения Face2 по сценариям Π / Р / О, млн руб.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1"/>
        <w:gridCol w:w="1186"/>
        <w:gridCol w:w="1334"/>
        <w:gridCol w:w="1482"/>
        <w:gridCol w:w="1482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Уровень продаж и параметр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1 (мес. 1–6)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2 (мес. 7–18)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3 (мес. 19–36)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Итого 36 мес.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1, число сделок КБС, шт./фаза (Π / Р / О)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 / 0 / 1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 / 1 / 2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 / 2 / 4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 / 3 / 7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1, выручка фазы Π / Р / О,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 / 0 / 40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 / 40 / 80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40 / 80 / 160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40 / 120 / 280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2, число новых подключений, шт./фаза (Π / Р / О)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 / 10 / 20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30 / 60 / 100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100 / 200 / 400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135 / 270 / 520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2, выручка от подключений Π / Р / О,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1,3 / 2,5 / 5,0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7,5 / 15,0 / 25,0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25,0 / 50,0 / 100,0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33,8 / 67,5 / 130,0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Уровень 2, абонементный доход Π / Р / О,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0,4 / 0,8 / 1,5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9,5 / 19,0 / 33,0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70,0 / 145,0 / 290,0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79,9 / 164,8 / 324,5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Транзакционный бонус (только О),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30,0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30,0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Итого выручка фазы Π,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17,0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135,0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153,7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Итого выручка фазы Р,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3,3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74,0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275,0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352,3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Итого выручка фазы О,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46,5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138,0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580,0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764,5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Кумулятивная выручка Π,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18,7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153,7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Кумулятивная выручка Р,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3,3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77,3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352,3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Кумулятивная выручка О, млн руб.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46,5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184,5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764,5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×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 xml:space="preserve">Допущения расчёта: средний чек сделки уровня 1 </w:t>
      </w:r>
      <w:r w:rsidR="00875DD8">
        <w:rPr>
          <w:color w:val="000000"/>
        </w:rPr>
        <w:t>–</w:t>
      </w:r>
      <w:r>
        <w:rPr>
          <w:color w:val="000000"/>
        </w:rPr>
        <w:t xml:space="preserve"> 40 млн руб.; средний чек подключения объекта уровня 2 </w:t>
      </w:r>
      <w:r w:rsidR="00875DD8">
        <w:rPr>
          <w:color w:val="000000"/>
        </w:rPr>
        <w:t>–</w:t>
      </w:r>
      <w:r>
        <w:rPr>
          <w:color w:val="000000"/>
        </w:rPr>
        <w:t xml:space="preserve"> 0,25 млн руб.; абонементная плата 0,05 млн руб./мес. начисляется со второго месяца после подключения, объекты в фазе подключаются равномерно; транзакционный бонус сценария </w:t>
      </w:r>
      <w:proofErr w:type="gramStart"/>
      <w:r>
        <w:rPr>
          <w:color w:val="000000"/>
        </w:rPr>
        <w:t>О</w:t>
      </w:r>
      <w:proofErr w:type="gramEnd"/>
      <w:r>
        <w:rPr>
          <w:color w:val="000000"/>
        </w:rPr>
        <w:t xml:space="preserve"> оценивается консервативно от рыночного объёма биометрических платежей 145,9 млн транзакций за 9 мес. 2025 г. [32; 34] при удержании Face2 на уровне 1–2 % рынка к концу фазы 3.</w:t>
      </w:r>
    </w:p>
    <w:p w:rsidR="00C4374C" w:rsidRDefault="00522436">
      <w:pPr>
        <w:ind w:firstLine="708"/>
      </w:pPr>
      <w:r>
        <w:rPr>
          <w:color w:val="000000"/>
        </w:rPr>
        <w:t>Источник: расчёт автора по данным таблиц 2.1.4, 3.2.1, [27; 28; 29; 32; 34, 37]</w:t>
      </w:r>
    </w:p>
    <w:p w:rsidR="00C4374C" w:rsidRDefault="00522436">
      <w:pPr>
        <w:ind w:firstLine="708"/>
      </w:pPr>
      <w:r>
        <w:rPr>
          <w:color w:val="000000"/>
        </w:rPr>
        <w:t xml:space="preserve">Расчёт показателя возврата на инвестиции выполняется по формуле ROI = (Выручка − Бюджет) / Бюджет × 100 %, где бюджет берётся из таблицы 3.2.6, а выручка </w:t>
      </w:r>
      <w:r w:rsidR="00875DD8">
        <w:rPr>
          <w:color w:val="000000"/>
        </w:rPr>
        <w:t>–</w:t>
      </w:r>
      <w:r>
        <w:rPr>
          <w:color w:val="000000"/>
        </w:rPr>
        <w:t xml:space="preserve"> из таблицы 3.3.1. Расчёт ведётся кумулятивно по фазам в трёх </w:t>
      </w:r>
      <w:r>
        <w:rPr>
          <w:color w:val="000000"/>
        </w:rPr>
        <w:lastRenderedPageBreak/>
        <w:t>сценариях. Срок окупаемости определяется как момент, в который кумулятивная выручка покрывает кумулятивный бюджет стратегии. Сводная карта расчёта представлена в таблице 3.3.2.</w:t>
      </w:r>
    </w:p>
    <w:p w:rsidR="00C4374C" w:rsidRDefault="00522436">
      <w:pPr>
        <w:ind w:firstLine="708"/>
      </w:pPr>
      <w:r>
        <w:rPr>
          <w:color w:val="000000"/>
        </w:rPr>
        <w:t>Таблица 3.3.2</w:t>
      </w:r>
    </w:p>
    <w:p w:rsidR="00C4374C" w:rsidRDefault="00522436">
      <w:pPr>
        <w:ind w:firstLine="708"/>
      </w:pPr>
      <w:r>
        <w:rPr>
          <w:color w:val="000000"/>
        </w:rPr>
        <w:t>Сценарный расчёт ROI и срока окупаемости стратегии продвижения Face2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1966"/>
        <w:gridCol w:w="2163"/>
        <w:gridCol w:w="2163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1 (конец мес. 6)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2 (конец мес. 18)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Фаза 3 (конец мес. 36)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Кумулятивный бюджет, млн руб.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19,8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56,0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112,7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Кумулятивная выручка Π, млн руб.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18,7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153,7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Кумулятивная выручка Р, млн руб.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3,3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77,3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352,3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Кумулятивная выручка О, млн руб.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46,5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184,5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764,5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Чистый эффект Π, млн руб.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−18,1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−37,3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+41,0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Чистый эффект Р, млн руб.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−16,5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+21,3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+239,6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Чистый эффект О, млн руб.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+26,7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+128,5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+651,8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ROI Π, %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−91,4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−66,6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+36,4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ROI Р, %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−83,3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+38,0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+212,6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ROI О, %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+134,8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+229,5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+578,4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Срок окупаемости (Π / Р / О), мес.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  <w:r w:rsidR="00522436">
              <w:rPr>
                <w:color w:val="000000"/>
                <w:sz w:val="24"/>
                <w:szCs w:val="24"/>
              </w:rPr>
              <w:t xml:space="preserve"> / </w:t>
            </w:r>
            <w:r>
              <w:rPr>
                <w:color w:val="000000"/>
                <w:sz w:val="24"/>
                <w:szCs w:val="24"/>
              </w:rPr>
              <w:t>–</w:t>
            </w:r>
            <w:r w:rsidR="00522436">
              <w:rPr>
                <w:color w:val="000000"/>
                <w:sz w:val="24"/>
                <w:szCs w:val="24"/>
              </w:rPr>
              <w:t xml:space="preserve"> / 6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>–</w:t>
            </w:r>
            <w:r w:rsidR="00522436">
              <w:rPr>
                <w:color w:val="000000"/>
                <w:sz w:val="24"/>
                <w:szCs w:val="24"/>
              </w:rPr>
              <w:t xml:space="preserve"> / 14–15 / </w:t>
            </w: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right"/>
            </w:pPr>
            <w:r>
              <w:rPr>
                <w:color w:val="000000"/>
                <w:sz w:val="24"/>
                <w:szCs w:val="24"/>
              </w:rPr>
              <w:t xml:space="preserve">32–33 /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расчёт автора по данным таблиц 3.2.6, 3.3.1</w:t>
      </w:r>
    </w:p>
    <w:p w:rsidR="00C4374C" w:rsidRDefault="00522436">
      <w:pPr>
        <w:ind w:firstLine="708"/>
      </w:pPr>
      <w:r>
        <w:rPr>
          <w:color w:val="000000"/>
        </w:rPr>
        <w:t xml:space="preserve">Расчёт даёт три устойчивых вывода. Во-первых, во всех трёх сценариях стратегия выходит в положительную зону ROI к концу горизонта 36 месяцев, что подтверждает экономическую целесообразность её реализации. Во-вторых, срок окупаемости в реалистическом сценарии Р </w:t>
      </w:r>
      <w:r w:rsidR="00875DD8">
        <w:rPr>
          <w:color w:val="000000"/>
        </w:rPr>
        <w:t>–</w:t>
      </w:r>
      <w:r>
        <w:rPr>
          <w:color w:val="000000"/>
        </w:rPr>
        <w:t xml:space="preserve"> 14–15 месяцев </w:t>
      </w:r>
      <w:r w:rsidR="00875DD8">
        <w:rPr>
          <w:color w:val="000000"/>
        </w:rPr>
        <w:t>–</w:t>
      </w:r>
      <w:r>
        <w:rPr>
          <w:color w:val="000000"/>
        </w:rPr>
        <w:t xml:space="preserve"> приходится на фазу 2 и совпадает с выходом первой коммерческой сделки уровня 1 и накоплением 60+ подключений уровня 2; это </w:t>
      </w:r>
      <w:proofErr w:type="spellStart"/>
      <w:r>
        <w:rPr>
          <w:color w:val="000000"/>
        </w:rPr>
        <w:t>операционно</w:t>
      </w:r>
      <w:proofErr w:type="spellEnd"/>
      <w:r>
        <w:rPr>
          <w:color w:val="000000"/>
        </w:rPr>
        <w:t xml:space="preserve"> достижимый горизонт для крупного регионального банка с действующей биометрической вертикалью. В-третьих, оптимистический сценарий </w:t>
      </w:r>
      <w:proofErr w:type="gramStart"/>
      <w:r>
        <w:rPr>
          <w:color w:val="000000"/>
        </w:rPr>
        <w:t>О</w:t>
      </w:r>
      <w:proofErr w:type="gramEnd"/>
      <w:r>
        <w:rPr>
          <w:color w:val="000000"/>
        </w:rPr>
        <w:t xml:space="preserve"> даёт окупаемость уже к концу фазы 1 (мес. 6) при ROI +134,8 %, что подтверждает наличие у стратегии существенного </w:t>
      </w:r>
      <w:proofErr w:type="spellStart"/>
      <w:r>
        <w:rPr>
          <w:color w:val="000000"/>
        </w:rPr>
        <w:t>апсайда</w:t>
      </w:r>
      <w:proofErr w:type="spellEnd"/>
      <w:r>
        <w:rPr>
          <w:color w:val="000000"/>
        </w:rPr>
        <w:t xml:space="preserve"> при условии своевременного получения сертификаций 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2 и активного отклика партнёрской сети интеграторов и </w:t>
      </w:r>
      <w:proofErr w:type="spellStart"/>
      <w:r>
        <w:rPr>
          <w:color w:val="000000"/>
        </w:rPr>
        <w:t>вендоров</w:t>
      </w:r>
      <w:proofErr w:type="spellEnd"/>
      <w:r>
        <w:rPr>
          <w:color w:val="000000"/>
        </w:rPr>
        <w:t xml:space="preserve"> оборудования.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Чувствительность модели к ключевым предпосылкам. Снижение среднего чека сделки уровня 1 с 40 до 30 млн руб. (на 25 %) уменьшает выручку Р за 36 месяцев на 30 млн руб. (с 352,3 до 322,3 млн руб.), но не выводит сценарий Р из положительного ROI (+186 %). Снижение числа подключений уровня 2 в фазе 3 на 30 % (с 200 до 140 в сценарии Р) уменьшает кумулятивную выручку Р на ≈ 60 млн руб. до 292,3 млн руб. при ROI +159 %. Перенос получения сертификаций 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на фазу 3 (вместо фазы 2) сдвигает сценарий ближе к Π и увеличивает срок окупаемости в Р на 4–6 месяцев. Эти три точки чувствительности фиксируются как зоны управленческого внимания на контрольных точках КТ2 и КТ4 (§ 3.3.4).</w:t>
      </w:r>
    </w:p>
    <w:p w:rsidR="00C4374C" w:rsidRDefault="00522436" w:rsidP="00522436">
      <w:pPr>
        <w:ind w:firstLine="708"/>
      </w:pPr>
      <w:r>
        <w:rPr>
          <w:color w:val="000000"/>
        </w:rPr>
        <w:t xml:space="preserve">Помимо численного ROI стратегия даёт три качественных типа эффекта, не входящих в численную оценку, но фиксируемых как самостоятельные результаты. Первый </w:t>
      </w:r>
      <w:r w:rsidR="00875DD8">
        <w:rPr>
          <w:color w:val="000000"/>
        </w:rPr>
        <w:t>–</w:t>
      </w:r>
      <w:r>
        <w:rPr>
          <w:color w:val="000000"/>
        </w:rPr>
        <w:t xml:space="preserve"> косвенный эффект для основной деятельности банка: </w:t>
      </w:r>
      <w:proofErr w:type="spellStart"/>
      <w:r>
        <w:rPr>
          <w:color w:val="000000"/>
        </w:rPr>
        <w:t>переток</w:t>
      </w:r>
      <w:proofErr w:type="spellEnd"/>
      <w:r>
        <w:rPr>
          <w:color w:val="000000"/>
        </w:rPr>
        <w:t xml:space="preserve"> клиентов в банковскую экосистему через Face2Pay, рост платёжных оборотов АББ через </w:t>
      </w:r>
      <w:proofErr w:type="spellStart"/>
      <w:r>
        <w:rPr>
          <w:color w:val="000000"/>
        </w:rPr>
        <w:t>биоэквайринг</w:t>
      </w:r>
      <w:proofErr w:type="spellEnd"/>
      <w:r>
        <w:rPr>
          <w:color w:val="000000"/>
        </w:rPr>
        <w:t xml:space="preserve"> по СБП, прирост аудитории мобильного приложения АБО за счёт сценариев регистрации в ЕБС и закрепление позиций АББ в транспортных проектах [26, с. 17, 30–31]. Второй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имиджевый</w:t>
      </w:r>
      <w:proofErr w:type="spellEnd"/>
      <w:r>
        <w:rPr>
          <w:color w:val="000000"/>
        </w:rPr>
        <w:t xml:space="preserve"> и стратегический эффект: закрепление статуса федерального игрока на рынке биометрии, увеличение премии оценки бренда банка за счёт расширения </w:t>
      </w:r>
      <w:proofErr w:type="spellStart"/>
      <w:r>
        <w:rPr>
          <w:color w:val="000000"/>
        </w:rPr>
        <w:t>референсной</w:t>
      </w:r>
      <w:proofErr w:type="spellEnd"/>
      <w:r>
        <w:rPr>
          <w:color w:val="000000"/>
        </w:rPr>
        <w:t xml:space="preserve"> базы и возможность переноса разработанной коммуникационной модели на другие продукты ИТ-портфеля АББ. Третий </w:t>
      </w:r>
      <w:r w:rsidR="00875DD8">
        <w:rPr>
          <w:color w:val="000000"/>
        </w:rPr>
        <w:t>–</w:t>
      </w:r>
      <w:r>
        <w:rPr>
          <w:color w:val="000000"/>
        </w:rPr>
        <w:t xml:space="preserve"> регуляторный эффект: закрепление статуса аккредитованного оператора КБС за счёт публичной регуляторной коммуникации (подраздел 3.2.4) и снижение риска утраты статуса при ужесточении подзаконных актов № 572-ФЗ [2; 3; 4]. Косвенный, </w:t>
      </w:r>
      <w:proofErr w:type="spellStart"/>
      <w:r>
        <w:rPr>
          <w:color w:val="000000"/>
        </w:rPr>
        <w:t>имиджевый</w:t>
      </w:r>
      <w:proofErr w:type="spellEnd"/>
      <w:r>
        <w:rPr>
          <w:color w:val="000000"/>
        </w:rPr>
        <w:t xml:space="preserve"> и регуляторный эффекты не входят в формальный расчёт ROI, но образуют дополнительный пласт обоснования экономической целесообразности </w:t>
      </w:r>
    </w:p>
    <w:p w:rsidR="00C4374C" w:rsidRDefault="00522436">
      <w:pPr>
        <w:ind w:firstLine="708"/>
      </w:pPr>
      <w:r>
        <w:rPr>
          <w:color w:val="000000"/>
        </w:rPr>
        <w:t xml:space="preserve">Управление рисками стратегии строится как двухслойная матрица. Нижний слой </w:t>
      </w:r>
      <w:r w:rsidR="00875DD8">
        <w:rPr>
          <w:color w:val="000000"/>
        </w:rPr>
        <w:t>–</w:t>
      </w:r>
      <w:r>
        <w:rPr>
          <w:color w:val="000000"/>
        </w:rPr>
        <w:t xml:space="preserve"> реализационные риски, которые зависят от качества внедрения и управляются мероприятиями параграфа 3.2; верхний слой </w:t>
      </w:r>
      <w:r w:rsidR="00875DD8">
        <w:rPr>
          <w:color w:val="000000"/>
        </w:rPr>
        <w:t>–</w:t>
      </w:r>
      <w:r>
        <w:rPr>
          <w:color w:val="000000"/>
        </w:rPr>
        <w:t xml:space="preserve"> остаточные регуляторные и </w:t>
      </w:r>
      <w:proofErr w:type="spellStart"/>
      <w:r>
        <w:rPr>
          <w:color w:val="000000"/>
        </w:rPr>
        <w:t>репутационные</w:t>
      </w:r>
      <w:proofErr w:type="spellEnd"/>
      <w:r>
        <w:rPr>
          <w:color w:val="000000"/>
        </w:rPr>
        <w:t xml:space="preserve"> риски рынка биометрии, которые стратегия не </w:t>
      </w:r>
      <w:r>
        <w:rPr>
          <w:color w:val="000000"/>
        </w:rPr>
        <w:lastRenderedPageBreak/>
        <w:t xml:space="preserve">снимает, а ослабляет (за счёт регуляторного контента и доказательной базы) и обходит (за счёт массового канала через банковскую экосистему). Двухслойная конструкция отвечает на ожидаемое замечание о том, что часть рисков биометрии лежит за пределами управляемости отдельной маркетинговой стратегии, и одновременно показывает, что эти риски учтены в проекте. Используется типология рисков из таблицы 1.1.1 параграфа 1.1 </w:t>
      </w:r>
      <w:r w:rsidR="00875DD8">
        <w:rPr>
          <w:color w:val="000000"/>
        </w:rPr>
        <w:t>–</w:t>
      </w:r>
      <w:r>
        <w:rPr>
          <w:color w:val="000000"/>
        </w:rPr>
        <w:t xml:space="preserve"> технические, рыночные, финансовые, </w:t>
      </w:r>
      <w:proofErr w:type="spellStart"/>
      <w:r>
        <w:rPr>
          <w:color w:val="000000"/>
        </w:rPr>
        <w:t>репутационные</w:t>
      </w:r>
      <w:proofErr w:type="spellEnd"/>
      <w:r>
        <w:rPr>
          <w:color w:val="000000"/>
        </w:rPr>
        <w:t xml:space="preserve">, регуляторные, организационные, конкурентные [15, с. 117]; каждый риск оценивается по двум осям </w:t>
      </w:r>
      <w:r w:rsidR="00875DD8">
        <w:rPr>
          <w:color w:val="000000"/>
        </w:rPr>
        <w:t>–</w:t>
      </w:r>
      <w:r>
        <w:rPr>
          <w:color w:val="000000"/>
        </w:rPr>
        <w:t xml:space="preserve"> вероятности (низкая, средняя, высокая) и потенциальному ущербу (низкий, средний, высокий, очень высокий).</w:t>
      </w:r>
    </w:p>
    <w:p w:rsidR="00C4374C" w:rsidRDefault="00522436">
      <w:pPr>
        <w:ind w:firstLine="708"/>
      </w:pPr>
      <w:r>
        <w:rPr>
          <w:color w:val="000000"/>
        </w:rPr>
        <w:t>Реализационные риски стратегии и способы их снижения сведены в таблице 3.3.3.</w:t>
      </w:r>
    </w:p>
    <w:p w:rsidR="00C4374C" w:rsidRDefault="00522436">
      <w:pPr>
        <w:ind w:firstLine="708"/>
      </w:pPr>
      <w:r>
        <w:rPr>
          <w:color w:val="000000"/>
        </w:rPr>
        <w:t>Таблица 3.3.3</w:t>
      </w:r>
    </w:p>
    <w:p w:rsidR="00C4374C" w:rsidRDefault="00522436">
      <w:pPr>
        <w:ind w:firstLine="708"/>
      </w:pPr>
      <w:r>
        <w:rPr>
          <w:color w:val="000000"/>
        </w:rPr>
        <w:t>Реализационные риски стратегии продвижения Face2 и меры реагирования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11"/>
        <w:gridCol w:w="1312"/>
        <w:gridCol w:w="942"/>
        <w:gridCol w:w="2771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 риска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 риска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Ущерб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Способ снижения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Финансовый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Превышение бюджета фазы 1 (CAPEX на сайт, контентную студию, </w:t>
            </w:r>
            <w:proofErr w:type="spellStart"/>
            <w:r>
              <w:rPr>
                <w:color w:val="000000"/>
                <w:sz w:val="24"/>
                <w:szCs w:val="24"/>
              </w:rPr>
              <w:t>брендинг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Поэтапное финансирование с квартальной ревизией; KPI-контроль по 3.3.1; перенос статей между фазами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Финансовый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Низкая отдача OPEX-расходов на контекстную рекламу и SMM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Контрольные точки по итогам мес. 3 и 6; A/B-тестирование креативов; перенос бюджета между статьями OPEX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Рыночный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Низкая конверсия face2.ru в заявку (ниже 1,5 %)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A/B-тестирование посадочных страниц; </w:t>
            </w:r>
            <w:proofErr w:type="spellStart"/>
            <w:r>
              <w:rPr>
                <w:color w:val="000000"/>
                <w:sz w:val="24"/>
                <w:szCs w:val="24"/>
              </w:rPr>
              <w:t>пересборка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офферов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3.2.2; уточнение CTA-механики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Рыночный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Срыв пилотных проектов фазы 2 у внешних клиентов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Опора на внутренний кейс АББ (5 тыс. сотрудников, 200 </w:t>
            </w:r>
            <w:proofErr w:type="spellStart"/>
            <w:r>
              <w:rPr>
                <w:color w:val="000000"/>
                <w:sz w:val="24"/>
                <w:szCs w:val="24"/>
              </w:rPr>
              <w:t>биотерминалов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 как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</w:t>
            </w:r>
            <w:proofErr w:type="spellEnd"/>
            <w:r>
              <w:rPr>
                <w:color w:val="000000"/>
                <w:sz w:val="24"/>
                <w:szCs w:val="24"/>
              </w:rPr>
              <w:t>; стандартизованные технические требования к пилотам [27; 28]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Технический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Сбои интеграции при подключении объектов уровня 2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Поэтапное масштабирование подключений; </w:t>
            </w:r>
            <w:proofErr w:type="spellStart"/>
            <w:r>
              <w:rPr>
                <w:color w:val="000000"/>
                <w:sz w:val="24"/>
                <w:szCs w:val="24"/>
              </w:rPr>
              <w:t>sandbox</w:t>
            </w:r>
            <w:proofErr w:type="spellEnd"/>
            <w:r>
              <w:rPr>
                <w:color w:val="000000"/>
                <w:sz w:val="24"/>
                <w:szCs w:val="24"/>
              </w:rPr>
              <w:t>-тестирование; готовая документация Face2 [28; 29]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Организационный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Дефицит маркетинговой команды для контентного конвейера и PR-сопровождения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Планирование штата маркетинговой службы уже в фазе 1; альтернатива </w:t>
            </w:r>
            <w:r w:rsidR="00875DD8">
              <w:rPr>
                <w:color w:val="000000"/>
                <w:sz w:val="24"/>
                <w:szCs w:val="24"/>
              </w:rPr>
              <w:t>–</w:t>
            </w:r>
            <w:r>
              <w:rPr>
                <w:color w:val="000000"/>
                <w:sz w:val="24"/>
                <w:szCs w:val="24"/>
              </w:rPr>
              <w:t xml:space="preserve"> внешнее агентство с фиксированным KPI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Конкурентный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Ускоренное расширение ПАО «Сбербанк» в B2G и в регионах за пределами Москвы и Санкт-Петербурга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Опора на регуляторный капитал и партнёрства с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РФ, Минтрансом РФ и НСПК как защитное преимущество [26, с. 30–31; 38]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Конкурентный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Технологический ответ </w:t>
            </w:r>
            <w:proofErr w:type="spellStart"/>
            <w:r>
              <w:rPr>
                <w:color w:val="000000"/>
                <w:sz w:val="24"/>
                <w:szCs w:val="24"/>
              </w:rPr>
              <w:t>VisionLabs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Deepfake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Detection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2.0, продуктовое расширение)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Подача заявок на NIST FRTE и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Level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 в фазе 1; закрепление продуктового лидерства Face2 в сегменте КБС [40]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таблицы 1.1.1, [15, с. 117; 27; 38; 40; 28; 29]</w:t>
      </w:r>
    </w:p>
    <w:p w:rsidR="00C4374C" w:rsidRDefault="00522436">
      <w:pPr>
        <w:ind w:firstLine="708"/>
      </w:pPr>
      <w:r>
        <w:rPr>
          <w:color w:val="000000"/>
        </w:rPr>
        <w:t xml:space="preserve">Остаточные регуляторные и </w:t>
      </w:r>
      <w:proofErr w:type="spellStart"/>
      <w:r>
        <w:rPr>
          <w:color w:val="000000"/>
        </w:rPr>
        <w:t>репутационные</w:t>
      </w:r>
      <w:proofErr w:type="spellEnd"/>
      <w:r>
        <w:rPr>
          <w:color w:val="000000"/>
        </w:rPr>
        <w:t xml:space="preserve"> риски рынка биометрии и способы их снижения сведены в таблице 3.3.4. Эти риски стратегия Face2 не устраняет </w:t>
      </w:r>
      <w:r w:rsidR="00875DD8">
        <w:rPr>
          <w:color w:val="000000"/>
        </w:rPr>
        <w:t>–</w:t>
      </w:r>
      <w:r>
        <w:rPr>
          <w:color w:val="000000"/>
        </w:rPr>
        <w:t xml:space="preserve"> они являются объективными свойствами рынка, на котором работает аккредитованный оператор КБС, </w:t>
      </w:r>
      <w:r w:rsidR="00875DD8">
        <w:rPr>
          <w:color w:val="000000"/>
        </w:rPr>
        <w:t>–</w:t>
      </w:r>
      <w:r>
        <w:rPr>
          <w:color w:val="000000"/>
        </w:rPr>
        <w:t xml:space="preserve"> но снижает их вероятность через </w:t>
      </w:r>
      <w:proofErr w:type="spellStart"/>
      <w:r>
        <w:rPr>
          <w:color w:val="000000"/>
        </w:rPr>
        <w:t>регуляторно</w:t>
      </w:r>
      <w:proofErr w:type="spellEnd"/>
      <w:r>
        <w:rPr>
          <w:color w:val="000000"/>
        </w:rPr>
        <w:t xml:space="preserve"> ориентированное позиционирование и контентный конвейер 3.2.4 и снижает их ущерб через диверсификацию каналов и устойчивую инфраструктуру.</w:t>
      </w:r>
    </w:p>
    <w:p w:rsidR="00C4374C" w:rsidRDefault="00522436">
      <w:pPr>
        <w:ind w:firstLine="708"/>
      </w:pPr>
      <w:r>
        <w:rPr>
          <w:color w:val="000000"/>
        </w:rPr>
        <w:t>Таблица 3.3.4</w:t>
      </w:r>
    </w:p>
    <w:p w:rsidR="00C4374C" w:rsidRDefault="00522436">
      <w:pPr>
        <w:ind w:firstLine="708"/>
      </w:pPr>
      <w:r>
        <w:rPr>
          <w:color w:val="000000"/>
        </w:rPr>
        <w:t xml:space="preserve">Остаточные регуляторные и </w:t>
      </w:r>
      <w:proofErr w:type="spellStart"/>
      <w:r>
        <w:rPr>
          <w:color w:val="000000"/>
        </w:rPr>
        <w:t>репутационные</w:t>
      </w:r>
      <w:proofErr w:type="spellEnd"/>
      <w:r>
        <w:rPr>
          <w:color w:val="000000"/>
        </w:rPr>
        <w:t xml:space="preserve"> риски рынка биометрии и меры реагирования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2845"/>
        <w:gridCol w:w="1312"/>
        <w:gridCol w:w="942"/>
        <w:gridCol w:w="2893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Тип риска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Содержание риска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Ущерб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Способ снижения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Регуляторный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Изменение № 572-ФЗ или подзаконных актов Банка России и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РФ ([2; 3; 4])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Юридическое сопровождение; координация с ЦБТ [37]; гибкая архитектура КБС, позволяющая адаптировать схему сбора и обработки векторов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lastRenderedPageBreak/>
              <w:t>Регуляторный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Ужесточение требований к согласию граждан на сдачу биометрии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Превентивная адаптация UX регистрации в ЕБС; обучающий контент 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Регуляторный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Отзыв или приостановление аккредитации одного из участников рынка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Очень высокий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Жёсткое соблюдение пятиуровневой регуляторной конструкции (КБС, ЕБС, ФСБ, ФСТЭК, реестр </w:t>
            </w:r>
            <w:proofErr w:type="spellStart"/>
            <w:r>
              <w:rPr>
                <w:color w:val="000000"/>
                <w:sz w:val="24"/>
                <w:szCs w:val="24"/>
              </w:rPr>
              <w:t>Минцифры</w:t>
            </w:r>
            <w:proofErr w:type="spellEnd"/>
            <w:r>
              <w:rPr>
                <w:color w:val="000000"/>
                <w:sz w:val="24"/>
                <w:szCs w:val="24"/>
              </w:rPr>
              <w:t>); внутренний регуляторный аудит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Репутационный</w:t>
            </w:r>
            <w:proofErr w:type="spellEnd"/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Утечка биометрических данных у любого оператора рынка (даже не у Ак Барс Банка)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Готовность кризисного PR-плана; </w:t>
            </w:r>
            <w:proofErr w:type="spellStart"/>
            <w:r>
              <w:rPr>
                <w:color w:val="000000"/>
                <w:sz w:val="24"/>
                <w:szCs w:val="24"/>
              </w:rPr>
              <w:t>проактивная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коммуникация о криптозащите векторов; явная демонстрация архитектуры безопасности в материалах 3.2.4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Репутационный</w:t>
            </w:r>
            <w:proofErr w:type="spellEnd"/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Негативный медиа-кейс по теме «биометрия как инструмент слежки»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Регулярный регуляторный контент-конвейер 3.2.4; работа с лидерами мнений в IT-сообществе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Технический внешний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Атака на инфраструктуру ЕБС или КБС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Очень высокий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Сертификация ФСБ и ФСТЭК; резервирование; внешний аудит </w:t>
            </w:r>
            <w:proofErr w:type="spellStart"/>
            <w:r>
              <w:rPr>
                <w:color w:val="000000"/>
                <w:sz w:val="24"/>
                <w:szCs w:val="24"/>
              </w:rPr>
              <w:t>кибербезопасности</w:t>
            </w:r>
            <w:proofErr w:type="spellEnd"/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Социальный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Снижение доверия населения к биометрии на фоне общественной дискуссии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Долгосрочная образовательная коммуникация в направлении В; партнёрства с экспертным сообществом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>Источник: составлено автором по данным таблицы 1.1.1, [15, с. 117; 16, с. 43–48; 24, с. 100–110; 25, с. 112–115; 1; 36; 35; 32; 37; 2; 3; 4]</w:t>
      </w:r>
    </w:p>
    <w:p w:rsidR="00C4374C" w:rsidRDefault="00522436">
      <w:pPr>
        <w:ind w:firstLine="708"/>
      </w:pPr>
      <w:r>
        <w:rPr>
          <w:color w:val="000000"/>
        </w:rPr>
        <w:t xml:space="preserve">Двухслойная матрица рисков связана с диагностикой барьеров биометрии, проведённой в параграфе 1.3 и в подразделе 3.1.1: реализационный слой (таблица 3.3.3) содержит управляемые риски, прямо адресуемые мероприятиями параграфа 3.2, а остаточный слой (таблица 3.3.4) соответствует объективным барьерам рынка биометрии </w:t>
      </w:r>
      <w:r w:rsidR="00875DD8">
        <w:rPr>
          <w:color w:val="000000"/>
        </w:rPr>
        <w:t>–</w:t>
      </w:r>
      <w:r>
        <w:rPr>
          <w:color w:val="000000"/>
        </w:rPr>
        <w:t xml:space="preserve"> недоверию пользователей, регуляторной нестабильности, </w:t>
      </w:r>
      <w:proofErr w:type="spellStart"/>
      <w:r>
        <w:rPr>
          <w:color w:val="000000"/>
        </w:rPr>
        <w:t>репутационным</w:t>
      </w:r>
      <w:proofErr w:type="spellEnd"/>
      <w:r>
        <w:rPr>
          <w:color w:val="000000"/>
        </w:rPr>
        <w:t xml:space="preserve"> эффектам отраслевых утечек. Стратегия 3.2 эти барьеры не отменяет </w:t>
      </w:r>
      <w:r w:rsidR="00875DD8">
        <w:rPr>
          <w:color w:val="000000"/>
        </w:rPr>
        <w:t>–</w:t>
      </w:r>
      <w:r>
        <w:rPr>
          <w:color w:val="000000"/>
        </w:rPr>
        <w:t xml:space="preserve"> она их ослабляет за счёт регуляторного и доказательного контента и обходит за счёт массового канала через банковскую экосистему (направление В 1.в таблице 3.2.1).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Организационный план переводит трёхфазную содержательную логику этапов реализации, обоснованную в подразделе 3.2.5, в плоскость календаря, распределения ответственности и контрольных точек. Содержательная логика и </w:t>
      </w:r>
      <w:proofErr w:type="spellStart"/>
      <w:r>
        <w:rPr>
          <w:color w:val="000000"/>
        </w:rPr>
        <w:t>оргплан</w:t>
      </w:r>
      <w:proofErr w:type="spellEnd"/>
      <w:r>
        <w:rPr>
          <w:color w:val="000000"/>
        </w:rPr>
        <w:t xml:space="preserve"> намеренно разнесены между параграфами 3</w:t>
      </w:r>
      <w:proofErr w:type="gramStart"/>
      <w:r>
        <w:rPr>
          <w:color w:val="000000"/>
        </w:rPr>
        <w:t>.</w:t>
      </w:r>
      <w:proofErr w:type="gramEnd"/>
      <w:r>
        <w:rPr>
          <w:color w:val="000000"/>
        </w:rPr>
        <w:t xml:space="preserve">2 и 3.3 (содержательная </w:t>
      </w:r>
      <w:r w:rsidR="00875DD8">
        <w:rPr>
          <w:color w:val="000000"/>
        </w:rPr>
        <w:t>–</w:t>
      </w:r>
      <w:r>
        <w:rPr>
          <w:color w:val="000000"/>
        </w:rPr>
        <w:t xml:space="preserve"> что именно делается в каждой фазе </w:t>
      </w:r>
      <w:r w:rsidR="00875DD8">
        <w:rPr>
          <w:color w:val="000000"/>
        </w:rPr>
        <w:t>–</w:t>
      </w:r>
      <w:r>
        <w:rPr>
          <w:color w:val="000000"/>
        </w:rPr>
        <w:t xml:space="preserve"> закрепляется в подразделе 3.2.5; организационная </w:t>
      </w:r>
      <w:r w:rsidR="00875DD8">
        <w:rPr>
          <w:color w:val="000000"/>
        </w:rPr>
        <w:t>–</w:t>
      </w:r>
      <w:r>
        <w:rPr>
          <w:color w:val="000000"/>
        </w:rPr>
        <w:t xml:space="preserve"> кто и в какие сроки это делает </w:t>
      </w:r>
      <w:r w:rsidR="00875DD8">
        <w:rPr>
          <w:color w:val="000000"/>
        </w:rPr>
        <w:t>–</w:t>
      </w:r>
      <w:r>
        <w:rPr>
          <w:color w:val="000000"/>
        </w:rPr>
        <w:t xml:space="preserve"> в настоящем подразделе), что соответствует принципу разделения предметной и управленческой плоскостей внедрения.</w:t>
      </w:r>
    </w:p>
    <w:p w:rsidR="00C4374C" w:rsidRDefault="00522436">
      <w:pPr>
        <w:ind w:firstLine="708"/>
      </w:pPr>
      <w:r>
        <w:rPr>
          <w:color w:val="000000"/>
        </w:rPr>
        <w:t>Распределение ответственности строится по матрице RACI (</w:t>
      </w:r>
      <w:proofErr w:type="spellStart"/>
      <w:r>
        <w:rPr>
          <w:color w:val="000000"/>
        </w:rPr>
        <w:t>Responsible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исполнитель, </w:t>
      </w:r>
      <w:proofErr w:type="spellStart"/>
      <w:r>
        <w:rPr>
          <w:color w:val="000000"/>
        </w:rPr>
        <w:t>Accountable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ответственный, </w:t>
      </w:r>
      <w:proofErr w:type="spellStart"/>
      <w:r>
        <w:rPr>
          <w:color w:val="000000"/>
        </w:rPr>
        <w:t>Consulted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консультирующий, </w:t>
      </w:r>
      <w:proofErr w:type="spellStart"/>
      <w:r>
        <w:rPr>
          <w:color w:val="000000"/>
        </w:rPr>
        <w:t>Informed</w:t>
      </w:r>
      <w:proofErr w:type="spellEnd"/>
      <w:r>
        <w:rPr>
          <w:color w:val="000000"/>
        </w:rPr>
        <w:t xml:space="preserve"> </w:t>
      </w:r>
      <w:r w:rsidR="00875DD8">
        <w:rPr>
          <w:color w:val="000000"/>
        </w:rPr>
        <w:t>–</w:t>
      </w:r>
      <w:r>
        <w:rPr>
          <w:color w:val="000000"/>
        </w:rPr>
        <w:t xml:space="preserve"> информируемый). В состав участников входят маркетинговая (продуктовая) служба Face2 в составе АББ, команда Face2 в составе АО «Социальная карта», PR-функция АББ, юридическая служба банка, CISO, подразделение продаж B2B, партнёрское подразделение, а также внешние партнёры </w:t>
      </w:r>
      <w:r w:rsidR="00875DD8">
        <w:rPr>
          <w:color w:val="000000"/>
        </w:rPr>
        <w:t>–</w:t>
      </w:r>
      <w:r>
        <w:rPr>
          <w:color w:val="000000"/>
        </w:rPr>
        <w:t xml:space="preserve"> рекламное агентство, контент-студия и организаторы отраслевых мероприятий. Полная RACI-матрица распределения ответственности по десяти ключевым мероприятиям параграфа 3.2 приведена в Приложении Б. Ключевые роли: маркетинговая служба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accountable</w:t>
      </w:r>
      <w:proofErr w:type="spellEnd"/>
      <w:r>
        <w:rPr>
          <w:color w:val="000000"/>
        </w:rPr>
        <w:t xml:space="preserve"> по переоснащению face2.ru, контент-конвейеру, PR-размещениям и </w:t>
      </w:r>
      <w:proofErr w:type="spellStart"/>
      <w:r>
        <w:rPr>
          <w:color w:val="000000"/>
        </w:rPr>
        <w:t>референсной</w:t>
      </w:r>
      <w:proofErr w:type="spellEnd"/>
      <w:r>
        <w:rPr>
          <w:color w:val="000000"/>
        </w:rPr>
        <w:t xml:space="preserve"> программе; команда Face2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accountable</w:t>
      </w:r>
      <w:proofErr w:type="spellEnd"/>
      <w:r>
        <w:rPr>
          <w:color w:val="000000"/>
        </w:rPr>
        <w:t xml:space="preserve"> по сертификациям 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; продажи B2B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accountable</w:t>
      </w:r>
      <w:proofErr w:type="spellEnd"/>
      <w:r>
        <w:rPr>
          <w:color w:val="000000"/>
        </w:rPr>
        <w:t xml:space="preserve"> по пилотам уровня 1; партнёрское подразделение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accountable</w:t>
      </w:r>
      <w:proofErr w:type="spellEnd"/>
      <w:r>
        <w:rPr>
          <w:color w:val="000000"/>
        </w:rPr>
        <w:t xml:space="preserve"> по партнёрской сети уровня 2; юридическая служба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accountable</w:t>
      </w:r>
      <w:proofErr w:type="spellEnd"/>
      <w:r>
        <w:rPr>
          <w:color w:val="000000"/>
        </w:rPr>
        <w:t xml:space="preserve"> по регуляторным обзорам в контенте.</w:t>
      </w:r>
    </w:p>
    <w:p w:rsidR="00C4374C" w:rsidRDefault="00522436">
      <w:pPr>
        <w:ind w:firstLine="708"/>
      </w:pPr>
      <w:r>
        <w:rPr>
          <w:color w:val="000000"/>
        </w:rPr>
        <w:t xml:space="preserve">Календарный план разворачивает мероприятия параграфа 3.2 на горизонт 36 месяцев (12 кварталов Q1–Q12) и фиксирует шесть контрольных точек, в которых принимается решение «продолжать </w:t>
      </w:r>
      <w:r w:rsidR="00875DD8">
        <w:rPr>
          <w:color w:val="000000"/>
        </w:rPr>
        <w:t>–</w:t>
      </w:r>
      <w:r>
        <w:rPr>
          <w:color w:val="000000"/>
        </w:rPr>
        <w:t xml:space="preserve"> корректировать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пересобирать</w:t>
      </w:r>
      <w:proofErr w:type="spellEnd"/>
      <w:r>
        <w:rPr>
          <w:color w:val="000000"/>
        </w:rPr>
        <w:t xml:space="preserve">»: КТ1 (мес. 3) </w:t>
      </w:r>
      <w:r w:rsidR="00875DD8">
        <w:rPr>
          <w:color w:val="000000"/>
        </w:rPr>
        <w:t>–</w:t>
      </w:r>
      <w:r>
        <w:rPr>
          <w:color w:val="000000"/>
        </w:rPr>
        <w:t xml:space="preserve"> запуск face2.ru с CTA-механикой и первые регуляторные публикации; КТ2 (мес. 6) </w:t>
      </w:r>
      <w:r w:rsidR="00875DD8">
        <w:rPr>
          <w:color w:val="000000"/>
        </w:rPr>
        <w:t>–</w:t>
      </w:r>
      <w:r>
        <w:rPr>
          <w:color w:val="000000"/>
        </w:rPr>
        <w:t xml:space="preserve"> конец фазы 1, формирование линейки спикеров, подача заявок на сертификации; КТ3 (мес. 9) </w:t>
      </w:r>
      <w:r w:rsidR="00875DD8">
        <w:rPr>
          <w:color w:val="000000"/>
        </w:rPr>
        <w:t>–</w:t>
      </w:r>
      <w:r>
        <w:rPr>
          <w:color w:val="000000"/>
        </w:rPr>
        <w:t xml:space="preserve"> старт фазы 2, первые пилоты уровня 1 и первые подключения уровня 2; КТ4 (мес. 12) </w:t>
      </w:r>
      <w:r w:rsidR="00875DD8">
        <w:rPr>
          <w:color w:val="000000"/>
        </w:rPr>
        <w:t>–</w:t>
      </w:r>
      <w:r>
        <w:rPr>
          <w:color w:val="000000"/>
        </w:rPr>
        <w:t xml:space="preserve"> годовой отчёт по KPI </w:t>
      </w:r>
      <w:r>
        <w:rPr>
          <w:color w:val="000000"/>
        </w:rPr>
        <w:lastRenderedPageBreak/>
        <w:t xml:space="preserve">и корректировка бюджета; КТ5 (мес. 18) </w:t>
      </w:r>
      <w:r w:rsidR="00875DD8">
        <w:rPr>
          <w:color w:val="000000"/>
        </w:rPr>
        <w:t>–</w:t>
      </w:r>
      <w:r>
        <w:rPr>
          <w:color w:val="000000"/>
        </w:rPr>
        <w:t xml:space="preserve"> конец фазы 2, оценка выручки относительно реалистического сценария и решение о входе в фазу 3; КТ6 (мес. 24 и мес. 36) </w:t>
      </w:r>
      <w:r w:rsidR="00875DD8">
        <w:rPr>
          <w:color w:val="000000"/>
        </w:rPr>
        <w:t>–</w:t>
      </w:r>
      <w:r>
        <w:rPr>
          <w:color w:val="000000"/>
        </w:rPr>
        <w:t xml:space="preserve"> точки фазы 3, оценка NPS, доли повторных продаж и географической экспансии. Полный календарный план с распределением мероприятий по 12 кварталам приведён в Приложении В.</w:t>
      </w:r>
    </w:p>
    <w:p w:rsidR="00C4374C" w:rsidRDefault="00522436">
      <w:pPr>
        <w:ind w:firstLine="708"/>
      </w:pPr>
      <w:r>
        <w:rPr>
          <w:color w:val="000000"/>
        </w:rPr>
        <w:t xml:space="preserve">Календарь Приложения </w:t>
      </w:r>
      <w:proofErr w:type="gramStart"/>
      <w:r>
        <w:rPr>
          <w:color w:val="000000"/>
        </w:rPr>
        <w:t>В показывает</w:t>
      </w:r>
      <w:proofErr w:type="gramEnd"/>
      <w:r>
        <w:rPr>
          <w:color w:val="000000"/>
        </w:rPr>
        <w:t xml:space="preserve"> три устойчивых наблюдения. Во-первых, фаза активации (Q1–Q2) сосредоточена на разовых мероприятиях запуска инфраструктуры (переоснащение сайта, формирование линейки спикеров, бренд в </w:t>
      </w:r>
      <w:proofErr w:type="spellStart"/>
      <w:r>
        <w:rPr>
          <w:color w:val="000000"/>
        </w:rPr>
        <w:t>соцсетях</w:t>
      </w:r>
      <w:proofErr w:type="spellEnd"/>
      <w:r>
        <w:rPr>
          <w:color w:val="000000"/>
        </w:rPr>
        <w:t xml:space="preserve">, заявки на сертификации), которые завершаются в первом полугодии и далее не повторяются. Во-вторых, фаза масштабирования (Q3–Q6) представляет собой плотную параллельную работу всех каналов и направлений </w:t>
      </w:r>
      <w:r w:rsidR="00875DD8">
        <w:rPr>
          <w:color w:val="000000"/>
        </w:rPr>
        <w:t>–</w:t>
      </w:r>
      <w:r>
        <w:rPr>
          <w:color w:val="000000"/>
        </w:rPr>
        <w:t xml:space="preserve"> от конференций и пилотов до размещений в СМИ и развития банковской экосистемы; именно эта фаза несёт основную организационную нагрузку и требует устойчивой команды. В-третьих, фаза закрепления (Q7–Q12) переводит стратегию в режим сопровождения с постепенным наращиванием </w:t>
      </w:r>
      <w:proofErr w:type="spellStart"/>
      <w:r>
        <w:rPr>
          <w:color w:val="000000"/>
        </w:rPr>
        <w:t>референсной</w:t>
      </w:r>
      <w:proofErr w:type="spellEnd"/>
      <w:r>
        <w:rPr>
          <w:color w:val="000000"/>
        </w:rPr>
        <w:t xml:space="preserve"> программы и снижением активности в части офлайн-конференций.</w:t>
      </w:r>
    </w:p>
    <w:p w:rsidR="00C4374C" w:rsidRDefault="00522436">
      <w:pPr>
        <w:ind w:firstLine="708"/>
      </w:pPr>
      <w:r>
        <w:rPr>
          <w:color w:val="000000"/>
        </w:rPr>
        <w:t xml:space="preserve">Вывод по параграфу 3.3. Эффективность стратегии оценена на четырёх уровнях. Система KPI (3.3.1) </w:t>
      </w:r>
      <w:r w:rsidR="00875DD8">
        <w:rPr>
          <w:color w:val="000000"/>
        </w:rPr>
        <w:t>–</w:t>
      </w:r>
      <w:r>
        <w:rPr>
          <w:color w:val="000000"/>
        </w:rPr>
        <w:t xml:space="preserve"> двумерная матрица «направление × этап воронки» из 18 метрик (Приложение А); принципиальные решения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сценарность</w:t>
      </w:r>
      <w:proofErr w:type="spellEnd"/>
      <w:r>
        <w:rPr>
          <w:color w:val="000000"/>
        </w:rPr>
        <w:t xml:space="preserve"> Π/Р/О и четыре типа метрик (охват, вовлечение, конверсия, коммерческий результат). Экономическая оценка (3.3.2) при бюджете 112,7 млн руб. за 36 месяцев и выручке 153,7 / 352,3 / 764,5 млн руб. в сценариях Π / Р / О даёт ROI +36,4 % / +212,6 % / +578,4 % и срок окупаемости 32–33 мес. (Π) / 14–15 мес. (Р) / 6 мес. (О); численный эффект дополняется косвенным, </w:t>
      </w:r>
      <w:proofErr w:type="spellStart"/>
      <w:r>
        <w:rPr>
          <w:color w:val="000000"/>
        </w:rPr>
        <w:t>имиджевым</w:t>
      </w:r>
      <w:proofErr w:type="spellEnd"/>
      <w:r>
        <w:rPr>
          <w:color w:val="000000"/>
        </w:rPr>
        <w:t xml:space="preserve"> и регуляторным. Двухслойная матрица рисков (3.3.3) разводит реализационные риски, управляемые мероприятиями 3.2, и остаточные регуляторные и </w:t>
      </w:r>
      <w:proofErr w:type="spellStart"/>
      <w:r>
        <w:rPr>
          <w:color w:val="000000"/>
        </w:rPr>
        <w:t>репутационные</w:t>
      </w:r>
      <w:proofErr w:type="spellEnd"/>
      <w:r>
        <w:rPr>
          <w:color w:val="000000"/>
        </w:rPr>
        <w:t xml:space="preserve"> риски рынка биометрии. Организационный план (3.3.4) </w:t>
      </w:r>
      <w:r w:rsidR="00875DD8">
        <w:rPr>
          <w:color w:val="000000"/>
        </w:rPr>
        <w:t>–</w:t>
      </w:r>
      <w:r>
        <w:rPr>
          <w:color w:val="000000"/>
        </w:rPr>
        <w:t xml:space="preserve"> RACI-матрица из десяти мероприятий (Приложение Б) и календарь на 12 кварталов с шестью контрольными точками (Приложение В). Совокупно: восемь пробелов главы 2 покрыты KPI, бюджет окупается во всех трёх сценариях в пределах 36 месяцев, </w:t>
      </w:r>
      <w:r>
        <w:rPr>
          <w:color w:val="000000"/>
        </w:rPr>
        <w:lastRenderedPageBreak/>
        <w:t xml:space="preserve">риски ослаблены или обойдены, внедрение обеспечено распределением ответственности. Практическая значимость </w:t>
      </w:r>
      <w:r w:rsidR="00875DD8">
        <w:rPr>
          <w:color w:val="000000"/>
        </w:rPr>
        <w:t>–</w:t>
      </w:r>
      <w:r>
        <w:rPr>
          <w:color w:val="000000"/>
        </w:rPr>
        <w:t xml:space="preserve"> готовность стратегии к применению в ПАО «Ак Барс Банк» для масштабирования Face2 за пределы Республики Татарстан без инвестиций в собственный B2C-маркетинг федерального масштаба. Главное условие успеха </w:t>
      </w:r>
      <w:r w:rsidR="00875DD8">
        <w:rPr>
          <w:color w:val="000000"/>
        </w:rPr>
        <w:t>–</w:t>
      </w:r>
      <w:r>
        <w:rPr>
          <w:color w:val="000000"/>
        </w:rPr>
        <w:t xml:space="preserve"> качественное прохождение фазы активации (мес. 1–6); главный неуправляемый риск </w:t>
      </w:r>
      <w:r w:rsidR="00875DD8">
        <w:rPr>
          <w:color w:val="000000"/>
        </w:rPr>
        <w:t>–</w:t>
      </w:r>
      <w:r>
        <w:rPr>
          <w:color w:val="000000"/>
        </w:rPr>
        <w:t xml:space="preserve"> изменение № 572-ФЗ, демпфируемое регуляторным капиталом банка.</w:t>
      </w:r>
    </w:p>
    <w:p w:rsidR="00C4374C" w:rsidRDefault="00C4374C">
      <w:pPr>
        <w:spacing w:line="240" w:lineRule="auto"/>
      </w:pPr>
    </w:p>
    <w:p w:rsidR="00C4374C" w:rsidRDefault="00522436">
      <w:r>
        <w:br w:type="page"/>
      </w: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ВЫВОД ПО ГЛАВЕ 3</w:t>
      </w:r>
    </w:p>
    <w:p w:rsidR="00C4374C" w:rsidRDefault="00522436">
      <w:pPr>
        <w:ind w:firstLine="708"/>
      </w:pPr>
      <w:r>
        <w:rPr>
          <w:color w:val="000000"/>
        </w:rPr>
        <w:t xml:space="preserve">Глава 3 переводит управленческую повестку главы 2 в работающую стратегию. Параграф 3.1 формулирует цель и семь задач, выделяет шесть приоритетных сегментов в разрезе двухуровневой модели продаж, определяет позиционирование «Биометрия по закону, банковский уровень доверия» и обосновывает выбор интегрированной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-стратегии с асимметричным усилением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-контура на втором уровне продаж. Параграф 3.2 разворачивает её в комплекс мероприятий: три направления продвижения, шесть отраслевых </w:t>
      </w:r>
      <w:proofErr w:type="spellStart"/>
      <w:r>
        <w:rPr>
          <w:color w:val="000000"/>
        </w:rPr>
        <w:t>офферов</w:t>
      </w:r>
      <w:proofErr w:type="spellEnd"/>
      <w:r>
        <w:rPr>
          <w:color w:val="000000"/>
        </w:rPr>
        <w:t xml:space="preserve">, четыре группы каналов с достройкой банковской экосистемы как самостоятельного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-канала, контентную и PR-стратегию с линейкой из четырёх спикеров и планом независимой международной верификации (NIST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2), трёхфазный план реализации и численный бюджет 112,7 млн руб. за 36 месяцев в разрезе CAPEX (10,6 млн руб.) и OPEX (96,8 млн руб.). Параграф 3.3 проверяет стратегию через систему KPI из 18 показателей, сценарную оценку выручки 153,7 / 352,3 / 764,5 млн руб., расчёт ROI +36,4 % / +212,6 % / +578,4 % и срока окупаемости 32–33 / 14–15 / 6 мес. в сценариях Π / Р / О, двухслойную матрицу рисков и организационный план с RACI-матрицей и календарём на 12 кварталов. Восемь пробелов продвижения, выявленных в главе 2, покрыты мероприятиями главы 3 без пропусков и дублирования. Стратегия экономически целесообразна во всех трёх сценариях при бюджете менее 1 % от чистых процентных доходов АББ за 2025 год и пригодна к применению в ПАО «Ак Барс Банк» для масштабирования Face2 за пределы Республики Татарстан.</w:t>
      </w:r>
    </w:p>
    <w:p w:rsidR="00C4374C" w:rsidRDefault="00C4374C">
      <w:pPr>
        <w:spacing w:line="240" w:lineRule="auto"/>
      </w:pPr>
    </w:p>
    <w:p w:rsidR="00C4374C" w:rsidRDefault="00522436">
      <w:r>
        <w:br w:type="page"/>
      </w: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ЗАКЛЮЧЕНИЕ</w:t>
      </w:r>
    </w:p>
    <w:p w:rsidR="00C4374C" w:rsidRDefault="00522436">
      <w:pPr>
        <w:ind w:firstLine="708"/>
      </w:pPr>
      <w:r>
        <w:rPr>
          <w:color w:val="000000"/>
        </w:rPr>
        <w:t>Выпускная квалификационная работа посвящена разработке стратегии продвижения инновационного биометрического продукта Face2 ПАО «Ак Барс Банк» в условиях массовой коммерциализации российского рынка биометрии и ужесточения регуляторного контура обработки биометрических персональных данных. Поставленная цель достигнута, шесть задач исследования решены последовательно в трёх главах работы.</w:t>
      </w:r>
    </w:p>
    <w:p w:rsidR="00C4374C" w:rsidRDefault="00522436">
      <w:pPr>
        <w:ind w:firstLine="708"/>
      </w:pPr>
      <w:r>
        <w:rPr>
          <w:color w:val="000000"/>
        </w:rPr>
        <w:t xml:space="preserve">В первой главе систематизированы теоретические основы стратегического продвижения инновационных продуктов и сформирован методический инструментарий, использованный во второй и третьей главах. Раскрыты сущность и пять признаков инновационного продукта (новизна, технологичность, ценность для потребителя, конкурентоспособность, повышенный уровень риска); по теории диффузии Э. </w:t>
      </w:r>
      <w:proofErr w:type="spellStart"/>
      <w:r>
        <w:rPr>
          <w:color w:val="000000"/>
        </w:rPr>
        <w:t>Роджерса</w:t>
      </w:r>
      <w:proofErr w:type="spellEnd"/>
      <w:r>
        <w:rPr>
          <w:color w:val="000000"/>
        </w:rPr>
        <w:t xml:space="preserve"> аудитория разделена на пять групп, что задало ориентир работы стратегии 2026–2028 годов на ранних последователей и раннее большинство. На основе моделей STP и 7P, а также маркетинговой воронки с обязательным этапом «Доверие» обосновано отнесение биометрических систем к высокотехнологичным инновационным продуктам повышенного риска и сформулированы четыре условия их успешного продвижения </w:t>
      </w:r>
      <w:r w:rsidR="00875DD8">
        <w:rPr>
          <w:color w:val="000000"/>
        </w:rPr>
        <w:t>–</w:t>
      </w:r>
      <w:r>
        <w:rPr>
          <w:color w:val="000000"/>
        </w:rPr>
        <w:t xml:space="preserve"> правовое, социально-психологическое, технологическое и экономическое. Зафиксирована специфика биометрии в банковском секторе: продвижение здесь начинается с барьеров, а не с информирования, что переводит инструменты § 1.2 в особую конфигурацию </w:t>
      </w:r>
      <w:r w:rsidR="00875DD8">
        <w:rPr>
          <w:color w:val="000000"/>
        </w:rPr>
        <w:t>–</w:t>
      </w:r>
      <w:r>
        <w:rPr>
          <w:color w:val="000000"/>
        </w:rPr>
        <w:t xml:space="preserve"> с акцентом на элементы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Physical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в комплексе 7P и расширением этапа «Доверие» в воронке.</w:t>
      </w:r>
    </w:p>
    <w:p w:rsidR="00C4374C" w:rsidRDefault="00522436">
      <w:pPr>
        <w:ind w:firstLine="708"/>
      </w:pPr>
      <w:r>
        <w:rPr>
          <w:color w:val="000000"/>
        </w:rPr>
        <w:t xml:space="preserve">Во второй главе проведён анализ деятельности ПАО «Ак Барс Банк», российского рынка биометрии и текущего состояния продвижения Face2. Установлено, что банк располагает совокупными активами 1 157 340 млн рублей, чистыми процентными доходами 58 135 млн рублей за 2025 год, рейтингами уровня «A» по национальной шкале и подтверждённым ESG-статусом, а также аккредитацией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 России в качестве оператора КБС (решение № 4-А от </w:t>
      </w:r>
      <w:r>
        <w:rPr>
          <w:color w:val="000000"/>
        </w:rPr>
        <w:lastRenderedPageBreak/>
        <w:t xml:space="preserve">15 ноября 2023 года), сертификацией ФСБ и ФСТЭК и стажем работы с ЕБС с 10 июля 2018 года. Банк входит в число банков по № 115-ФЗ под номером 101 в перечне Банка России и обладает банковской экосистемой, включающей 930 тыс. активных пользователей мобильного приложения и 450 131 действующую «Карту жителя Республики Татарстан». Продуктовая линейка Face2 разделена на два уровня продаж: уровень 1 </w:t>
      </w:r>
      <w:r w:rsidR="00875DD8">
        <w:rPr>
          <w:color w:val="000000"/>
        </w:rPr>
        <w:t>–</w:t>
      </w:r>
      <w:r>
        <w:rPr>
          <w:color w:val="000000"/>
        </w:rPr>
        <w:t xml:space="preserve"> поставка КБС под ключ аккредитованным операторам, уровень 2 </w:t>
      </w:r>
      <w:r w:rsidR="00875DD8">
        <w:rPr>
          <w:color w:val="000000"/>
        </w:rPr>
        <w:t>–</w:t>
      </w:r>
      <w:r>
        <w:rPr>
          <w:color w:val="000000"/>
        </w:rPr>
        <w:t xml:space="preserve"> подключение конечных объектов по транзакционной или абонементной модели.</w:t>
      </w:r>
    </w:p>
    <w:p w:rsidR="00C4374C" w:rsidRDefault="00522436">
      <w:pPr>
        <w:ind w:firstLine="708"/>
      </w:pPr>
      <w:r>
        <w:rPr>
          <w:color w:val="000000"/>
        </w:rPr>
        <w:t xml:space="preserve">Российский рынок биометрии прошёл точку массовой коммерциализации: 145,9 млн биометрических платежей и 112,5 млрд рублей оборота за девять месяцев 2025 года, более 10 млн пользователей ЕБС к началу 2026 года, средний чек биометрического платежа около 770 рублей. Анализ через PESTEL и пять сил М. Портера показал, что отрасль относится к структурно привлекательным с высокими барьерами входа (572-ФЗ, аккредитация </w:t>
      </w:r>
      <w:proofErr w:type="spellStart"/>
      <w:r>
        <w:rPr>
          <w:color w:val="000000"/>
        </w:rPr>
        <w:t>Минцифры</w:t>
      </w:r>
      <w:proofErr w:type="spellEnd"/>
      <w:r>
        <w:rPr>
          <w:color w:val="000000"/>
        </w:rPr>
        <w:t xml:space="preserve">, сертификации ФСБ и ФСТЭК, реестр отечественного ПО) и умеренной интенсивностью соперничества внутри отдельных слоёв; ужесточение ответственности по № 420-ФЗ и № 421-ФЗ от 30 ноября 2024 года превращает регуляторный статус в защитный «ров» для аккредитованного оператора. Сравнительный анализ Face2 с ключевыми конкурентами (ПАО «Сбербанк»,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, OVISION) и балльная экспертная оценка по восьми ключевым факторам успеха, настроенным под целевой сегмент B2B и B2G со сценариями работы с физическими лицами через ЕБС в банковской экосистеме, вывели Face2 на разделённую вторую позицию (4,10) после ПАО «Сбербанк» (4,25) и наравне с </w:t>
      </w:r>
      <w:proofErr w:type="spell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(4,10) при отрыве от OVISION на 0,60 балла. Чувствительность результата к выбору весов проверена: при равных весах ранжирование меняется, что подтверждает сегментно-ориентированный характер оценки.</w:t>
      </w:r>
    </w:p>
    <w:p w:rsidR="00C4374C" w:rsidRDefault="00522436">
      <w:pPr>
        <w:ind w:firstLine="708"/>
      </w:pPr>
      <w:r>
        <w:rPr>
          <w:color w:val="000000"/>
        </w:rPr>
        <w:t xml:space="preserve">Диагностика текущего продвижения через STP, 7P, маркетинговую воронку и SWOT выявила структурную асимметрию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- и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-контуров и восемь связанных пробелов: канальный, контентный, сегментный, доказательный,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, конверсионный, </w:t>
      </w:r>
      <w:proofErr w:type="spellStart"/>
      <w:r>
        <w:rPr>
          <w:color w:val="000000"/>
        </w:rPr>
        <w:t>лояльностный</w:t>
      </w:r>
      <w:proofErr w:type="spellEnd"/>
      <w:r>
        <w:rPr>
          <w:color w:val="000000"/>
        </w:rPr>
        <w:t xml:space="preserve"> и географический. </w:t>
      </w:r>
      <w:r>
        <w:rPr>
          <w:color w:val="000000"/>
        </w:rPr>
        <w:lastRenderedPageBreak/>
        <w:t xml:space="preserve">Пробелы сгруппированы в три кластера </w:t>
      </w:r>
      <w:r w:rsidR="00875DD8">
        <w:rPr>
          <w:color w:val="000000"/>
        </w:rPr>
        <w:t>–</w:t>
      </w:r>
      <w:r>
        <w:rPr>
          <w:color w:val="000000"/>
        </w:rPr>
        <w:t xml:space="preserve"> охвата (1, 3, 8), аргументации (2, 4, 5) и инфраструктуры воронки (6, 7) </w:t>
      </w:r>
      <w:r w:rsidR="00875DD8">
        <w:rPr>
          <w:color w:val="000000"/>
        </w:rPr>
        <w:t>–</w:t>
      </w:r>
      <w:r>
        <w:rPr>
          <w:color w:val="000000"/>
        </w:rPr>
        <w:t xml:space="preserve"> и составили управленческую повестку для главы 3.</w:t>
      </w:r>
    </w:p>
    <w:p w:rsidR="00C4374C" w:rsidRDefault="00522436">
      <w:pPr>
        <w:ind w:firstLine="708"/>
      </w:pPr>
      <w:r>
        <w:rPr>
          <w:color w:val="000000"/>
        </w:rPr>
        <w:t xml:space="preserve">В третьей главе на основе результатов диагностики разработана стратегия продвижения Face2 и оценена её эффективность. Сформулированы цель и семь задач стратегии на горизонте 2026–2028 годов, выбрано позиционирование «Биометрия по закону, банковский уровень доверия» и обоснован выбор интегрированной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-стратегии с асимметричным усилением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-контура на втором уровне продаж. Комплекс маркетинговых мероприятий разворачивается в шести подразделах: три направления продвижения (B2B длинного цикла, B2B/B2G короткого цикла, B2C-слой), шесть отраслевых </w:t>
      </w:r>
      <w:proofErr w:type="spellStart"/>
      <w:r>
        <w:rPr>
          <w:color w:val="000000"/>
        </w:rPr>
        <w:t>офферов</w:t>
      </w:r>
      <w:proofErr w:type="spellEnd"/>
      <w:r>
        <w:rPr>
          <w:color w:val="000000"/>
        </w:rPr>
        <w:t xml:space="preserve"> под приоритетные сегменты (банки и МФО, ритейл и </w:t>
      </w:r>
      <w:proofErr w:type="spellStart"/>
      <w:r>
        <w:rPr>
          <w:color w:val="000000"/>
        </w:rPr>
        <w:t>вендинг</w:t>
      </w:r>
      <w:proofErr w:type="spellEnd"/>
      <w:r>
        <w:rPr>
          <w:color w:val="000000"/>
        </w:rPr>
        <w:t xml:space="preserve">, транспорт, гостеприимство, СКУД промышленных предприятий, госучреждения), четыре группы каналов с достройкой банковской экосистемы как самостоятельного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-канала, контентная и PR-стратегия с публичной линейкой из четырёх ролей-спикеров (CISO, юрист по № 572-ФЗ, </w:t>
      </w:r>
      <w:proofErr w:type="spellStart"/>
      <w:r>
        <w:rPr>
          <w:color w:val="000000"/>
        </w:rPr>
        <w:t>продакт</w:t>
      </w:r>
      <w:proofErr w:type="spellEnd"/>
      <w:r>
        <w:rPr>
          <w:color w:val="000000"/>
        </w:rPr>
        <w:t xml:space="preserve">-менеджер, </w:t>
      </w:r>
      <w:proofErr w:type="spellStart"/>
      <w:r>
        <w:rPr>
          <w:color w:val="000000"/>
        </w:rPr>
        <w:t>амбассадоры</w:t>
      </w:r>
      <w:proofErr w:type="spellEnd"/>
      <w:r>
        <w:rPr>
          <w:color w:val="000000"/>
        </w:rPr>
        <w:t xml:space="preserve">) и планом независимой международной верификации точности (NIST FRTE и </w:t>
      </w:r>
      <w:proofErr w:type="spellStart"/>
      <w:r>
        <w:rPr>
          <w:color w:val="000000"/>
        </w:rPr>
        <w:t>iBeta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2), трёхфазный план реализации и численный бюджет. Все восемь пробелов главы 2 распределены между мероприятиями главы 3 без пропусков и дублирования.</w:t>
      </w:r>
    </w:p>
    <w:p w:rsidR="00C4374C" w:rsidRDefault="00522436">
      <w:pPr>
        <w:ind w:firstLine="708"/>
      </w:pPr>
      <w:r>
        <w:rPr>
          <w:color w:val="000000"/>
        </w:rPr>
        <w:t xml:space="preserve">Экономическое обоснование стратегии выполнено в трёх сценариях. Бюджет составляет 112,7 млн рублей за тридцать шесть месяцев (CAPEX 10,6 млн руб., OPEX 96,8 млн руб., резерв 5,3 млн руб.) </w:t>
      </w:r>
      <w:r w:rsidR="00875DD8">
        <w:rPr>
          <w:color w:val="000000"/>
        </w:rPr>
        <w:t>–</w:t>
      </w:r>
      <w:r>
        <w:rPr>
          <w:color w:val="000000"/>
        </w:rPr>
        <w:t xml:space="preserve"> менее одного процента от чистых процентных доходов ПАО «Ак Барс Банк» за 2025 год. Расчётная выручка стратегии </w:t>
      </w:r>
      <w:r w:rsidR="00875DD8">
        <w:rPr>
          <w:color w:val="000000"/>
        </w:rPr>
        <w:t>–</w:t>
      </w:r>
      <w:r>
        <w:rPr>
          <w:color w:val="000000"/>
        </w:rPr>
        <w:t xml:space="preserve"> 153,7 / 352,3 / 764,5 млн рублей в пессимистическом, реалистическом и оптимистическом сценариях соответственно. Соответствующие значения ROI на конец горизонта </w:t>
      </w:r>
      <w:r w:rsidR="00875DD8">
        <w:rPr>
          <w:color w:val="000000"/>
        </w:rPr>
        <w:t>–</w:t>
      </w:r>
      <w:r>
        <w:rPr>
          <w:color w:val="000000"/>
        </w:rPr>
        <w:t xml:space="preserve"> +36,4 % / +212,6 % / +578,4 %. Срок окупаемости стратегии </w:t>
      </w:r>
      <w:r w:rsidR="00875DD8">
        <w:rPr>
          <w:color w:val="000000"/>
        </w:rPr>
        <w:t>–</w:t>
      </w:r>
      <w:r>
        <w:rPr>
          <w:color w:val="000000"/>
        </w:rPr>
        <w:t xml:space="preserve"> 32–33 месяца в пессимистическом сценарии, 14–15 месяцев в реалистическом и 6 месяцев в оптимистическом. Стратегия экономически целесообразна во всех трёх сценариях. Помимо численного </w:t>
      </w:r>
      <w:r>
        <w:rPr>
          <w:color w:val="000000"/>
        </w:rPr>
        <w:lastRenderedPageBreak/>
        <w:t xml:space="preserve">эффекта зафиксированы три качественных типа результата </w:t>
      </w:r>
      <w:r w:rsidR="00875DD8">
        <w:rPr>
          <w:color w:val="000000"/>
        </w:rPr>
        <w:t>–</w:t>
      </w:r>
      <w:r>
        <w:rPr>
          <w:color w:val="000000"/>
        </w:rPr>
        <w:t xml:space="preserve"> косвенный (</w:t>
      </w:r>
      <w:proofErr w:type="spellStart"/>
      <w:r>
        <w:rPr>
          <w:color w:val="000000"/>
        </w:rPr>
        <w:t>переток</w:t>
      </w:r>
      <w:proofErr w:type="spellEnd"/>
      <w:r>
        <w:rPr>
          <w:color w:val="000000"/>
        </w:rPr>
        <w:t xml:space="preserve"> клиентов в банковскую экосистему), </w:t>
      </w:r>
      <w:proofErr w:type="spellStart"/>
      <w:r>
        <w:rPr>
          <w:color w:val="000000"/>
        </w:rPr>
        <w:t>имиджевый</w:t>
      </w:r>
      <w:proofErr w:type="spellEnd"/>
      <w:r>
        <w:rPr>
          <w:color w:val="000000"/>
        </w:rPr>
        <w:t xml:space="preserve"> (закрепление статуса федерального игрока) и регуляторный (укрепление статуса аккредитованного оператора). Анализ чувствительности модели к снижению среднего чека уровня 1, числа подключений уровня 2 и переносу сертификаций показал, что при ухудшении предпосылок на 25–30 % реалистический сценарий сохраняет положительный ROI выше +150 %.</w:t>
      </w:r>
    </w:p>
    <w:p w:rsidR="00C4374C" w:rsidRDefault="00522436">
      <w:pPr>
        <w:ind w:firstLine="708"/>
      </w:pPr>
      <w:r>
        <w:rPr>
          <w:color w:val="000000"/>
        </w:rPr>
        <w:t xml:space="preserve">Управление рисками стратегии построено как двухслойная матрица: реализационный слой содержит управляемые риски, прямо адресуемые мероприятиями главы 3, а остаточный слой </w:t>
      </w:r>
      <w:r w:rsidR="00875DD8">
        <w:rPr>
          <w:color w:val="000000"/>
        </w:rPr>
        <w:t>–</w:t>
      </w:r>
      <w:r>
        <w:rPr>
          <w:color w:val="000000"/>
        </w:rPr>
        <w:t xml:space="preserve"> объективные регуляторные и </w:t>
      </w:r>
      <w:proofErr w:type="spellStart"/>
      <w:r>
        <w:rPr>
          <w:color w:val="000000"/>
        </w:rPr>
        <w:t>репутационные</w:t>
      </w:r>
      <w:proofErr w:type="spellEnd"/>
      <w:r>
        <w:rPr>
          <w:color w:val="000000"/>
        </w:rPr>
        <w:t xml:space="preserve"> риски рынка биометрии, которые стратегия не отменяет, но ослабляет за счёт регуляторного и доказательного контента и обходит за счёт массового канала через банковскую экосистему. Организационный план внедрения построен на RACI-матрице из десяти мероприятий и календарном плане на двенадцать кварталов с шестью контрольными точками; распределение ответственности и календарь развёрнуты в Приложениях Б и В.</w:t>
      </w:r>
    </w:p>
    <w:p w:rsidR="00C4374C" w:rsidRDefault="00522436">
      <w:pPr>
        <w:ind w:firstLine="708"/>
      </w:pPr>
      <w:r>
        <w:rPr>
          <w:color w:val="000000"/>
        </w:rPr>
        <w:t>Положения, вынесенные на защиту, подтверждены: продвижение биометрических банковских продуктов формируется через перенастройку, а не замену стандартных инструментов; конкурентная позиция Face2 определяется сегментно-ориентированным сочетанием регуляторного капитала, банковской экосистемы и продуктовой линейки; восемь пробелов продвижения сгруппированы в три кластера с адресными мероприятиями и метриками; разработанная стратегия экономически целесообразна во всех трёх сценариях.</w:t>
      </w:r>
    </w:p>
    <w:p w:rsidR="00C4374C" w:rsidRDefault="00522436">
      <w:pPr>
        <w:ind w:firstLine="708"/>
      </w:pPr>
      <w:r>
        <w:rPr>
          <w:color w:val="000000"/>
        </w:rPr>
        <w:t xml:space="preserve">Теоретическая значимость работы состоит в адаптации классических маркетинговых моделей (STP, 7P, маркетинговой воронки) к специфике биометрических продуктов, функционирующих в условиях государственного регулирования обработки персональных данных, и в формализации </w:t>
      </w:r>
      <w:proofErr w:type="spellStart"/>
      <w:r>
        <w:rPr>
          <w:color w:val="000000"/>
        </w:rPr>
        <w:t>трёхкластерной</w:t>
      </w:r>
      <w:proofErr w:type="spellEnd"/>
      <w:r>
        <w:rPr>
          <w:color w:val="000000"/>
        </w:rPr>
        <w:t xml:space="preserve"> диагностики пробелов продвижения как самостоятельного методического приёма. Практическая значимость заключается в готовности разработанной стратегии и комплекса мероприятий к применению в </w:t>
      </w:r>
      <w:r>
        <w:rPr>
          <w:color w:val="000000"/>
        </w:rPr>
        <w:lastRenderedPageBreak/>
        <w:t xml:space="preserve">деятельности ПАО «Ак Барс Банк» для масштабирования Face2 за пределы Республики Татарстан без инвестиций в собственный B2C-маркетинг федерального масштаба, а также в переносимости предложенных подходов на других аккредитованных операторов коммерческих биометрических систем. Главным условием успеха реализации является качественное прохождение фазы активации (месяцы 1–6) с запуском обновлённого face2.ru, формированием публичной линейки спикеров и подачей заявок на независимые сертификации; главным неуправляемым риском </w:t>
      </w:r>
      <w:r w:rsidR="00875DD8">
        <w:rPr>
          <w:color w:val="000000"/>
        </w:rPr>
        <w:t>–</w:t>
      </w:r>
      <w:r>
        <w:rPr>
          <w:color w:val="000000"/>
        </w:rPr>
        <w:t xml:space="preserve"> изменение № 572-ФЗ, демпфируемое регуляторным капиталом банка.</w:t>
      </w:r>
    </w:p>
    <w:p w:rsidR="00C4374C" w:rsidRDefault="00522436">
      <w:pPr>
        <w:ind w:firstLine="708"/>
      </w:pPr>
      <w:r>
        <w:rPr>
          <w:color w:val="000000"/>
        </w:rPr>
        <w:t>Перспективными направлениями дальнейших исследований представляются: количественный мониторинг эффективности предложенных мероприятий по мере их внедрения и сопоставление фактических значений ROI и срока окупаемости с расчётными в трёх сценариях; оценка влияния федеральных законов № 420-ФЗ и № 421-ФЗ от 30 ноября 2024 года на динамику пользовательского доверия к операторам биометрии и на структуру коммуникационных сообщений; сравнительный анализ моделей продвижения биометрических продуктов в банковской сфере России и в других странах с государственными системами биометрической идентификации; разработка отдельной модели продвижения для B2C-сегмента биометрических платежей с учётом ограничений № 572-ФЗ на массовые стимулы.</w:t>
      </w:r>
    </w:p>
    <w:p w:rsidR="00C4374C" w:rsidRDefault="00C4374C">
      <w:pPr>
        <w:spacing w:line="240" w:lineRule="auto"/>
      </w:pPr>
    </w:p>
    <w:p w:rsidR="00C4374C" w:rsidRDefault="00522436">
      <w:r>
        <w:br w:type="page"/>
      </w: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СПИСОК ИСПОЛЬЗОВАННЫХ ИСТОЧНИКОВ</w:t>
      </w:r>
    </w:p>
    <w:p w:rsidR="00C4374C" w:rsidRDefault="00522436">
      <w:pPr>
        <w:ind w:firstLine="708"/>
      </w:pPr>
      <w:r>
        <w:rPr>
          <w:color w:val="000000"/>
        </w:rPr>
        <w:t xml:space="preserve">_Список оформлен в соответствии с ГОСТ Р 7.0.100-2018 и Положением о выпускной квалификационной работе </w:t>
      </w:r>
      <w:proofErr w:type="spellStart"/>
      <w:r>
        <w:rPr>
          <w:color w:val="000000"/>
        </w:rPr>
        <w:t>ИУЭиФ</w:t>
      </w:r>
      <w:proofErr w:type="spellEnd"/>
      <w:r>
        <w:rPr>
          <w:color w:val="000000"/>
        </w:rPr>
        <w:t xml:space="preserve"> КФУ. Внутри разделов соблюдён алфавитный порядок (для нормативных правовых актов </w:t>
      </w:r>
      <w:r w:rsidR="00875DD8">
        <w:rPr>
          <w:color w:val="000000"/>
        </w:rPr>
        <w:t>–</w:t>
      </w:r>
      <w:r>
        <w:rPr>
          <w:color w:val="000000"/>
        </w:rPr>
        <w:t xml:space="preserve"> по юридической силе и дате принятия); внутри ВКР используется сквозная нумерация арабскими </w:t>
      </w:r>
      <w:proofErr w:type="gramStart"/>
      <w:r>
        <w:rPr>
          <w:color w:val="000000"/>
        </w:rPr>
        <w:t>цифрами._</w:t>
      </w:r>
      <w:proofErr w:type="gramEnd"/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I. Нормативные правовые акты</w:t>
      </w:r>
    </w:p>
    <w:p w:rsidR="00C4374C" w:rsidRDefault="00522436">
      <w:pPr>
        <w:ind w:firstLine="708"/>
      </w:pPr>
      <w:r>
        <w:rPr>
          <w:color w:val="000000"/>
        </w:rPr>
        <w:t xml:space="preserve">1. 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</w:t>
      </w:r>
      <w:proofErr w:type="gramStart"/>
      <w:r>
        <w:rPr>
          <w:color w:val="000000"/>
        </w:rPr>
        <w:t>Федерации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Федер</w:t>
      </w:r>
      <w:proofErr w:type="spellEnd"/>
      <w:r>
        <w:rPr>
          <w:color w:val="000000"/>
        </w:rPr>
        <w:t xml:space="preserve">. закон от 29 дек. 2022 г. № 572-ФЗ : [принят Гос. Думой 21 дек. 2022 г. : одобрен Советом Федерации 23 дек. 2022 г.] // Официальный интернет-портал правовой информации.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http://pravo.gov.ru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2. О порядке проведения коммерческими биометрическими системами идентификации и (или) аутентификации с использованием биометрических персональных </w:t>
      </w:r>
      <w:proofErr w:type="gramStart"/>
      <w:r>
        <w:rPr>
          <w:color w:val="000000"/>
        </w:rPr>
        <w:t>данных :</w:t>
      </w:r>
      <w:proofErr w:type="gramEnd"/>
      <w:r>
        <w:rPr>
          <w:color w:val="000000"/>
        </w:rPr>
        <w:t xml:space="preserve"> Указание Банка России от 25 сент. 2023 г. № 6541-У // Официальный сайт Банка России.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https://www.cbr.ru/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3. О повышении внимания кредитных организаций к отдельным операциям </w:t>
      </w:r>
      <w:proofErr w:type="gramStart"/>
      <w:r>
        <w:rPr>
          <w:color w:val="000000"/>
        </w:rPr>
        <w:t>клиентов :</w:t>
      </w:r>
      <w:proofErr w:type="gramEnd"/>
      <w:r>
        <w:rPr>
          <w:color w:val="000000"/>
        </w:rPr>
        <w:t xml:space="preserve"> Методические рекомендации Банка России от 20 дек. 2023 г. № 18-МР // Официальный сайт Банка России.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https://www.cbr.ru/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4. О повышении внимания кредитных организаций к отдельным операциям клиентов </w:t>
      </w:r>
      <w:r w:rsidR="00875DD8">
        <w:rPr>
          <w:color w:val="000000"/>
        </w:rPr>
        <w:t>–</w:t>
      </w:r>
      <w:r>
        <w:rPr>
          <w:color w:val="000000"/>
        </w:rPr>
        <w:t xml:space="preserve"> физических </w:t>
      </w:r>
      <w:proofErr w:type="gramStart"/>
      <w:r>
        <w:rPr>
          <w:color w:val="000000"/>
        </w:rPr>
        <w:t>лиц :</w:t>
      </w:r>
      <w:proofErr w:type="gramEnd"/>
      <w:r>
        <w:rPr>
          <w:color w:val="000000"/>
        </w:rPr>
        <w:t xml:space="preserve"> Методические рекомендации Банка России от 23 дек. 2023 г. № 19-МР // Официальный сайт Банка России.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https://www.cbr.ru/ (дата обращения: 31.05.2026).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lastRenderedPageBreak/>
        <w:t>II. Монографии, учебники и учебные пособия</w:t>
      </w:r>
    </w:p>
    <w:p w:rsidR="00C4374C" w:rsidRDefault="00522436">
      <w:pPr>
        <w:ind w:firstLine="708"/>
      </w:pPr>
      <w:r>
        <w:rPr>
          <w:color w:val="000000"/>
        </w:rPr>
        <w:t xml:space="preserve">5. Голубков, Е. П. Маркетинг для профессионалов: практический </w:t>
      </w:r>
      <w:proofErr w:type="gramStart"/>
      <w:r>
        <w:rPr>
          <w:color w:val="000000"/>
        </w:rPr>
        <w:t>курс :</w:t>
      </w:r>
      <w:proofErr w:type="gramEnd"/>
      <w:r>
        <w:rPr>
          <w:color w:val="000000"/>
        </w:rPr>
        <w:t xml:space="preserve"> учебник и практикум для </w:t>
      </w:r>
      <w:proofErr w:type="spellStart"/>
      <w:r>
        <w:rPr>
          <w:color w:val="000000"/>
        </w:rPr>
        <w:t>бакалавриата</w:t>
      </w:r>
      <w:proofErr w:type="spellEnd"/>
      <w:r>
        <w:rPr>
          <w:color w:val="000000"/>
        </w:rPr>
        <w:t xml:space="preserve"> и магистратуры / Е. П. Голубков.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Москва :</w:t>
      </w:r>
      <w:proofErr w:type="gramEnd"/>
      <w:r>
        <w:rPr>
          <w:color w:val="000000"/>
        </w:rPr>
        <w:t xml:space="preserve"> Издательство </w:t>
      </w:r>
      <w:proofErr w:type="spellStart"/>
      <w:r>
        <w:rPr>
          <w:color w:val="000000"/>
        </w:rPr>
        <w:t>Юрайт</w:t>
      </w:r>
      <w:proofErr w:type="spellEnd"/>
      <w:r>
        <w:rPr>
          <w:color w:val="000000"/>
        </w:rPr>
        <w:t xml:space="preserve">, 2023. </w:t>
      </w:r>
      <w:r w:rsidR="00875DD8">
        <w:rPr>
          <w:color w:val="000000"/>
        </w:rPr>
        <w:t>–</w:t>
      </w:r>
      <w:r>
        <w:rPr>
          <w:color w:val="000000"/>
        </w:rPr>
        <w:t xml:space="preserve"> 474 с.</w:t>
      </w:r>
    </w:p>
    <w:p w:rsidR="00C4374C" w:rsidRDefault="00522436">
      <w:pPr>
        <w:ind w:firstLine="708"/>
      </w:pPr>
      <w:r>
        <w:rPr>
          <w:color w:val="000000"/>
        </w:rPr>
        <w:t xml:space="preserve">6. Катаев, А. В. </w:t>
      </w:r>
      <w:proofErr w:type="spellStart"/>
      <w:r>
        <w:rPr>
          <w:color w:val="000000"/>
        </w:rPr>
        <w:t>Digital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маркетинг :</w:t>
      </w:r>
      <w:proofErr w:type="gramEnd"/>
      <w:r>
        <w:rPr>
          <w:color w:val="000000"/>
        </w:rPr>
        <w:t xml:space="preserve"> учебное пособие / А. В. Катаев, Т. М. Катаева, И. А. </w:t>
      </w:r>
      <w:proofErr w:type="spellStart"/>
      <w:r>
        <w:rPr>
          <w:color w:val="000000"/>
        </w:rPr>
        <w:t>Названова</w:t>
      </w:r>
      <w:proofErr w:type="spellEnd"/>
      <w:r>
        <w:rPr>
          <w:color w:val="000000"/>
        </w:rPr>
        <w:t xml:space="preserve">. </w:t>
      </w:r>
      <w:r w:rsidR="00875DD8">
        <w:rPr>
          <w:color w:val="000000"/>
        </w:rPr>
        <w:t>–</w:t>
      </w:r>
      <w:r>
        <w:rPr>
          <w:color w:val="000000"/>
        </w:rPr>
        <w:t xml:space="preserve"> Ростов-на-</w:t>
      </w:r>
      <w:proofErr w:type="gramStart"/>
      <w:r>
        <w:rPr>
          <w:color w:val="000000"/>
        </w:rPr>
        <w:t>Дону ;</w:t>
      </w:r>
      <w:proofErr w:type="gramEnd"/>
      <w:r>
        <w:rPr>
          <w:color w:val="000000"/>
        </w:rPr>
        <w:t xml:space="preserve"> Таганрог : Издательство Южного федерального университета, 2021. </w:t>
      </w:r>
      <w:r w:rsidR="00875DD8">
        <w:rPr>
          <w:color w:val="000000"/>
        </w:rPr>
        <w:t>–</w:t>
      </w:r>
      <w:r>
        <w:rPr>
          <w:color w:val="000000"/>
        </w:rPr>
        <w:t xml:space="preserve"> 163 с.</w:t>
      </w:r>
    </w:p>
    <w:p w:rsidR="00C4374C" w:rsidRDefault="00522436">
      <w:pPr>
        <w:ind w:firstLine="708"/>
      </w:pPr>
      <w:r>
        <w:rPr>
          <w:color w:val="000000"/>
        </w:rPr>
        <w:t xml:space="preserve">7. Катаева, Т. М. Цифровой </w:t>
      </w:r>
      <w:proofErr w:type="gramStart"/>
      <w:r>
        <w:rPr>
          <w:color w:val="000000"/>
        </w:rPr>
        <w:t>маркетинг :</w:t>
      </w:r>
      <w:proofErr w:type="gramEnd"/>
      <w:r>
        <w:rPr>
          <w:color w:val="000000"/>
        </w:rPr>
        <w:t xml:space="preserve"> учебное пособие / Т. М. Катаева, А. В. Катаев, И. А. </w:t>
      </w:r>
      <w:proofErr w:type="spellStart"/>
      <w:r>
        <w:rPr>
          <w:color w:val="000000"/>
        </w:rPr>
        <w:t>Названова</w:t>
      </w:r>
      <w:proofErr w:type="spellEnd"/>
      <w:r>
        <w:rPr>
          <w:color w:val="000000"/>
        </w:rPr>
        <w:t xml:space="preserve">. </w:t>
      </w:r>
      <w:r w:rsidR="00875DD8">
        <w:rPr>
          <w:color w:val="000000"/>
        </w:rPr>
        <w:t>–</w:t>
      </w:r>
      <w:r>
        <w:rPr>
          <w:color w:val="000000"/>
        </w:rPr>
        <w:t xml:space="preserve"> Ростов-на-</w:t>
      </w:r>
      <w:proofErr w:type="gramStart"/>
      <w:r>
        <w:rPr>
          <w:color w:val="000000"/>
        </w:rPr>
        <w:t>Дону ;</w:t>
      </w:r>
      <w:proofErr w:type="gramEnd"/>
      <w:r>
        <w:rPr>
          <w:color w:val="000000"/>
        </w:rPr>
        <w:t xml:space="preserve"> Таганрог : Издательство Южного федерального университета, 2022. </w:t>
      </w:r>
      <w:r w:rsidR="00875DD8">
        <w:rPr>
          <w:color w:val="000000"/>
        </w:rPr>
        <w:t>–</w:t>
      </w:r>
      <w:r>
        <w:rPr>
          <w:color w:val="000000"/>
        </w:rPr>
        <w:t xml:space="preserve"> 168 с.</w:t>
      </w:r>
    </w:p>
    <w:p w:rsidR="00C4374C" w:rsidRDefault="00522436">
      <w:pPr>
        <w:ind w:firstLine="708"/>
      </w:pPr>
      <w:r>
        <w:rPr>
          <w:color w:val="000000"/>
        </w:rPr>
        <w:t xml:space="preserve">8. </w:t>
      </w:r>
      <w:proofErr w:type="spellStart"/>
      <w:r>
        <w:rPr>
          <w:color w:val="000000"/>
        </w:rPr>
        <w:t>Котлер</w:t>
      </w:r>
      <w:proofErr w:type="spellEnd"/>
      <w:r>
        <w:rPr>
          <w:color w:val="000000"/>
        </w:rPr>
        <w:t xml:space="preserve">, Ф. Маркетинг менеджмент. Экспресс-курс / Ф. </w:t>
      </w:r>
      <w:proofErr w:type="spellStart"/>
      <w:proofErr w:type="gramStart"/>
      <w:r>
        <w:rPr>
          <w:color w:val="000000"/>
        </w:rPr>
        <w:t>Котлер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перевод с английского Д. Раевской. </w:t>
      </w:r>
      <w:r w:rsidR="00875DD8">
        <w:rPr>
          <w:color w:val="000000"/>
        </w:rPr>
        <w:t>–</w:t>
      </w:r>
      <w:r>
        <w:rPr>
          <w:color w:val="000000"/>
        </w:rPr>
        <w:t xml:space="preserve"> 2-е изд. </w:t>
      </w:r>
      <w:r w:rsidR="00875DD8">
        <w:rPr>
          <w:color w:val="000000"/>
        </w:rPr>
        <w:t>–</w:t>
      </w:r>
      <w:r>
        <w:rPr>
          <w:color w:val="000000"/>
        </w:rPr>
        <w:t xml:space="preserve"> Санкт-</w:t>
      </w:r>
      <w:proofErr w:type="gramStart"/>
      <w:r>
        <w:rPr>
          <w:color w:val="000000"/>
        </w:rPr>
        <w:t>Петербург :</w:t>
      </w:r>
      <w:proofErr w:type="gramEnd"/>
      <w:r>
        <w:rPr>
          <w:color w:val="000000"/>
        </w:rPr>
        <w:t xml:space="preserve"> Питер, 2006. </w:t>
      </w:r>
      <w:r w:rsidR="00875DD8">
        <w:rPr>
          <w:color w:val="000000"/>
        </w:rPr>
        <w:t>–</w:t>
      </w:r>
      <w:r>
        <w:rPr>
          <w:color w:val="000000"/>
        </w:rPr>
        <w:t xml:space="preserve"> 464 с. </w:t>
      </w:r>
      <w:r w:rsidR="00875DD8">
        <w:rPr>
          <w:color w:val="000000"/>
        </w:rPr>
        <w:t>–</w:t>
      </w:r>
      <w:r>
        <w:rPr>
          <w:color w:val="000000"/>
        </w:rPr>
        <w:t xml:space="preserve"> (Серия «Деловой бестселлер»).</w:t>
      </w:r>
    </w:p>
    <w:p w:rsidR="00C4374C" w:rsidRDefault="00522436">
      <w:pPr>
        <w:ind w:firstLine="708"/>
      </w:pPr>
      <w:r>
        <w:rPr>
          <w:color w:val="000000"/>
        </w:rPr>
        <w:t xml:space="preserve">9. </w:t>
      </w:r>
      <w:proofErr w:type="spellStart"/>
      <w:r>
        <w:rPr>
          <w:color w:val="000000"/>
        </w:rPr>
        <w:t>Котлер</w:t>
      </w:r>
      <w:proofErr w:type="spellEnd"/>
      <w:r>
        <w:rPr>
          <w:color w:val="000000"/>
        </w:rPr>
        <w:t xml:space="preserve">, Ф. Основы маркетинга / Ф. </w:t>
      </w:r>
      <w:proofErr w:type="spellStart"/>
      <w:proofErr w:type="gramStart"/>
      <w:r>
        <w:rPr>
          <w:color w:val="000000"/>
        </w:rPr>
        <w:t>Котлер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перевод с английского В. Б. Боброва ; общая редакция и вступительная статья Е. М. Пеньковой.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Москва :</w:t>
      </w:r>
      <w:proofErr w:type="gramEnd"/>
      <w:r>
        <w:rPr>
          <w:color w:val="000000"/>
        </w:rPr>
        <w:t xml:space="preserve"> Прогресс, 1991. </w:t>
      </w:r>
      <w:r w:rsidR="00875DD8">
        <w:rPr>
          <w:color w:val="000000"/>
        </w:rPr>
        <w:t>–</w:t>
      </w:r>
      <w:r>
        <w:rPr>
          <w:color w:val="000000"/>
        </w:rPr>
        <w:t xml:space="preserve"> 736 с.</w:t>
      </w:r>
    </w:p>
    <w:p w:rsidR="00C4374C" w:rsidRDefault="00522436">
      <w:pPr>
        <w:ind w:firstLine="708"/>
      </w:pPr>
      <w:r>
        <w:rPr>
          <w:color w:val="000000"/>
        </w:rPr>
        <w:t xml:space="preserve">10. </w:t>
      </w:r>
      <w:proofErr w:type="spellStart"/>
      <w:r>
        <w:rPr>
          <w:color w:val="000000"/>
        </w:rPr>
        <w:t>Ламбен</w:t>
      </w:r>
      <w:proofErr w:type="spellEnd"/>
      <w:r>
        <w:rPr>
          <w:color w:val="000000"/>
        </w:rPr>
        <w:t xml:space="preserve">, Ж.-Ж. Стратегический маркетинг. Европейская перспектива / Ж.-Ж. </w:t>
      </w:r>
      <w:proofErr w:type="spellStart"/>
      <w:proofErr w:type="gramStart"/>
      <w:r>
        <w:rPr>
          <w:color w:val="000000"/>
        </w:rPr>
        <w:t>Ламбен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перевод с французского. </w:t>
      </w:r>
      <w:r w:rsidR="00875DD8">
        <w:rPr>
          <w:color w:val="000000"/>
        </w:rPr>
        <w:t>–</w:t>
      </w:r>
      <w:r>
        <w:rPr>
          <w:color w:val="000000"/>
        </w:rPr>
        <w:t xml:space="preserve"> Санкт-</w:t>
      </w:r>
      <w:proofErr w:type="gramStart"/>
      <w:r>
        <w:rPr>
          <w:color w:val="000000"/>
        </w:rPr>
        <w:t>Петербург :</w:t>
      </w:r>
      <w:proofErr w:type="gramEnd"/>
      <w:r>
        <w:rPr>
          <w:color w:val="000000"/>
        </w:rPr>
        <w:t xml:space="preserve"> Наука, 1996. </w:t>
      </w:r>
      <w:r w:rsidR="00875DD8">
        <w:rPr>
          <w:color w:val="000000"/>
        </w:rPr>
        <w:t>–</w:t>
      </w:r>
      <w:r>
        <w:rPr>
          <w:color w:val="000000"/>
        </w:rPr>
        <w:t xml:space="preserve"> 589 с.</w:t>
      </w:r>
    </w:p>
    <w:p w:rsidR="00C4374C" w:rsidRDefault="00522436">
      <w:pPr>
        <w:ind w:firstLine="708"/>
      </w:pPr>
      <w:r>
        <w:rPr>
          <w:color w:val="000000"/>
        </w:rPr>
        <w:t xml:space="preserve">11. Портер, М. Конкурентная стратегия: Методика анализа отраслей и конкурентов / Майкл </w:t>
      </w:r>
      <w:proofErr w:type="gramStart"/>
      <w:r>
        <w:rPr>
          <w:color w:val="000000"/>
        </w:rPr>
        <w:t>Портер ;</w:t>
      </w:r>
      <w:proofErr w:type="gramEnd"/>
      <w:r>
        <w:rPr>
          <w:color w:val="000000"/>
        </w:rPr>
        <w:t xml:space="preserve"> перевод с английского И. Минервина.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Москва :</w:t>
      </w:r>
      <w:proofErr w:type="gramEnd"/>
      <w:r>
        <w:rPr>
          <w:color w:val="000000"/>
        </w:rPr>
        <w:t xml:space="preserve"> Альпина Бизнес Букс, 2005. </w:t>
      </w:r>
      <w:r w:rsidR="00875DD8">
        <w:rPr>
          <w:color w:val="000000"/>
        </w:rPr>
        <w:t>–</w:t>
      </w:r>
      <w:r>
        <w:rPr>
          <w:color w:val="000000"/>
        </w:rPr>
        <w:t xml:space="preserve"> 454 с.</w:t>
      </w:r>
    </w:p>
    <w:p w:rsidR="00C4374C" w:rsidRDefault="00522436">
      <w:pPr>
        <w:ind w:firstLine="708"/>
      </w:pPr>
      <w:r>
        <w:rPr>
          <w:color w:val="000000"/>
        </w:rPr>
        <w:t xml:space="preserve">12. </w:t>
      </w:r>
      <w:proofErr w:type="spellStart"/>
      <w:r>
        <w:rPr>
          <w:color w:val="000000"/>
        </w:rPr>
        <w:t>Тебекин</w:t>
      </w:r>
      <w:proofErr w:type="spellEnd"/>
      <w:r>
        <w:rPr>
          <w:color w:val="000000"/>
        </w:rPr>
        <w:t xml:space="preserve">, А. В. Инновационный </w:t>
      </w:r>
      <w:proofErr w:type="gramStart"/>
      <w:r>
        <w:rPr>
          <w:color w:val="000000"/>
        </w:rPr>
        <w:t>менеджмент :</w:t>
      </w:r>
      <w:proofErr w:type="gramEnd"/>
      <w:r>
        <w:rPr>
          <w:color w:val="000000"/>
        </w:rPr>
        <w:t xml:space="preserve"> учебник для бакалавров / А. В. </w:t>
      </w:r>
      <w:proofErr w:type="spellStart"/>
      <w:r>
        <w:rPr>
          <w:color w:val="000000"/>
        </w:rPr>
        <w:t>Тебекин</w:t>
      </w:r>
      <w:proofErr w:type="spellEnd"/>
      <w:r>
        <w:rPr>
          <w:color w:val="000000"/>
        </w:rPr>
        <w:t xml:space="preserve">.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Москва :</w:t>
      </w:r>
      <w:proofErr w:type="gramEnd"/>
      <w:r>
        <w:rPr>
          <w:color w:val="000000"/>
        </w:rPr>
        <w:t xml:space="preserve"> Издательство </w:t>
      </w:r>
      <w:proofErr w:type="spellStart"/>
      <w:r>
        <w:rPr>
          <w:color w:val="000000"/>
        </w:rPr>
        <w:t>Юрайт</w:t>
      </w:r>
      <w:proofErr w:type="spellEnd"/>
      <w:r>
        <w:rPr>
          <w:color w:val="000000"/>
        </w:rPr>
        <w:t xml:space="preserve">, 2020. </w:t>
      </w:r>
      <w:r w:rsidR="00875DD8">
        <w:rPr>
          <w:color w:val="000000"/>
        </w:rPr>
        <w:t>–</w:t>
      </w:r>
      <w:r>
        <w:rPr>
          <w:color w:val="000000"/>
        </w:rPr>
        <w:t xml:space="preserve"> 481 с. </w:t>
      </w:r>
      <w:r w:rsidR="00875DD8">
        <w:rPr>
          <w:color w:val="000000"/>
        </w:rPr>
        <w:t>–</w:t>
      </w:r>
      <w:r>
        <w:rPr>
          <w:color w:val="000000"/>
        </w:rPr>
        <w:t xml:space="preserve"> (Серия «Бакалавр. Академический курс»).</w:t>
      </w:r>
    </w:p>
    <w:p w:rsidR="00C4374C" w:rsidRDefault="00522436">
      <w:pPr>
        <w:ind w:firstLine="708"/>
      </w:pPr>
      <w:r>
        <w:rPr>
          <w:color w:val="000000"/>
        </w:rPr>
        <w:t xml:space="preserve">13. Управление </w:t>
      </w:r>
      <w:proofErr w:type="gramStart"/>
      <w:r>
        <w:rPr>
          <w:color w:val="000000"/>
        </w:rPr>
        <w:t>инновациями :</w:t>
      </w:r>
      <w:proofErr w:type="gramEnd"/>
      <w:r>
        <w:rPr>
          <w:color w:val="000000"/>
        </w:rPr>
        <w:t xml:space="preserve"> учебник для академического </w:t>
      </w:r>
      <w:proofErr w:type="spellStart"/>
      <w:r>
        <w:rPr>
          <w:color w:val="000000"/>
        </w:rPr>
        <w:t>бакалавриата</w:t>
      </w:r>
      <w:proofErr w:type="spellEnd"/>
      <w:r>
        <w:rPr>
          <w:color w:val="000000"/>
        </w:rPr>
        <w:t xml:space="preserve"> / под редакцией Е. А. Мальцевой.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Москва :</w:t>
      </w:r>
      <w:proofErr w:type="gramEnd"/>
      <w:r>
        <w:rPr>
          <w:color w:val="000000"/>
        </w:rPr>
        <w:t xml:space="preserve"> Издательство </w:t>
      </w:r>
      <w:proofErr w:type="spellStart"/>
      <w:r>
        <w:rPr>
          <w:color w:val="000000"/>
        </w:rPr>
        <w:t>Юрайт</w:t>
      </w:r>
      <w:proofErr w:type="spellEnd"/>
      <w:r>
        <w:rPr>
          <w:color w:val="000000"/>
        </w:rPr>
        <w:t xml:space="preserve">, 2022. </w:t>
      </w:r>
      <w:r w:rsidR="00875DD8">
        <w:rPr>
          <w:color w:val="000000"/>
        </w:rPr>
        <w:t>–</w:t>
      </w:r>
      <w:r>
        <w:rPr>
          <w:color w:val="000000"/>
        </w:rPr>
        <w:t xml:space="preserve"> 256 с.</w:t>
      </w:r>
    </w:p>
    <w:p w:rsidR="00C4374C" w:rsidRDefault="00522436">
      <w:pPr>
        <w:ind w:firstLine="708"/>
      </w:pPr>
      <w:r>
        <w:rPr>
          <w:color w:val="000000"/>
        </w:rPr>
        <w:t xml:space="preserve">14. </w:t>
      </w:r>
      <w:proofErr w:type="spellStart"/>
      <w:r>
        <w:rPr>
          <w:color w:val="000000"/>
        </w:rPr>
        <w:t>Шумпетер</w:t>
      </w:r>
      <w:proofErr w:type="spellEnd"/>
      <w:r>
        <w:rPr>
          <w:color w:val="000000"/>
        </w:rPr>
        <w:t xml:space="preserve">, Й. А. Теория экономического развития / Й. А. </w:t>
      </w:r>
      <w:proofErr w:type="spellStart"/>
      <w:proofErr w:type="gramStart"/>
      <w:r>
        <w:rPr>
          <w:color w:val="000000"/>
        </w:rPr>
        <w:t>Шумпетер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перевод с немецкого В. С. Автономова, М. С. </w:t>
      </w:r>
      <w:proofErr w:type="spellStart"/>
      <w:r>
        <w:rPr>
          <w:color w:val="000000"/>
        </w:rPr>
        <w:t>Любского</w:t>
      </w:r>
      <w:proofErr w:type="spellEnd"/>
      <w:r>
        <w:rPr>
          <w:color w:val="000000"/>
        </w:rPr>
        <w:t xml:space="preserve">, А. Ю. Чепуренко.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Москва :</w:t>
      </w:r>
      <w:proofErr w:type="gramEnd"/>
      <w:r>
        <w:rPr>
          <w:color w:val="000000"/>
        </w:rPr>
        <w:t xml:space="preserve"> Прогресс, 1982. </w:t>
      </w:r>
      <w:r w:rsidR="00875DD8">
        <w:rPr>
          <w:color w:val="000000"/>
        </w:rPr>
        <w:t>–</w:t>
      </w:r>
      <w:r>
        <w:rPr>
          <w:color w:val="000000"/>
        </w:rPr>
        <w:t xml:space="preserve"> 455 с.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lastRenderedPageBreak/>
        <w:t>III. Статьи в периодических изданиях</w:t>
      </w:r>
    </w:p>
    <w:p w:rsidR="00C4374C" w:rsidRDefault="00522436">
      <w:pPr>
        <w:ind w:firstLine="708"/>
      </w:pPr>
      <w:r>
        <w:rPr>
          <w:color w:val="000000"/>
        </w:rPr>
        <w:t xml:space="preserve">15. Биометрическая идентификация: сущность и применение технологии в платёжной индустрии // Финансы: теория и практика. </w:t>
      </w:r>
      <w:r w:rsidR="00875DD8">
        <w:rPr>
          <w:color w:val="000000"/>
        </w:rPr>
        <w:t>–</w:t>
      </w:r>
      <w:r>
        <w:rPr>
          <w:color w:val="000000"/>
        </w:rPr>
        <w:t xml:space="preserve"> 2022. </w:t>
      </w:r>
      <w:r w:rsidR="00875DD8">
        <w:rPr>
          <w:color w:val="000000"/>
        </w:rPr>
        <w:t>–</w:t>
      </w:r>
      <w:r>
        <w:rPr>
          <w:color w:val="000000"/>
        </w:rPr>
        <w:t xml:space="preserve"> Т. 26, № 1. </w:t>
      </w:r>
      <w:r w:rsidR="00875DD8">
        <w:rPr>
          <w:color w:val="000000"/>
        </w:rPr>
        <w:t>–</w:t>
      </w:r>
      <w:r>
        <w:rPr>
          <w:color w:val="000000"/>
        </w:rPr>
        <w:t xml:space="preserve"> С. 28–40.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16. Биометрия в банках и факторы, сдерживающие её развитие // Банковские услуги. </w:t>
      </w:r>
      <w:r w:rsidR="00875DD8">
        <w:rPr>
          <w:color w:val="000000"/>
        </w:rPr>
        <w:t>–</w:t>
      </w:r>
      <w:r>
        <w:rPr>
          <w:color w:val="000000"/>
        </w:rPr>
        <w:t xml:space="preserve"> 2021. </w:t>
      </w:r>
      <w:r w:rsidR="00875DD8">
        <w:rPr>
          <w:color w:val="000000"/>
        </w:rPr>
        <w:t>–</w:t>
      </w:r>
      <w:r>
        <w:rPr>
          <w:color w:val="000000"/>
        </w:rPr>
        <w:t xml:space="preserve"> № 4. </w:t>
      </w:r>
      <w:r w:rsidR="00875DD8">
        <w:rPr>
          <w:color w:val="000000"/>
        </w:rPr>
        <w:t>–</w:t>
      </w:r>
      <w:r>
        <w:rPr>
          <w:color w:val="000000"/>
        </w:rPr>
        <w:t xml:space="preserve"> С. 36–52.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17. Идентификация фазы развития и технологической зрелости инновационных продуктов на основе параметров демонстративного потребления / Е. В. </w:t>
      </w:r>
      <w:proofErr w:type="spellStart"/>
      <w:r>
        <w:rPr>
          <w:color w:val="000000"/>
        </w:rPr>
        <w:t>Линская</w:t>
      </w:r>
      <w:proofErr w:type="spellEnd"/>
      <w:r>
        <w:rPr>
          <w:color w:val="000000"/>
        </w:rPr>
        <w:t xml:space="preserve"> [и др.] // Новое в экономической кибернетике. </w:t>
      </w:r>
      <w:r w:rsidR="00875DD8">
        <w:rPr>
          <w:color w:val="000000"/>
        </w:rPr>
        <w:t>–</w:t>
      </w:r>
      <w:r>
        <w:rPr>
          <w:color w:val="000000"/>
        </w:rPr>
        <w:t xml:space="preserve"> 2023. </w:t>
      </w:r>
      <w:r w:rsidR="00875DD8">
        <w:rPr>
          <w:color w:val="000000"/>
        </w:rPr>
        <w:t>–</w:t>
      </w:r>
      <w:r>
        <w:rPr>
          <w:color w:val="000000"/>
        </w:rPr>
        <w:t xml:space="preserve"> № 1. </w:t>
      </w:r>
      <w:r w:rsidR="00875DD8">
        <w:rPr>
          <w:color w:val="000000"/>
        </w:rPr>
        <w:t>–</w:t>
      </w:r>
      <w:r>
        <w:rPr>
          <w:color w:val="000000"/>
        </w:rPr>
        <w:t xml:space="preserve"> С. 188–195. </w:t>
      </w:r>
      <w:r w:rsidR="00875DD8">
        <w:rPr>
          <w:color w:val="000000"/>
        </w:rPr>
        <w:t>–</w:t>
      </w:r>
      <w:r>
        <w:rPr>
          <w:color w:val="000000"/>
        </w:rPr>
        <w:t xml:space="preserve"> DOI 10.5281/zenodo.18048804.</w:t>
      </w:r>
    </w:p>
    <w:p w:rsidR="00C4374C" w:rsidRDefault="00522436">
      <w:pPr>
        <w:ind w:firstLine="708"/>
      </w:pPr>
      <w:r>
        <w:rPr>
          <w:color w:val="000000"/>
        </w:rPr>
        <w:t xml:space="preserve">18. Маркетинговые стратегии инновационных продуктов и пути их совершенствования // Стратегии бизнеса. </w:t>
      </w:r>
      <w:r w:rsidR="00875DD8">
        <w:rPr>
          <w:color w:val="000000"/>
        </w:rPr>
        <w:t>–</w:t>
      </w:r>
      <w:r>
        <w:rPr>
          <w:color w:val="000000"/>
        </w:rPr>
        <w:t xml:space="preserve"> 2022. </w:t>
      </w:r>
      <w:r w:rsidR="00875DD8">
        <w:rPr>
          <w:color w:val="000000"/>
        </w:rPr>
        <w:t>–</w:t>
      </w:r>
      <w:r>
        <w:rPr>
          <w:color w:val="000000"/>
        </w:rPr>
        <w:t xml:space="preserve"> Т. 10, № 5. </w:t>
      </w:r>
      <w:r w:rsidR="00875DD8">
        <w:rPr>
          <w:color w:val="000000"/>
        </w:rPr>
        <w:t>–</w:t>
      </w:r>
      <w:r>
        <w:rPr>
          <w:color w:val="000000"/>
        </w:rPr>
        <w:t xml:space="preserve"> С. 3–8.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19. Маркетинговые стратегии продвижения инновационного продукта на рынок // Экономика и предпринимательство. </w:t>
      </w:r>
      <w:r w:rsidR="00875DD8">
        <w:rPr>
          <w:color w:val="000000"/>
        </w:rPr>
        <w:t>–</w:t>
      </w:r>
      <w:r>
        <w:rPr>
          <w:color w:val="000000"/>
        </w:rPr>
        <w:t xml:space="preserve"> 2021. </w:t>
      </w:r>
      <w:r w:rsidR="00875DD8">
        <w:rPr>
          <w:color w:val="000000"/>
        </w:rPr>
        <w:t>–</w:t>
      </w:r>
      <w:r>
        <w:rPr>
          <w:color w:val="000000"/>
        </w:rPr>
        <w:t xml:space="preserve"> № 11. </w:t>
      </w:r>
      <w:r w:rsidR="00875DD8">
        <w:rPr>
          <w:color w:val="000000"/>
        </w:rPr>
        <w:t>–</w:t>
      </w:r>
      <w:r>
        <w:rPr>
          <w:color w:val="000000"/>
        </w:rPr>
        <w:t xml:space="preserve"> С. 3–9.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20. Необходимость маркетинга в продвижении инновационных продуктов // Креативная экономика. </w:t>
      </w:r>
      <w:r w:rsidR="00875DD8">
        <w:rPr>
          <w:color w:val="000000"/>
        </w:rPr>
        <w:t>–</w:t>
      </w:r>
      <w:r>
        <w:rPr>
          <w:color w:val="000000"/>
        </w:rPr>
        <w:t xml:space="preserve"> 2020. </w:t>
      </w:r>
      <w:r w:rsidR="00875DD8">
        <w:rPr>
          <w:color w:val="000000"/>
        </w:rPr>
        <w:t>–</w:t>
      </w:r>
      <w:r>
        <w:rPr>
          <w:color w:val="000000"/>
        </w:rPr>
        <w:t xml:space="preserve"> Т. 14, № 7. </w:t>
      </w:r>
      <w:r w:rsidR="00875DD8">
        <w:rPr>
          <w:color w:val="000000"/>
        </w:rPr>
        <w:t>–</w:t>
      </w:r>
      <w:r>
        <w:rPr>
          <w:color w:val="000000"/>
        </w:rPr>
        <w:t xml:space="preserve"> С. 9–16.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21. </w:t>
      </w:r>
      <w:proofErr w:type="spellStart"/>
      <w:r>
        <w:rPr>
          <w:color w:val="000000"/>
        </w:rPr>
        <w:t>Оборевич</w:t>
      </w:r>
      <w:proofErr w:type="spellEnd"/>
      <w:r>
        <w:rPr>
          <w:color w:val="000000"/>
        </w:rPr>
        <w:t xml:space="preserve">, А. А. Стратегия продвижения инновационного продукта на промышленном рынке: концептуальная модель / А. А. </w:t>
      </w:r>
      <w:proofErr w:type="spellStart"/>
      <w:r>
        <w:rPr>
          <w:color w:val="000000"/>
        </w:rPr>
        <w:t>Оборевич</w:t>
      </w:r>
      <w:proofErr w:type="spellEnd"/>
      <w:r>
        <w:rPr>
          <w:color w:val="000000"/>
        </w:rPr>
        <w:t xml:space="preserve">, О. А. Третьяк // Российский журнал менеджмента. </w:t>
      </w:r>
      <w:r w:rsidR="00875DD8">
        <w:rPr>
          <w:color w:val="000000"/>
        </w:rPr>
        <w:t>–</w:t>
      </w:r>
      <w:r>
        <w:rPr>
          <w:color w:val="000000"/>
        </w:rPr>
        <w:t xml:space="preserve"> 2021. </w:t>
      </w:r>
      <w:r w:rsidR="00875DD8">
        <w:rPr>
          <w:color w:val="000000"/>
        </w:rPr>
        <w:t>–</w:t>
      </w:r>
      <w:r>
        <w:rPr>
          <w:color w:val="000000"/>
        </w:rPr>
        <w:t xml:space="preserve"> Т. 19, № 1. </w:t>
      </w:r>
      <w:r w:rsidR="00875DD8">
        <w:rPr>
          <w:color w:val="000000"/>
        </w:rPr>
        <w:t>–</w:t>
      </w:r>
      <w:r>
        <w:rPr>
          <w:color w:val="000000"/>
        </w:rPr>
        <w:t xml:space="preserve"> С. 88–110.</w:t>
      </w:r>
    </w:p>
    <w:p w:rsidR="00C4374C" w:rsidRDefault="00522436">
      <w:pPr>
        <w:ind w:firstLine="708"/>
      </w:pPr>
      <w:r>
        <w:rPr>
          <w:color w:val="000000"/>
        </w:rPr>
        <w:t xml:space="preserve">22. Особенности маркетинга инноваций // Вопросы инновационной экономики. </w:t>
      </w:r>
      <w:r w:rsidR="00875DD8">
        <w:rPr>
          <w:color w:val="000000"/>
        </w:rPr>
        <w:t>–</w:t>
      </w:r>
      <w:r>
        <w:rPr>
          <w:color w:val="000000"/>
        </w:rPr>
        <w:t xml:space="preserve"> 2020. </w:t>
      </w:r>
      <w:r w:rsidR="00875DD8">
        <w:rPr>
          <w:color w:val="000000"/>
        </w:rPr>
        <w:t>–</w:t>
      </w:r>
      <w:r>
        <w:rPr>
          <w:color w:val="000000"/>
        </w:rPr>
        <w:t xml:space="preserve"> Т. 10, № 4. </w:t>
      </w:r>
      <w:r w:rsidR="00875DD8">
        <w:rPr>
          <w:color w:val="000000"/>
        </w:rPr>
        <w:t>–</w:t>
      </w:r>
      <w:r>
        <w:rPr>
          <w:color w:val="000000"/>
        </w:rPr>
        <w:t xml:space="preserve"> С. 9–18.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23. Правовое регулирование использования биометрии в банковской сфере и проблемы по её охране // Юридическая наука. </w:t>
      </w:r>
      <w:r w:rsidR="00875DD8">
        <w:rPr>
          <w:color w:val="000000"/>
        </w:rPr>
        <w:t>–</w:t>
      </w:r>
      <w:r>
        <w:rPr>
          <w:color w:val="000000"/>
        </w:rPr>
        <w:t xml:space="preserve"> 2022. </w:t>
      </w:r>
      <w:r w:rsidR="00875DD8">
        <w:rPr>
          <w:color w:val="000000"/>
        </w:rPr>
        <w:t>–</w:t>
      </w:r>
      <w:r>
        <w:rPr>
          <w:color w:val="000000"/>
        </w:rPr>
        <w:t xml:space="preserve"> № 2. </w:t>
      </w:r>
      <w:r w:rsidR="00875DD8">
        <w:rPr>
          <w:color w:val="000000"/>
        </w:rPr>
        <w:t>–</w:t>
      </w:r>
      <w:r>
        <w:rPr>
          <w:color w:val="000000"/>
        </w:rPr>
        <w:t xml:space="preserve"> С. 90–96.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lastRenderedPageBreak/>
        <w:t xml:space="preserve">24. Применение биометрической идентификации в банках: проблемы и перспективы // Финансовые рынки и банки. </w:t>
      </w:r>
      <w:r w:rsidR="00875DD8">
        <w:rPr>
          <w:color w:val="000000"/>
        </w:rPr>
        <w:t>–</w:t>
      </w:r>
      <w:r>
        <w:rPr>
          <w:color w:val="000000"/>
        </w:rPr>
        <w:t xml:space="preserve"> 2021. </w:t>
      </w:r>
      <w:r w:rsidR="00875DD8">
        <w:rPr>
          <w:color w:val="000000"/>
        </w:rPr>
        <w:t>–</w:t>
      </w:r>
      <w:r>
        <w:rPr>
          <w:color w:val="000000"/>
        </w:rPr>
        <w:t xml:space="preserve"> № 6. </w:t>
      </w:r>
      <w:r w:rsidR="00875DD8">
        <w:rPr>
          <w:color w:val="000000"/>
        </w:rPr>
        <w:t>–</w:t>
      </w:r>
      <w:r>
        <w:rPr>
          <w:color w:val="000000"/>
        </w:rPr>
        <w:t xml:space="preserve"> С. 100–110.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25. Проблемы и перспективы развития биометрических технологий в банковской деятельности // Вестник науки. </w:t>
      </w:r>
      <w:r w:rsidR="00875DD8">
        <w:rPr>
          <w:color w:val="000000"/>
        </w:rPr>
        <w:t>–</w:t>
      </w:r>
      <w:r>
        <w:rPr>
          <w:color w:val="000000"/>
        </w:rPr>
        <w:t xml:space="preserve"> 2022. </w:t>
      </w:r>
      <w:r w:rsidR="00875DD8">
        <w:rPr>
          <w:color w:val="000000"/>
        </w:rPr>
        <w:t>–</w:t>
      </w:r>
      <w:r>
        <w:rPr>
          <w:color w:val="000000"/>
        </w:rPr>
        <w:t xml:space="preserve"> № 5. </w:t>
      </w:r>
      <w:r w:rsidR="00875DD8">
        <w:rPr>
          <w:color w:val="000000"/>
        </w:rPr>
        <w:t>–</w:t>
      </w:r>
      <w:r>
        <w:rPr>
          <w:color w:val="000000"/>
        </w:rPr>
        <w:t xml:space="preserve"> С. 112–119.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https://cyberleninka.ru/ (дата обращения: 31.05.2026).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IV. Финансовая отчётность и корпоративные документы</w:t>
      </w:r>
    </w:p>
    <w:p w:rsidR="00C4374C" w:rsidRDefault="00522436">
      <w:pPr>
        <w:ind w:firstLine="708"/>
      </w:pPr>
      <w:r>
        <w:rPr>
          <w:color w:val="000000"/>
        </w:rPr>
        <w:t xml:space="preserve">26. Ак Барс </w:t>
      </w:r>
      <w:proofErr w:type="gramStart"/>
      <w:r>
        <w:rPr>
          <w:color w:val="000000"/>
        </w:rPr>
        <w:t>Банк :</w:t>
      </w:r>
      <w:proofErr w:type="gramEnd"/>
      <w:r>
        <w:rPr>
          <w:color w:val="000000"/>
        </w:rPr>
        <w:t xml:space="preserve"> Годовой отчёт за 2024 год / ПАО «АК БАРС» БАНК. </w:t>
      </w:r>
      <w:r w:rsidR="00875DD8">
        <w:rPr>
          <w:color w:val="000000"/>
        </w:rPr>
        <w:t>–</w:t>
      </w:r>
      <w:r>
        <w:rPr>
          <w:color w:val="000000"/>
        </w:rPr>
        <w:t xml:space="preserve"> Казань, 2025. </w:t>
      </w:r>
      <w:r w:rsidR="00875DD8">
        <w:rPr>
          <w:color w:val="000000"/>
        </w:rPr>
        <w:t>–</w:t>
      </w:r>
      <w:r>
        <w:rPr>
          <w:color w:val="000000"/>
        </w:rPr>
        <w:t xml:space="preserve"> 40 с.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https://www.akbars.ru/about/reports/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27. Биометрия АК БАРС </w:t>
      </w:r>
      <w:proofErr w:type="spellStart"/>
      <w:r>
        <w:rPr>
          <w:color w:val="000000"/>
        </w:rPr>
        <w:t>БАНКа</w:t>
      </w:r>
      <w:proofErr w:type="spellEnd"/>
      <w:r>
        <w:rPr>
          <w:color w:val="000000"/>
        </w:rPr>
        <w:t xml:space="preserve"> (Face2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презентационные и проектные материалы / ПАО «АК БАРС» БАНК. </w:t>
      </w:r>
      <w:r w:rsidR="00875DD8">
        <w:rPr>
          <w:color w:val="000000"/>
        </w:rPr>
        <w:t>–</w:t>
      </w:r>
      <w:r>
        <w:rPr>
          <w:color w:val="000000"/>
        </w:rPr>
        <w:t xml:space="preserve"> Казань, 2025. </w:t>
      </w:r>
      <w:r w:rsidR="00875DD8">
        <w:rPr>
          <w:color w:val="000000"/>
        </w:rPr>
        <w:t>–</w:t>
      </w:r>
      <w:r>
        <w:rPr>
          <w:color w:val="000000"/>
        </w:rPr>
        <w:t xml:space="preserve"> Внутренний документ банка, предоставлен автору в ходе преддипломной практики.</w:t>
      </w:r>
    </w:p>
    <w:p w:rsidR="00C4374C" w:rsidRDefault="00522436">
      <w:pPr>
        <w:ind w:firstLine="708"/>
      </w:pPr>
      <w:r>
        <w:rPr>
          <w:color w:val="000000"/>
        </w:rPr>
        <w:t xml:space="preserve">28. Информационная система Face2. Руководство по развёртыванию. Версия 1.0 / АО «Социальная Карта». </w:t>
      </w:r>
      <w:r w:rsidR="00875DD8">
        <w:rPr>
          <w:color w:val="000000"/>
        </w:rPr>
        <w:t>–</w:t>
      </w:r>
      <w:r>
        <w:rPr>
          <w:color w:val="000000"/>
        </w:rPr>
        <w:t xml:space="preserve"> Казань, 2025. </w:t>
      </w:r>
      <w:r w:rsidR="00875DD8">
        <w:rPr>
          <w:color w:val="000000"/>
        </w:rPr>
        <w:t>–</w:t>
      </w:r>
      <w:r>
        <w:rPr>
          <w:color w:val="000000"/>
        </w:rPr>
        <w:t xml:space="preserve"> Документ разработчика программного обеспечения, предоставлен автору в ходе преддипломной практики.</w:t>
      </w:r>
    </w:p>
    <w:p w:rsidR="00C4374C" w:rsidRDefault="00522436">
      <w:pPr>
        <w:ind w:firstLine="708"/>
      </w:pPr>
      <w:r>
        <w:rPr>
          <w:color w:val="000000"/>
        </w:rPr>
        <w:t xml:space="preserve">29. Информационная система Face2. Функциональные возможности продукта. Версия 1.0 / АО «Социальная Карта». </w:t>
      </w:r>
      <w:r w:rsidR="00875DD8">
        <w:rPr>
          <w:color w:val="000000"/>
        </w:rPr>
        <w:t>–</w:t>
      </w:r>
      <w:r>
        <w:rPr>
          <w:color w:val="000000"/>
        </w:rPr>
        <w:t xml:space="preserve"> Казань, 2025. </w:t>
      </w:r>
      <w:r w:rsidR="00875DD8">
        <w:rPr>
          <w:color w:val="000000"/>
        </w:rPr>
        <w:t>–</w:t>
      </w:r>
      <w:r>
        <w:rPr>
          <w:color w:val="000000"/>
        </w:rPr>
        <w:t xml:space="preserve"> Документ разработчика программного обеспечения, предоставлен автору в ходе преддипломной практики.</w:t>
      </w:r>
    </w:p>
    <w:p w:rsidR="00C4374C" w:rsidRDefault="00522436">
      <w:pPr>
        <w:ind w:firstLine="708"/>
      </w:pPr>
      <w:r>
        <w:rPr>
          <w:color w:val="000000"/>
        </w:rPr>
        <w:t xml:space="preserve">30. Раскрываемая годовая бухгалтерская (финансовая) отчётность за 2024 год / ПАО «АК БАРС» БАНК. </w:t>
      </w:r>
      <w:r w:rsidR="00875DD8">
        <w:rPr>
          <w:color w:val="000000"/>
        </w:rPr>
        <w:t>–</w:t>
      </w:r>
      <w:r>
        <w:rPr>
          <w:color w:val="000000"/>
        </w:rPr>
        <w:t xml:space="preserve"> Казань, 2025.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https://www.akbars.ru/about/reports/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31. Финансовая отчётность ПАО «АК БАРС» БАНК за 2023 год. </w:t>
      </w:r>
      <w:r w:rsidR="00875DD8">
        <w:rPr>
          <w:color w:val="000000"/>
        </w:rPr>
        <w:t>–</w:t>
      </w:r>
      <w:r>
        <w:rPr>
          <w:color w:val="000000"/>
        </w:rPr>
        <w:t xml:space="preserve"> Казань, 2024.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https://www.akbars.ru/about/reports/ (дата обращения: 31.05.2026).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V. Электронные ресурсы</w:t>
      </w:r>
    </w:p>
    <w:p w:rsidR="00C4374C" w:rsidRDefault="00522436">
      <w:pPr>
        <w:ind w:firstLine="708"/>
      </w:pPr>
      <w:r>
        <w:rPr>
          <w:color w:val="000000"/>
        </w:rPr>
        <w:t xml:space="preserve">32. </w:t>
      </w:r>
      <w:proofErr w:type="spellStart"/>
      <w:r>
        <w:rPr>
          <w:color w:val="000000"/>
        </w:rPr>
        <w:t>Арялина</w:t>
      </w:r>
      <w:proofErr w:type="spellEnd"/>
      <w:r>
        <w:rPr>
          <w:color w:val="000000"/>
        </w:rPr>
        <w:t xml:space="preserve">, М. Узнать одного из тысячи: как биометрические системы стали нашей повседневностью / М. </w:t>
      </w:r>
      <w:proofErr w:type="spellStart"/>
      <w:r>
        <w:rPr>
          <w:color w:val="000000"/>
        </w:rPr>
        <w:t>Арялина</w:t>
      </w:r>
      <w:proofErr w:type="spellEnd"/>
      <w:r>
        <w:rPr>
          <w:color w:val="000000"/>
        </w:rPr>
        <w:t xml:space="preserve"> // Ведомости. Инновации и </w:t>
      </w:r>
      <w:r>
        <w:rPr>
          <w:color w:val="000000"/>
        </w:rPr>
        <w:lastRenderedPageBreak/>
        <w:t xml:space="preserve">технологии. </w:t>
      </w:r>
      <w:r w:rsidR="00875DD8">
        <w:rPr>
          <w:color w:val="000000"/>
        </w:rPr>
        <w:t>–</w:t>
      </w:r>
      <w:r>
        <w:rPr>
          <w:color w:val="000000"/>
        </w:rPr>
        <w:t xml:space="preserve"> 2026. </w:t>
      </w:r>
      <w:r w:rsidR="00875DD8">
        <w:rPr>
          <w:color w:val="000000"/>
        </w:rPr>
        <w:t>–</w:t>
      </w:r>
      <w:r>
        <w:rPr>
          <w:color w:val="000000"/>
        </w:rPr>
        <w:t xml:space="preserve"> 11 марта.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https://www.vedomosti.ru/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33. Банк России. Обзор международного рынка биометрических технологий и их применение в финансовом секторе. </w:t>
      </w:r>
      <w:r w:rsidR="00875DD8">
        <w:rPr>
          <w:color w:val="000000"/>
        </w:rPr>
        <w:t>–</w:t>
      </w:r>
      <w:r>
        <w:rPr>
          <w:color w:val="000000"/>
        </w:rPr>
        <w:t xml:space="preserve"> Москва, 2018. </w:t>
      </w:r>
      <w:r w:rsidR="00875DD8">
        <w:rPr>
          <w:color w:val="000000"/>
        </w:rPr>
        <w:t>–</w:t>
      </w:r>
      <w:r>
        <w:rPr>
          <w:color w:val="000000"/>
        </w:rPr>
        <w:t xml:space="preserve"> 25 с.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https://www.cbr.ru/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34. Банк России. Платежи с использованием биометрии и QR-кодов во II квартале 2025 </w:t>
      </w:r>
      <w:proofErr w:type="gramStart"/>
      <w:r>
        <w:rPr>
          <w:color w:val="000000"/>
        </w:rPr>
        <w:t>года :</w:t>
      </w:r>
      <w:proofErr w:type="gramEnd"/>
      <w:r>
        <w:rPr>
          <w:color w:val="000000"/>
        </w:rPr>
        <w:t xml:space="preserve"> пресс-релиз. </w:t>
      </w:r>
      <w:r w:rsidR="00875DD8">
        <w:rPr>
          <w:color w:val="000000"/>
        </w:rPr>
        <w:t>–</w:t>
      </w:r>
      <w:r>
        <w:rPr>
          <w:color w:val="000000"/>
        </w:rPr>
        <w:t xml:space="preserve"> Москва, 2025.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https://www.cbr.ru/press/event/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>35. Банк России. Перечень банков, соответствующих требованиям пункта 5.7 статьи 7 Федерального закона от 7 августа 2001 г. № 115-</w:t>
      </w:r>
      <w:proofErr w:type="gramStart"/>
      <w:r>
        <w:rPr>
          <w:color w:val="000000"/>
        </w:rPr>
        <w:t>ФЗ :</w:t>
      </w:r>
      <w:proofErr w:type="gramEnd"/>
      <w:r>
        <w:rPr>
          <w:color w:val="000000"/>
        </w:rPr>
        <w:t xml:space="preserve"> по состоянию на 4 мая 2026 г. </w:t>
      </w:r>
      <w:r w:rsidR="00875DD8">
        <w:rPr>
          <w:color w:val="000000"/>
        </w:rPr>
        <w:t>–</w:t>
      </w:r>
      <w:r>
        <w:rPr>
          <w:color w:val="000000"/>
        </w:rPr>
        <w:t xml:space="preserve"> Москва, 2026.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https://www.cbr.ru/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36. Банк России. Удалённая </w:t>
      </w:r>
      <w:proofErr w:type="gramStart"/>
      <w:r>
        <w:rPr>
          <w:color w:val="000000"/>
        </w:rPr>
        <w:t>идентификация :</w:t>
      </w:r>
      <w:proofErr w:type="gramEnd"/>
      <w:r>
        <w:rPr>
          <w:color w:val="000000"/>
        </w:rPr>
        <w:t xml:space="preserve"> описание механизма и этапы пользовательского пути. </w:t>
      </w:r>
      <w:r w:rsidR="00875DD8">
        <w:rPr>
          <w:color w:val="000000"/>
        </w:rPr>
        <w:t>–</w:t>
      </w:r>
      <w:r>
        <w:rPr>
          <w:color w:val="000000"/>
        </w:rPr>
        <w:t xml:space="preserve"> Москва, [2024].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https://www.cbr.ru/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37. Единая биометрическая </w:t>
      </w:r>
      <w:proofErr w:type="gramStart"/>
      <w:r>
        <w:rPr>
          <w:color w:val="000000"/>
        </w:rPr>
        <w:t>система :</w:t>
      </w:r>
      <w:proofErr w:type="gramEnd"/>
      <w:r>
        <w:rPr>
          <w:color w:val="000000"/>
        </w:rPr>
        <w:t xml:space="preserve"> официальный сайт оператора / АО «Центр биометрических технологий». </w:t>
      </w:r>
      <w:r w:rsidR="00875DD8">
        <w:rPr>
          <w:color w:val="000000"/>
        </w:rPr>
        <w:t>–</w:t>
      </w:r>
      <w:r>
        <w:rPr>
          <w:color w:val="000000"/>
        </w:rPr>
        <w:t xml:space="preserve"> Москва, 2025.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https://ebs.ru/citizens/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38. Оплата </w:t>
      </w:r>
      <w:proofErr w:type="gramStart"/>
      <w:r>
        <w:rPr>
          <w:color w:val="000000"/>
        </w:rPr>
        <w:t>улыбкой :</w:t>
      </w:r>
      <w:proofErr w:type="gramEnd"/>
      <w:r>
        <w:rPr>
          <w:color w:val="000000"/>
        </w:rPr>
        <w:t xml:space="preserve"> статистика биометрических платежей ПАО Сбербанк за август 2024 года.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https://www.sber.ru/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39. </w:t>
      </w:r>
      <w:proofErr w:type="spellStart"/>
      <w:r>
        <w:rPr>
          <w:color w:val="000000"/>
        </w:rPr>
        <w:t>TAdviser</w:t>
      </w:r>
      <w:proofErr w:type="spellEnd"/>
      <w:r>
        <w:rPr>
          <w:color w:val="000000"/>
        </w:rPr>
        <w:t xml:space="preserve">. АК БАРС </w:t>
      </w:r>
      <w:proofErr w:type="gramStart"/>
      <w:r>
        <w:rPr>
          <w:color w:val="000000"/>
        </w:rPr>
        <w:t>Банк :</w:t>
      </w:r>
      <w:proofErr w:type="gramEnd"/>
      <w:r>
        <w:rPr>
          <w:color w:val="000000"/>
        </w:rPr>
        <w:t xml:space="preserve"> подключение к Единой биометрической системе (2018) : проектная карточка // </w:t>
      </w:r>
      <w:proofErr w:type="spellStart"/>
      <w:r>
        <w:rPr>
          <w:color w:val="000000"/>
        </w:rPr>
        <w:t>TAdviser</w:t>
      </w:r>
      <w:proofErr w:type="spellEnd"/>
      <w:r>
        <w:rPr>
          <w:color w:val="000000"/>
        </w:rPr>
        <w:t xml:space="preserve">. Государство. Бизнес. ИТ.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https://www.tadviser.ru/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40. </w:t>
      </w:r>
      <w:proofErr w:type="spellStart"/>
      <w:proofErr w:type="gramStart"/>
      <w:r>
        <w:rPr>
          <w:color w:val="000000"/>
        </w:rPr>
        <w:t>VisionLabs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официальный сайт компании.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https://visionlabs.ru/ (дата обращения: 31.05.2026).</w:t>
      </w:r>
    </w:p>
    <w:p w:rsidR="00C4374C" w:rsidRDefault="00522436">
      <w:pPr>
        <w:ind w:firstLine="708"/>
      </w:pPr>
      <w:r>
        <w:rPr>
          <w:color w:val="000000"/>
        </w:rPr>
        <w:t xml:space="preserve">41. </w:t>
      </w:r>
      <w:proofErr w:type="gramStart"/>
      <w:r>
        <w:rPr>
          <w:color w:val="000000"/>
        </w:rPr>
        <w:t>OVISION :</w:t>
      </w:r>
      <w:proofErr w:type="gramEnd"/>
      <w:r>
        <w:rPr>
          <w:color w:val="000000"/>
        </w:rPr>
        <w:t xml:space="preserve"> официальный сайт компании. </w:t>
      </w:r>
      <w:r w:rsidR="00875DD8">
        <w:rPr>
          <w:color w:val="000000"/>
        </w:rPr>
        <w:t>–</w:t>
      </w:r>
      <w:r>
        <w:rPr>
          <w:color w:val="000000"/>
        </w:rPr>
        <w:t xml:space="preserve"> URL: https://ovision.ru/ (дата обращения: 31.05.2026).</w:t>
      </w:r>
    </w:p>
    <w:p w:rsidR="00C4374C" w:rsidRDefault="00C4374C">
      <w:pPr>
        <w:spacing w:line="240" w:lineRule="auto"/>
      </w:pPr>
    </w:p>
    <w:p w:rsidR="00C4374C" w:rsidRDefault="00522436">
      <w:pPr>
        <w:keepNext/>
        <w:keepLines/>
        <w:spacing w:before="240" w:after="120"/>
        <w:jc w:val="center"/>
      </w:pPr>
      <w:r>
        <w:rPr>
          <w:b/>
          <w:bCs/>
          <w:color w:val="000000"/>
        </w:rPr>
        <w:lastRenderedPageBreak/>
        <w:t>ПРИЛОЖЕНИЯ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Приложение А</w:t>
      </w:r>
    </w:p>
    <w:p w:rsidR="00C4374C" w:rsidRDefault="00522436">
      <w:pPr>
        <w:ind w:firstLine="708"/>
      </w:pPr>
      <w:r>
        <w:rPr>
          <w:color w:val="000000"/>
        </w:rPr>
        <w:t>Система ключевых показателей результативности (KPI) стратегии продвижения Face2</w:t>
      </w:r>
    </w:p>
    <w:p w:rsidR="00C4374C" w:rsidRDefault="00522436">
      <w:pPr>
        <w:ind w:firstLine="708"/>
      </w:pPr>
      <w:r>
        <w:rPr>
          <w:color w:val="000000"/>
        </w:rPr>
        <w:t xml:space="preserve">Двумерная матрица из 18 показателей: строки </w:t>
      </w:r>
      <w:r w:rsidR="00875DD8">
        <w:rPr>
          <w:color w:val="000000"/>
        </w:rPr>
        <w:t>–</w:t>
      </w:r>
      <w:r>
        <w:rPr>
          <w:color w:val="000000"/>
        </w:rPr>
        <w:t xml:space="preserve"> три направления продвижения из таблицы 3.2.1; столбцы </w:t>
      </w:r>
      <w:r w:rsidR="00875DD8">
        <w:rPr>
          <w:color w:val="000000"/>
        </w:rPr>
        <w:t>–</w:t>
      </w:r>
      <w:r>
        <w:rPr>
          <w:color w:val="000000"/>
        </w:rPr>
        <w:t xml:space="preserve"> шесть этапов маркетинговой воронки § 1.2 (Осведомлённость, Интерес, Доверие, Пилот, Принятие, Лояльность). Источник: составлено автором на основе таблицы 3.2.1, шестиэтапной воронки § 1.2, [6, с. 64; 7, с. 64; 8, с. 412; 10, с. 156].</w:t>
      </w:r>
    </w:p>
    <w:tbl>
      <w:tblPr>
        <w:tblW w:w="96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1838"/>
        <w:gridCol w:w="1633"/>
        <w:gridCol w:w="1768"/>
        <w:gridCol w:w="1419"/>
        <w:gridCol w:w="1566"/>
        <w:gridCol w:w="1725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Направление 3.2.1 \ Этап воронки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Осведомлённость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Интерес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Доверие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Пилот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Принятие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Лояльность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А. B2B длинного цикла (уровень 1)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Цитируемость в деловых СМИ; число публикаций экспертного контента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Число входящих RFP; число запросов на </w:t>
            </w:r>
            <w:proofErr w:type="spellStart"/>
            <w:r>
              <w:rPr>
                <w:color w:val="000000"/>
                <w:sz w:val="24"/>
                <w:szCs w:val="24"/>
              </w:rPr>
              <w:t>демо</w:t>
            </w:r>
            <w:proofErr w:type="spellEnd"/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Число подтверждённых </w:t>
            </w:r>
            <w:proofErr w:type="spellStart"/>
            <w:r>
              <w:rPr>
                <w:color w:val="000000"/>
                <w:sz w:val="24"/>
                <w:szCs w:val="24"/>
              </w:rPr>
              <w:t>референсов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результаты NIST FRTE и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Level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Число активных пилотов; средняя длительность пилота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Число подписанных контрактов уровня 1; выручка КБС под ключ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Доля контрактов с расширением модулей; NPS клиентов уровня 1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Б. B2B/B2G короткого цикла (уровень 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Уникальные посетители face2.ru; охват контекстной рекламы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Заявки через CTA-механику; загрузки типовых КП по шести сегментам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Число просмотров </w:t>
            </w:r>
            <w:proofErr w:type="spellStart"/>
            <w:r>
              <w:rPr>
                <w:color w:val="000000"/>
                <w:sz w:val="24"/>
                <w:szCs w:val="24"/>
              </w:rPr>
              <w:t>кейсового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регуляторного контента; CTR доказательного контента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Число подключений в пилотном статусе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Pr="00522436" w:rsidRDefault="00522436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Число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коммерческих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подключений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; </w:t>
            </w:r>
            <w:r>
              <w:rPr>
                <w:color w:val="000000"/>
                <w:sz w:val="24"/>
                <w:szCs w:val="24"/>
              </w:rPr>
              <w:t>выручка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Face2Pay, Face2Pass, Face2Check-in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Доля повторных продаж модулей; LTV подключённого объекта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В. B2C-слой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Регистрации в ЕБС через приложение АБО АББ; охват в «Карте жителя РТ»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Активации Face2Pay в метрополитене; число первых транзакций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Доля повторных транзакций; снижение оттока после первой неудачной попытки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875DD8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–</w:t>
            </w:r>
            <w:r w:rsidR="00522436">
              <w:rPr>
                <w:color w:val="000000"/>
                <w:sz w:val="24"/>
                <w:szCs w:val="24"/>
              </w:rPr>
              <w:t xml:space="preserve"> (этап не применим к B2C)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Доля активных пользователей; средняя частота транзакций на пользователя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NPS B2C; доля рекомендующих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ind w:firstLine="708"/>
      </w:pPr>
      <w:r>
        <w:rPr>
          <w:color w:val="000000"/>
        </w:rPr>
        <w:t xml:space="preserve">Каждый KPI имеет три атрибута: целевое значение в трёх сценариях (Π / Р / О) на конец каждой фазы; метод измерения (внутренние </w:t>
      </w:r>
      <w:proofErr w:type="spellStart"/>
      <w:r>
        <w:rPr>
          <w:color w:val="000000"/>
        </w:rPr>
        <w:t>логи</w:t>
      </w:r>
      <w:proofErr w:type="spellEnd"/>
      <w:r>
        <w:rPr>
          <w:color w:val="000000"/>
        </w:rPr>
        <w:t xml:space="preserve"> face2.ru, инструменты медиа-мониторинга, CRM банка, отчётность маркетинговой службы); допущение о </w:t>
      </w:r>
      <w:proofErr w:type="spellStart"/>
      <w:r>
        <w:rPr>
          <w:color w:val="000000"/>
        </w:rPr>
        <w:t>бенчмарке</w:t>
      </w:r>
      <w:proofErr w:type="spellEnd"/>
      <w:r>
        <w:rPr>
          <w:color w:val="000000"/>
        </w:rPr>
        <w:t>. Ключевые ориентиры реалистического сценария (Р) приведены в § 3.3.1 основного текста.</w:t>
      </w: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lastRenderedPageBreak/>
        <w:t>Приложение Б</w:t>
      </w:r>
    </w:p>
    <w:p w:rsidR="00C4374C" w:rsidRDefault="00522436">
      <w:pPr>
        <w:ind w:firstLine="708"/>
      </w:pPr>
      <w:r>
        <w:rPr>
          <w:color w:val="000000"/>
        </w:rPr>
        <w:t>RACI-матрица распределения ответственности по мероприятиям стратегии продвижения Face2</w:t>
      </w:r>
    </w:p>
    <w:p w:rsidR="00C4374C" w:rsidRDefault="00522436">
      <w:pPr>
        <w:ind w:firstLine="708"/>
      </w:pPr>
      <w:r>
        <w:rPr>
          <w:color w:val="000000"/>
        </w:rPr>
        <w:t xml:space="preserve">Условные обозначения: R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Responsible</w:t>
      </w:r>
      <w:proofErr w:type="spellEnd"/>
      <w:r>
        <w:rPr>
          <w:color w:val="000000"/>
        </w:rPr>
        <w:t xml:space="preserve"> (исполнитель); A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Accountable</w:t>
      </w:r>
      <w:proofErr w:type="spellEnd"/>
      <w:r>
        <w:rPr>
          <w:color w:val="000000"/>
        </w:rPr>
        <w:t xml:space="preserve"> (ответственный); C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Consulted</w:t>
      </w:r>
      <w:proofErr w:type="spellEnd"/>
      <w:r>
        <w:rPr>
          <w:color w:val="000000"/>
        </w:rPr>
        <w:t xml:space="preserve"> (консультирующий); I </w:t>
      </w:r>
      <w:r w:rsidR="00875DD8">
        <w:rPr>
          <w:color w:val="000000"/>
        </w:rPr>
        <w:t>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Informed</w:t>
      </w:r>
      <w:proofErr w:type="spellEnd"/>
      <w:r>
        <w:rPr>
          <w:color w:val="000000"/>
        </w:rPr>
        <w:t xml:space="preserve"> (информируемый). Источник: составлено автором с учётом организационной структуры банка [26, с. 4] и распределения функций по подразделам 3.2.1–3.2.5.</w:t>
      </w:r>
    </w:p>
    <w:tbl>
      <w:tblPr>
        <w:tblW w:w="9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1594"/>
        <w:gridCol w:w="916"/>
        <w:gridCol w:w="908"/>
        <w:gridCol w:w="1433"/>
        <w:gridCol w:w="567"/>
        <w:gridCol w:w="957"/>
        <w:gridCol w:w="1531"/>
        <w:gridCol w:w="1590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Мероприятие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Маркетинговая служба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Команда Face2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PR-функция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Юридическая служба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CISO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Продажи B2B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Партнёрское подразделение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Внешние партнёры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Переоснащение face2.ru под CTA-механику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 (агентство)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Контентный конвейер (3 типа контента)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 (студия)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Заявки на NIST FRTE и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Level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A/R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 (лаборатория)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Участие в отраслевых конференциях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 (организаторы)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Развитие партнёрской сети интеграторов и </w:t>
            </w:r>
            <w:proofErr w:type="spellStart"/>
            <w:r>
              <w:rPr>
                <w:color w:val="000000"/>
                <w:sz w:val="24"/>
                <w:szCs w:val="24"/>
              </w:rPr>
              <w:t>вендоров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A/R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Пилоты уровня 1 (КБС под ключ)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Pr="00522436" w:rsidRDefault="00522436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Подключения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объектов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уровня</w:t>
            </w:r>
            <w:r w:rsidRPr="00522436">
              <w:rPr>
                <w:color w:val="000000"/>
                <w:sz w:val="24"/>
                <w:szCs w:val="24"/>
                <w:lang w:val="en-US"/>
              </w:rPr>
              <w:t xml:space="preserve"> 2 (Face2Pay/Pass/Check-in)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Регуляторные обзоры в контенте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A/R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PR-размещения в деловых федеральных СМИ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 (агентство)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Референсная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программа фазы 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R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C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</w:p>
        </w:tc>
      </w:tr>
    </w:tbl>
    <w:p w:rsidR="00C4374C" w:rsidRDefault="00C4374C">
      <w:pPr>
        <w:spacing w:line="240" w:lineRule="auto"/>
      </w:pPr>
    </w:p>
    <w:p w:rsidR="00C4374C" w:rsidRDefault="00522436">
      <w:pPr>
        <w:keepNext/>
        <w:keepLines/>
        <w:spacing w:before="200" w:after="120"/>
        <w:jc w:val="center"/>
      </w:pPr>
      <w:r>
        <w:rPr>
          <w:b/>
          <w:bCs/>
          <w:color w:val="000000"/>
        </w:rPr>
        <w:t>Приложение В</w:t>
      </w:r>
    </w:p>
    <w:p w:rsidR="00C4374C" w:rsidRDefault="00522436">
      <w:pPr>
        <w:ind w:firstLine="708"/>
      </w:pPr>
      <w:r>
        <w:rPr>
          <w:color w:val="000000"/>
        </w:rPr>
        <w:t>Календарный план реализации стратегии продвижения Face2 с контрольными точками</w:t>
      </w:r>
    </w:p>
    <w:p w:rsidR="00C4374C" w:rsidRDefault="00522436">
      <w:pPr>
        <w:ind w:firstLine="708"/>
      </w:pPr>
      <w:r>
        <w:rPr>
          <w:color w:val="000000"/>
        </w:rPr>
        <w:t xml:space="preserve">Условные обозначения: «X» </w:t>
      </w:r>
      <w:r w:rsidR="00875DD8">
        <w:rPr>
          <w:color w:val="000000"/>
        </w:rPr>
        <w:t>–</w:t>
      </w:r>
      <w:r>
        <w:rPr>
          <w:color w:val="000000"/>
        </w:rPr>
        <w:t xml:space="preserve"> высокая интенсивность мероприятия в квартале, «x» </w:t>
      </w:r>
      <w:r w:rsidR="00875DD8">
        <w:rPr>
          <w:color w:val="000000"/>
        </w:rPr>
        <w:t>–</w:t>
      </w:r>
      <w:r>
        <w:rPr>
          <w:color w:val="000000"/>
        </w:rPr>
        <w:t xml:space="preserve"> низкая интенсивность, пустая ячейка </w:t>
      </w:r>
      <w:r w:rsidR="00875DD8">
        <w:rPr>
          <w:color w:val="000000"/>
        </w:rPr>
        <w:t>–</w:t>
      </w:r>
      <w:r>
        <w:rPr>
          <w:color w:val="000000"/>
        </w:rPr>
        <w:t xml:space="preserve"> мероприятие не ведётся. </w:t>
      </w:r>
      <w:r>
        <w:rPr>
          <w:color w:val="000000"/>
        </w:rPr>
        <w:lastRenderedPageBreak/>
        <w:t>Контрольные точки КТ1–КТ6 описаны в § 3.3.4 основного текста. Источник: составлено автором на основе § 3.2.5 и логики контрольных точек § 3.3.4.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4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 w:rsidR="00C4374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Мероприятие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Q2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Q6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Q7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Q8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Q9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Q10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Q11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Q12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Переоснащение face2.ru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Контентный конвейер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Линейка спикеров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Заявки на NIST FRTE и </w:t>
            </w:r>
            <w:proofErr w:type="spellStart"/>
            <w:r>
              <w:rPr>
                <w:color w:val="000000"/>
                <w:sz w:val="24"/>
                <w:szCs w:val="24"/>
              </w:rPr>
              <w:t>iBeta</w:t>
            </w:r>
            <w:proofErr w:type="spellEnd"/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Бренд Face2 в социальных сетях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Типовые отраслевые КП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Отраслевые конференции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Пилоты уровня 1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Подключения объектов уровня 2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Размещения в деловых СМИ и ИТ-каталогах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Банковская экосистема как канал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proofErr w:type="spellStart"/>
            <w:r>
              <w:rPr>
                <w:color w:val="000000"/>
                <w:sz w:val="24"/>
                <w:szCs w:val="24"/>
              </w:rPr>
              <w:t>Референсная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программа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X</w:t>
            </w:r>
          </w:p>
        </w:tc>
      </w:tr>
      <w:tr w:rsidR="00C4374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Контрольные точки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КТ1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КТ2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КТ3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КТ4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КТ5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КТ6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C4374C">
            <w:pPr>
              <w:spacing w:line="240" w:lineRule="auto"/>
              <w:jc w:val="center"/>
            </w:pP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74C" w:rsidRDefault="00522436">
            <w:pPr>
              <w:spacing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КТ6</w:t>
            </w:r>
          </w:p>
        </w:tc>
      </w:tr>
    </w:tbl>
    <w:p w:rsidR="00875DD8" w:rsidRPr="00875DD8" w:rsidRDefault="00875DD8">
      <w:pPr>
        <w:spacing w:line="240" w:lineRule="auto"/>
        <w:rPr>
          <w:lang w:val="en-US"/>
        </w:rPr>
      </w:pPr>
    </w:p>
    <w:sectPr w:rsidR="00875DD8" w:rsidRPr="00875DD8">
      <w:pgSz w:w="11906" w:h="16838"/>
      <w:pgMar w:top="1134" w:right="567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74C"/>
    <w:rsid w:val="004F1C84"/>
    <w:rsid w:val="00522436"/>
    <w:rsid w:val="00875DD8"/>
    <w:rsid w:val="00C4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AF428"/>
  <w15:docId w15:val="{3D6D8B28-E832-44E9-BF7B-4E651AA0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108</Pages>
  <Words>29364</Words>
  <Characters>167379</Characters>
  <Application>Microsoft Office Word</Application>
  <DocSecurity>0</DocSecurity>
  <Lines>1394</Lines>
  <Paragraphs>392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 ГОТОВОЕ</vt:lpstr>
    </vt:vector>
  </TitlesOfParts>
  <Company>SPecialiST RePack</Company>
  <LinksUpToDate>false</LinksUpToDate>
  <CharactersWithSpaces>196351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ГОТОВОЕ</dc:title>
  <dc:creator>Автор</dc:creator>
  <cp:lastModifiedBy>Пользователь</cp:lastModifiedBy>
  <cp:revision>2</cp:revision>
  <dcterms:created xsi:type="dcterms:W3CDTF">2026-05-31T19:50:00Z</dcterms:created>
  <dcterms:modified xsi:type="dcterms:W3CDTF">2026-05-31T19:50:00Z</dcterms:modified>
</cp:coreProperties>
</file>