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pStyle w:val="Heading1"/>
        <w:keepNext/>
        <w:keepLines/>
        <w:spacing w:before="360" w:after="180" w:line="360" w:lineRule="auto"/>
        <w:jc w:val="center"/>
        <w:ind w:firstLine="0"/>
        <w:outlineLvl w:val="0"/>
      </w:pPr>
      <w:r>
        <w:rPr>
          <w:b/>
          <w:bCs/>
          <w:rFonts w:ascii="Times New Roman" w:hAnsi="Times New Roman" w:cs="Times New Roman" w:eastAsia="Times New Roman"/>
          <w:sz w:val="32"/>
          <w:szCs w:val="32"/>
        </w:rPr>
        <w:t xml:space="preserve">ВКР ГОТОВОЕ</w:t>
      </w:r>
    </w:p>
    <w:p>
      <w:pPr>
        <w:ind w:left="567" w:firstLine="0"/>
        <w:spacing w:before="120" w:after="120" w:line="320" w:lineRule="auto"/>
        <w:jc w:val="left"/>
        <w:pBdr>
          <w:left w:val="single" w:sz="18" w:space="8" w:color="A0A0A0"/>
        </w:pBdr>
      </w:pPr>
      <w:r>
        <w:rPr>
          <w:i/>
          <w:iCs/>
          <w:rFonts w:ascii="Times New Roman" w:hAnsi="Times New Roman" w:cs="Times New Roman" w:eastAsia="Times New Roman"/>
          <w:sz w:val="26"/>
          <w:szCs w:val="26"/>
        </w:rPr>
        <w:t xml:space="preserve">Тема: «Разработка стратегии продвижения инновационного продукта Face2 Ак Барс Банка»</w:t>
      </w:r>
    </w:p>
    <w:p>
      <w:pPr>
        <w:ind w:left="567" w:firstLine="0"/>
        <w:spacing w:before="120" w:after="120" w:line="320" w:lineRule="auto"/>
        <w:jc w:val="left"/>
        <w:pBdr>
          <w:left w:val="single" w:sz="18" w:space="8" w:color="A0A0A0"/>
        </w:pBdr>
      </w:pPr>
      <w:r>
        <w:rPr>
          <w:i/>
          <w:iCs/>
          <w:rFonts w:ascii="Times New Roman" w:hAnsi="Times New Roman" w:cs="Times New Roman" w:eastAsia="Times New Roman"/>
          <w:sz w:val="26"/>
          <w:szCs w:val="26"/>
        </w:rPr>
        <w:t xml:space="preserve">Документ собирает готовые фрагменты ВКР по мере их написания. Источники — по списку </w:t>
      </w:r>
      <w:r>
        <w:rPr>
          <w:i/>
          <w:iCs/>
          <w:rFonts w:ascii="Courier New" w:hAnsi="Courier New" w:cs="Courier New" w:eastAsia="Courier New"/>
          <w:sz w:val="26"/>
          <w:szCs w:val="26"/>
        </w:rPr>
        <w:t xml:space="preserve">источники/sources_VKR.md</w:t>
      </w:r>
      <w:r>
        <w:rPr>
          <w:i/>
          <w:iCs/>
          <w:rFonts w:ascii="Times New Roman" w:hAnsi="Times New Roman" w:cs="Times New Roman" w:eastAsia="Times New Roman"/>
          <w:sz w:val="26"/>
          <w:szCs w:val="26"/>
        </w:rPr>
        <w:t xml:space="preserve">.</w:t>
      </w:r>
    </w:p>
    <w:p>
      <w:pPr>
        <w:pBdr>
          <w:bottom w:val="single" w:sz="6" w:space="1" w:color="808080"/>
        </w:pBdr>
        <w:spacing w:before="120" w:after="120"/>
        <w:ind w:firstLine="0"/>
      </w:pPr>
    </w:p>
    <w:p>
      <w:pPr>
        <w:pStyle w:val="Heading2"/>
        <w:keepNext/>
        <w:keepLines/>
        <w:spacing w:before="360" w:after="180" w:line="360" w:lineRule="auto"/>
        <w:jc w:val="left"/>
        <w:ind w:firstLine="0"/>
        <w:outlineLvl w:val="1"/>
      </w:pPr>
      <w:r>
        <w:rPr>
          <w:b/>
          <w:bCs/>
          <w:rFonts w:ascii="Times New Roman" w:hAnsi="Times New Roman" w:cs="Times New Roman" w:eastAsia="Times New Roman"/>
          <w:sz w:val="30"/>
          <w:szCs w:val="30"/>
        </w:rPr>
        <w:t xml:space="preserve">Структура работы</w:t>
      </w:r>
    </w:p>
    <w:p>
      <w:pPr>
        <w:ind w:left="360" w:hanging="284" w:firstLine="0"/>
        <w:spacing w:before="40" w:after="40" w:line="360" w:lineRule="auto"/>
        <w:jc w:val="both"/>
      </w:pPr>
      <w:r>
        <w:rPr>
          <w:rFonts w:ascii="Times New Roman" w:hAnsi="Times New Roman" w:cs="Times New Roman" w:eastAsia="Times New Roman"/>
          <w:sz w:val="28"/>
          <w:szCs w:val="28"/>
        </w:rPr>
        <w:t xml:space="preserve">• </w:t>
      </w:r>
      <w:r>
        <w:rPr>
          <w:rFonts w:ascii="Times New Roman" w:hAnsi="Times New Roman" w:cs="Times New Roman" w:eastAsia="Times New Roman"/>
          <w:sz w:val="28"/>
          <w:szCs w:val="28"/>
        </w:rPr>
        <w:t xml:space="preserve">Введение</w:t>
      </w:r>
    </w:p>
    <w:p>
      <w:pPr>
        <w:ind w:left="360" w:hanging="284" w:firstLine="0"/>
        <w:spacing w:before="40" w:after="40" w:line="360" w:lineRule="auto"/>
        <w:jc w:val="both"/>
      </w:pPr>
      <w:r>
        <w:rPr>
          <w:rFonts w:ascii="Times New Roman" w:hAnsi="Times New Roman" w:cs="Times New Roman" w:eastAsia="Times New Roman"/>
          <w:sz w:val="28"/>
          <w:szCs w:val="28"/>
        </w:rPr>
        <w:t xml:space="preserve">• </w:t>
      </w:r>
      <w:r>
        <w:rPr>
          <w:rFonts w:ascii="Times New Roman" w:hAnsi="Times New Roman" w:cs="Times New Roman" w:eastAsia="Times New Roman"/>
          <w:sz w:val="28"/>
          <w:szCs w:val="28"/>
        </w:rPr>
        <w:t xml:space="preserve">Глава 1. Теоретические основы стратегического продвижения инновационных продуктов</w:t>
      </w:r>
    </w:p>
    <w:p>
      <w:pPr>
        <w:ind w:left="720" w:hanging="284" w:firstLine="0"/>
        <w:spacing w:before="40" w:after="40" w:line="360" w:lineRule="auto"/>
        <w:jc w:val="both"/>
      </w:pPr>
      <w:r>
        <w:rPr>
          <w:rFonts w:ascii="Times New Roman" w:hAnsi="Times New Roman" w:cs="Times New Roman" w:eastAsia="Times New Roman"/>
          <w:sz w:val="28"/>
          <w:szCs w:val="28"/>
        </w:rPr>
        <w:t xml:space="preserve">• </w:t>
      </w:r>
      <w:r>
        <w:rPr>
          <w:rFonts w:ascii="Times New Roman" w:hAnsi="Times New Roman" w:cs="Times New Roman" w:eastAsia="Times New Roman"/>
          <w:sz w:val="28"/>
          <w:szCs w:val="28"/>
        </w:rPr>
        <w:t xml:space="preserve">1.1. Сущность и особенности инновационных продуктов</w:t>
      </w:r>
    </w:p>
    <w:p>
      <w:pPr>
        <w:ind w:left="720" w:hanging="284" w:firstLine="0"/>
        <w:spacing w:before="40" w:after="40" w:line="360" w:lineRule="auto"/>
        <w:jc w:val="both"/>
      </w:pPr>
      <w:r>
        <w:rPr>
          <w:rFonts w:ascii="Times New Roman" w:hAnsi="Times New Roman" w:cs="Times New Roman" w:eastAsia="Times New Roman"/>
          <w:sz w:val="28"/>
          <w:szCs w:val="28"/>
        </w:rPr>
        <w:t xml:space="preserve">• </w:t>
      </w:r>
      <w:r>
        <w:rPr>
          <w:rFonts w:ascii="Times New Roman" w:hAnsi="Times New Roman" w:cs="Times New Roman" w:eastAsia="Times New Roman"/>
          <w:sz w:val="28"/>
          <w:szCs w:val="28"/>
        </w:rPr>
        <w:t xml:space="preserve">1.2. Маркетинговые стратегии продвижения</w:t>
      </w:r>
    </w:p>
    <w:p>
      <w:pPr>
        <w:ind w:left="720" w:hanging="284" w:firstLine="0"/>
        <w:spacing w:before="40" w:after="40" w:line="360" w:lineRule="auto"/>
        <w:jc w:val="both"/>
      </w:pPr>
      <w:r>
        <w:rPr>
          <w:rFonts w:ascii="Times New Roman" w:hAnsi="Times New Roman" w:cs="Times New Roman" w:eastAsia="Times New Roman"/>
          <w:sz w:val="28"/>
          <w:szCs w:val="28"/>
        </w:rPr>
        <w:t xml:space="preserve">• </w:t>
      </w:r>
      <w:r>
        <w:rPr>
          <w:rFonts w:ascii="Times New Roman" w:hAnsi="Times New Roman" w:cs="Times New Roman" w:eastAsia="Times New Roman"/>
          <w:sz w:val="28"/>
          <w:szCs w:val="28"/>
        </w:rPr>
        <w:t xml:space="preserve">1.3. Особенности продвижения биометрических технологий</w:t>
      </w:r>
    </w:p>
    <w:p>
      <w:pPr>
        <w:ind w:left="720" w:hanging="284" w:firstLine="0"/>
        <w:spacing w:before="40" w:after="40" w:line="360" w:lineRule="auto"/>
        <w:jc w:val="both"/>
      </w:pPr>
      <w:r>
        <w:rPr>
          <w:rFonts w:ascii="Times New Roman" w:hAnsi="Times New Roman" w:cs="Times New Roman" w:eastAsia="Times New Roman"/>
          <w:sz w:val="28"/>
          <w:szCs w:val="28"/>
        </w:rPr>
        <w:t xml:space="preserve">• </w:t>
      </w:r>
      <w:r>
        <w:rPr>
          <w:rFonts w:ascii="Times New Roman" w:hAnsi="Times New Roman" w:cs="Times New Roman" w:eastAsia="Times New Roman"/>
          <w:sz w:val="28"/>
          <w:szCs w:val="28"/>
        </w:rPr>
        <w:t xml:space="preserve">Вывод по главе 1</w:t>
      </w:r>
    </w:p>
    <w:p>
      <w:pPr>
        <w:ind w:left="360" w:hanging="284" w:firstLine="0"/>
        <w:spacing w:before="40" w:after="40" w:line="360" w:lineRule="auto"/>
        <w:jc w:val="both"/>
      </w:pPr>
      <w:r>
        <w:rPr>
          <w:rFonts w:ascii="Times New Roman" w:hAnsi="Times New Roman" w:cs="Times New Roman" w:eastAsia="Times New Roman"/>
          <w:sz w:val="28"/>
          <w:szCs w:val="28"/>
        </w:rPr>
        <w:t xml:space="preserve">• </w:t>
      </w:r>
      <w:r>
        <w:rPr>
          <w:rFonts w:ascii="Times New Roman" w:hAnsi="Times New Roman" w:cs="Times New Roman" w:eastAsia="Times New Roman"/>
          <w:sz w:val="28"/>
          <w:szCs w:val="28"/>
        </w:rPr>
        <w:t xml:space="preserve">Глава 2. Анализ деятельности Ак Барс Банка в контексте разработки стратегии продвижения инновационного продукта</w:t>
      </w:r>
    </w:p>
    <w:p>
      <w:pPr>
        <w:ind w:left="720" w:hanging="284" w:firstLine="0"/>
        <w:spacing w:before="40" w:after="40" w:line="360" w:lineRule="auto"/>
        <w:jc w:val="both"/>
      </w:pPr>
      <w:r>
        <w:rPr>
          <w:rFonts w:ascii="Times New Roman" w:hAnsi="Times New Roman" w:cs="Times New Roman" w:eastAsia="Times New Roman"/>
          <w:sz w:val="28"/>
          <w:szCs w:val="28"/>
        </w:rPr>
        <w:t xml:space="preserve">• </w:t>
      </w:r>
      <w:r>
        <w:rPr>
          <w:rFonts w:ascii="Times New Roman" w:hAnsi="Times New Roman" w:cs="Times New Roman" w:eastAsia="Times New Roman"/>
          <w:sz w:val="28"/>
          <w:szCs w:val="28"/>
        </w:rPr>
        <w:t xml:space="preserve">2.1. Характеристика Ак Барс Банка и продукта Face2</w:t>
      </w:r>
    </w:p>
    <w:p>
      <w:pPr>
        <w:ind w:left="720" w:hanging="284" w:firstLine="0"/>
        <w:spacing w:before="40" w:after="40" w:line="360" w:lineRule="auto"/>
        <w:jc w:val="both"/>
      </w:pPr>
      <w:r>
        <w:rPr>
          <w:rFonts w:ascii="Times New Roman" w:hAnsi="Times New Roman" w:cs="Times New Roman" w:eastAsia="Times New Roman"/>
          <w:sz w:val="28"/>
          <w:szCs w:val="28"/>
        </w:rPr>
        <w:t xml:space="preserve">• </w:t>
      </w:r>
      <w:r>
        <w:rPr>
          <w:rFonts w:ascii="Times New Roman" w:hAnsi="Times New Roman" w:cs="Times New Roman" w:eastAsia="Times New Roman"/>
          <w:sz w:val="28"/>
          <w:szCs w:val="28"/>
        </w:rPr>
        <w:t xml:space="preserve">2.2. Анализ рынка биометрии и конкурентной среды</w:t>
      </w:r>
    </w:p>
    <w:p>
      <w:pPr>
        <w:ind w:left="720" w:hanging="284" w:firstLine="0"/>
        <w:spacing w:before="40" w:after="40" w:line="360" w:lineRule="auto"/>
        <w:jc w:val="both"/>
      </w:pPr>
      <w:r>
        <w:rPr>
          <w:rFonts w:ascii="Times New Roman" w:hAnsi="Times New Roman" w:cs="Times New Roman" w:eastAsia="Times New Roman"/>
          <w:sz w:val="28"/>
          <w:szCs w:val="28"/>
        </w:rPr>
        <w:t xml:space="preserve">• </w:t>
      </w:r>
      <w:r>
        <w:rPr>
          <w:rFonts w:ascii="Times New Roman" w:hAnsi="Times New Roman" w:cs="Times New Roman" w:eastAsia="Times New Roman"/>
          <w:sz w:val="28"/>
          <w:szCs w:val="28"/>
        </w:rPr>
        <w:t xml:space="preserve">2.3. Анализ текущего продвижения продукта и его позиции на рынке</w:t>
      </w:r>
    </w:p>
    <w:p>
      <w:pPr>
        <w:ind w:left="720" w:hanging="284" w:firstLine="0"/>
        <w:spacing w:before="40" w:after="40" w:line="360" w:lineRule="auto"/>
        <w:jc w:val="both"/>
      </w:pPr>
      <w:r>
        <w:rPr>
          <w:rFonts w:ascii="Times New Roman" w:hAnsi="Times New Roman" w:cs="Times New Roman" w:eastAsia="Times New Roman"/>
          <w:sz w:val="28"/>
          <w:szCs w:val="28"/>
        </w:rPr>
        <w:t xml:space="preserve">• </w:t>
      </w:r>
      <w:r>
        <w:rPr>
          <w:rFonts w:ascii="Times New Roman" w:hAnsi="Times New Roman" w:cs="Times New Roman" w:eastAsia="Times New Roman"/>
          <w:sz w:val="28"/>
          <w:szCs w:val="28"/>
        </w:rPr>
        <w:t xml:space="preserve">Вывод по главе 2</w:t>
      </w:r>
    </w:p>
    <w:p>
      <w:pPr>
        <w:ind w:left="360" w:hanging="284" w:firstLine="0"/>
        <w:spacing w:before="40" w:after="40" w:line="360" w:lineRule="auto"/>
        <w:jc w:val="both"/>
      </w:pPr>
      <w:r>
        <w:rPr>
          <w:rFonts w:ascii="Times New Roman" w:hAnsi="Times New Roman" w:cs="Times New Roman" w:eastAsia="Times New Roman"/>
          <w:sz w:val="28"/>
          <w:szCs w:val="28"/>
        </w:rPr>
        <w:t xml:space="preserve">• </w:t>
      </w:r>
      <w:r>
        <w:rPr>
          <w:rFonts w:ascii="Times New Roman" w:hAnsi="Times New Roman" w:cs="Times New Roman" w:eastAsia="Times New Roman"/>
          <w:sz w:val="28"/>
          <w:szCs w:val="28"/>
        </w:rPr>
        <w:t xml:space="preserve">Глава 3. Разработка стратегии продвижения нового продукта Ак Барс Банка</w:t>
      </w:r>
    </w:p>
    <w:p>
      <w:pPr>
        <w:ind w:left="720" w:hanging="284" w:firstLine="0"/>
        <w:spacing w:before="40" w:after="40" w:line="360" w:lineRule="auto"/>
        <w:jc w:val="both"/>
      </w:pPr>
      <w:r>
        <w:rPr>
          <w:rFonts w:ascii="Times New Roman" w:hAnsi="Times New Roman" w:cs="Times New Roman" w:eastAsia="Times New Roman"/>
          <w:sz w:val="28"/>
          <w:szCs w:val="28"/>
        </w:rPr>
        <w:t xml:space="preserve">• </w:t>
      </w:r>
      <w:r>
        <w:rPr>
          <w:rFonts w:ascii="Times New Roman" w:hAnsi="Times New Roman" w:cs="Times New Roman" w:eastAsia="Times New Roman"/>
          <w:sz w:val="28"/>
          <w:szCs w:val="28"/>
        </w:rPr>
        <w:t xml:space="preserve">3.1. Формирование целей и направлений продвижения</w:t>
      </w:r>
    </w:p>
    <w:p>
      <w:pPr>
        <w:ind w:left="720" w:hanging="284" w:firstLine="0"/>
        <w:spacing w:before="40" w:after="40" w:line="360" w:lineRule="auto"/>
        <w:jc w:val="both"/>
      </w:pPr>
      <w:r>
        <w:rPr>
          <w:rFonts w:ascii="Times New Roman" w:hAnsi="Times New Roman" w:cs="Times New Roman" w:eastAsia="Times New Roman"/>
          <w:sz w:val="28"/>
          <w:szCs w:val="28"/>
        </w:rPr>
        <w:t xml:space="preserve">• </w:t>
      </w:r>
      <w:r>
        <w:rPr>
          <w:rFonts w:ascii="Times New Roman" w:hAnsi="Times New Roman" w:cs="Times New Roman" w:eastAsia="Times New Roman"/>
          <w:sz w:val="28"/>
          <w:szCs w:val="28"/>
        </w:rPr>
        <w:t xml:space="preserve">3.2. Разработка стратегии и комплекса мероприятий по продвижению</w:t>
      </w:r>
    </w:p>
    <w:p>
      <w:pPr>
        <w:ind w:left="720" w:hanging="284" w:firstLine="0"/>
        <w:spacing w:before="40" w:after="40" w:line="360" w:lineRule="auto"/>
        <w:jc w:val="both"/>
      </w:pPr>
      <w:r>
        <w:rPr>
          <w:rFonts w:ascii="Times New Roman" w:hAnsi="Times New Roman" w:cs="Times New Roman" w:eastAsia="Times New Roman"/>
          <w:sz w:val="28"/>
          <w:szCs w:val="28"/>
        </w:rPr>
        <w:t xml:space="preserve">• </w:t>
      </w:r>
      <w:r>
        <w:rPr>
          <w:rFonts w:ascii="Times New Roman" w:hAnsi="Times New Roman" w:cs="Times New Roman" w:eastAsia="Times New Roman"/>
          <w:sz w:val="28"/>
          <w:szCs w:val="28"/>
        </w:rPr>
        <w:t xml:space="preserve">3.3. Оценка эффективности и рисков реализации стратегии</w:t>
      </w:r>
    </w:p>
    <w:p>
      <w:pPr>
        <w:ind w:left="720" w:hanging="284" w:firstLine="0"/>
        <w:spacing w:before="40" w:after="40" w:line="360" w:lineRule="auto"/>
        <w:jc w:val="both"/>
      </w:pPr>
      <w:r>
        <w:rPr>
          <w:rFonts w:ascii="Times New Roman" w:hAnsi="Times New Roman" w:cs="Times New Roman" w:eastAsia="Times New Roman"/>
          <w:sz w:val="28"/>
          <w:szCs w:val="28"/>
        </w:rPr>
        <w:t xml:space="preserve">• </w:t>
      </w:r>
      <w:r>
        <w:rPr>
          <w:rFonts w:ascii="Times New Roman" w:hAnsi="Times New Roman" w:cs="Times New Roman" w:eastAsia="Times New Roman"/>
          <w:sz w:val="28"/>
          <w:szCs w:val="28"/>
        </w:rPr>
        <w:t xml:space="preserve">Вывод по главе 3</w:t>
      </w:r>
    </w:p>
    <w:p>
      <w:pPr>
        <w:ind w:left="360" w:hanging="284" w:firstLine="0"/>
        <w:spacing w:before="40" w:after="40" w:line="360" w:lineRule="auto"/>
        <w:jc w:val="both"/>
      </w:pPr>
      <w:r>
        <w:rPr>
          <w:rFonts w:ascii="Times New Roman" w:hAnsi="Times New Roman" w:cs="Times New Roman" w:eastAsia="Times New Roman"/>
          <w:sz w:val="28"/>
          <w:szCs w:val="28"/>
        </w:rPr>
        <w:t xml:space="preserve">• </w:t>
      </w:r>
      <w:r>
        <w:rPr>
          <w:rFonts w:ascii="Times New Roman" w:hAnsi="Times New Roman" w:cs="Times New Roman" w:eastAsia="Times New Roman"/>
          <w:sz w:val="28"/>
          <w:szCs w:val="28"/>
        </w:rPr>
        <w:t xml:space="preserve">Заключение</w:t>
      </w:r>
    </w:p>
    <w:p>
      <w:pPr>
        <w:ind w:left="360" w:hanging="284" w:firstLine="0"/>
        <w:spacing w:before="40" w:after="40" w:line="360" w:lineRule="auto"/>
        <w:jc w:val="both"/>
      </w:pPr>
      <w:r>
        <w:rPr>
          <w:rFonts w:ascii="Times New Roman" w:hAnsi="Times New Roman" w:cs="Times New Roman" w:eastAsia="Times New Roman"/>
          <w:sz w:val="28"/>
          <w:szCs w:val="28"/>
        </w:rPr>
        <w:t xml:space="preserve">• </w:t>
      </w:r>
      <w:r>
        <w:rPr>
          <w:rFonts w:ascii="Times New Roman" w:hAnsi="Times New Roman" w:cs="Times New Roman" w:eastAsia="Times New Roman"/>
          <w:sz w:val="28"/>
          <w:szCs w:val="28"/>
        </w:rPr>
        <w:t xml:space="preserve">Список использованных источников</w:t>
      </w:r>
    </w:p>
    <w:p>
      <w:pPr>
        <w:pBdr>
          <w:bottom w:val="single" w:sz="6" w:space="1" w:color="808080"/>
        </w:pBdr>
        <w:spacing w:before="120" w:after="120"/>
        <w:ind w:firstLine="0"/>
      </w:pPr>
    </w:p>
    <w:p>
      <w:pPr>
        <w:ind w:left="567" w:firstLine="0"/>
        <w:spacing w:before="120" w:after="120" w:line="320" w:lineRule="auto"/>
        <w:jc w:val="left"/>
        <w:pBdr>
          <w:left w:val="single" w:sz="18" w:space="8" w:color="A0A0A0"/>
        </w:pBdr>
      </w:pPr>
      <w:r>
        <w:rPr>
          <w:i/>
          <w:iCs/>
          <w:rFonts w:ascii="Times New Roman" w:hAnsi="Times New Roman" w:cs="Times New Roman" w:eastAsia="Times New Roman"/>
          <w:sz w:val="26"/>
          <w:szCs w:val="26"/>
        </w:rPr>
        <w:t xml:space="preserve">Рабочее замечание по оформлению (для последующей вёрстки в Word). Шапки таблиц записаны в две строки: первая — «Таблица N.N.N» (в Word выравнивается по правому краю), вторая — название таблицы (центрируется). Подписи рисунков — «Рис. N.N.N. Название» (точка после номера, без точки в конце), строка «Источник:» — над подписью. Шрифт основного текста — Times New Roman 14 пт, междустрочный интервал 1,5; в таблицах допустимо TNR 12 пт с одинарным интервалом. ASCII-схемы заменяются на векторную графику, гистограмма — на диаграмму в Excel.</w:t>
      </w:r>
    </w:p>
    <w:p>
      <w:pPr>
        <w:pBdr>
          <w:bottom w:val="single" w:sz="6" w:space="1" w:color="808080"/>
        </w:pBdr>
        <w:spacing w:before="120" w:after="120"/>
        <w:ind w:firstLine="0"/>
      </w:pPr>
    </w:p>
    <w:p>
      <w:pPr>
        <w:pStyle w:val="Heading1"/>
        <w:keepNext/>
        <w:keepLines/>
        <w:spacing w:before="360" w:after="180" w:line="360" w:lineRule="auto"/>
        <w:jc w:val="center"/>
        <w:ind w:firstLine="0"/>
        <w:outlineLvl w:val="0"/>
      </w:pPr>
      <w:r>
        <w:rPr>
          <w:b/>
          <w:bCs/>
          <w:rFonts w:ascii="Times New Roman" w:hAnsi="Times New Roman" w:cs="Times New Roman" w:eastAsia="Times New Roman"/>
          <w:sz w:val="32"/>
          <w:szCs w:val="32"/>
        </w:rPr>
        <w:t xml:space="preserve">1. Теоретические основы стратегического продвижения инновационных продуктов</w:t>
      </w:r>
    </w:p>
    <w:p>
      <w:pPr>
        <w:pStyle w:val="Heading1"/>
        <w:keepNext/>
        <w:keepLines/>
        <w:spacing w:before="360" w:after="180" w:line="360" w:lineRule="auto"/>
        <w:jc w:val="center"/>
        <w:ind w:firstLine="0"/>
        <w:outlineLvl w:val="0"/>
      </w:pPr>
      <w:r>
        <w:rPr>
          <w:b/>
          <w:bCs/>
          <w:rFonts w:ascii="Times New Roman" w:hAnsi="Times New Roman" w:cs="Times New Roman" w:eastAsia="Times New Roman"/>
          <w:sz w:val="32"/>
          <w:szCs w:val="32"/>
        </w:rPr>
        <w:t xml:space="preserve">1.1. Сущность и особенности инновационных продуктов</w:t>
      </w:r>
    </w:p>
    <w:p>
      <w:pPr>
        <w:jc w:val="both"/>
        <w:ind w:firstLine="709"/>
        <w:spacing w:before="0" w:after="0" w:line="360" w:lineRule="auto"/>
      </w:pPr>
      <w:r>
        <w:rPr>
          <w:rFonts w:ascii="Times New Roman" w:hAnsi="Times New Roman" w:cs="Times New Roman" w:eastAsia="Times New Roman"/>
          <w:sz w:val="28"/>
          <w:szCs w:val="28"/>
        </w:rPr>
        <w:t xml:space="preserve">Инновационный продукт — это результат научно-технической и интеллектуальной деятельности, обладающий качественно новыми характеристиками и предназначенный для удовлетворения существующих или формирования новых потребностей рынка. Основоположник теории инноваций Й. Шумпетер определял инновацию как коммерциализацию новых комбинаций производственных факторов [15, с. 33]. В маркетинговой трактовке Ф. Котлера к инновационным относятся товары и услуги с новыми или существенно улучшенными характеристиками, обеспечивающими дополнительную ценность для потребителя [17, с. 48]. Российская школа продолжает эту линию, увязывая инновационную активность с конкурентоспособностью предприятия и национальной экономики [22, с. 14; 24, с. 9].</w:t>
      </w:r>
    </w:p>
    <w:p>
      <w:pPr>
        <w:jc w:val="both"/>
        <w:ind w:firstLine="709"/>
        <w:spacing w:before="0" w:after="0" w:line="360" w:lineRule="auto"/>
      </w:pPr>
      <w:r>
        <w:rPr>
          <w:rFonts w:ascii="Times New Roman" w:hAnsi="Times New Roman" w:cs="Times New Roman" w:eastAsia="Times New Roman"/>
          <w:sz w:val="28"/>
          <w:szCs w:val="28"/>
        </w:rPr>
        <w:t xml:space="preserve">Инновационный продукт отличается от традиционного товара набором взаимосвязанных признаков: новизной, технологичностью, способностью создавать ценность для потребителя, конкурентоспособностью и повышенным уровнем риска [15, с. 132; 20, с. 5]. Чем выше степень новизны и технологической сложности, тем большее значение приобретают разъяснение преимуществ, снижение неопределённости и формирование доверия [6, с. 51; 20, с. 9]. Эти признаки обобщены на рисунке 1.1.1.</w:t>
      </w:r>
    </w:p>
    <w:p>
      <w:pPr>
        <w:spacing w:before="0" w:after="0" w:line="240" w:lineRule="auto"/>
        <w:ind w:firstLine="0"/>
        <w:jc w:val="left"/>
      </w:pPr>
      <w:r>
        <w:rPr>
          <w:rFonts w:ascii="Courier New" w:hAnsi="Courier New" w:cs="Courier New" w:eastAsia="Courier New"/>
          <w:sz w:val="20"/>
          <w:szCs w:val="20"/>
        </w:rPr>
        <w:t xml:space="preserve">            ┌─────────────────────────────────────────┐</w:t>
      </w:r>
    </w:p>
    <w:p>
      <w:pPr>
        <w:spacing w:before="0" w:after="0" w:line="240" w:lineRule="auto"/>
        <w:ind w:firstLine="0"/>
        <w:jc w:val="left"/>
      </w:pPr>
      <w:r>
        <w:rPr>
          <w:rFonts w:ascii="Courier New" w:hAnsi="Courier New" w:cs="Courier New" w:eastAsia="Courier New"/>
          <w:sz w:val="20"/>
          <w:szCs w:val="20"/>
        </w:rPr>
        <w:t xml:space="preserve">            │  Признаки инновационного продукта        │</w:t>
      </w:r>
    </w:p>
    <w:p>
      <w:pPr>
        <w:spacing w:before="0" w:after="0" w:line="240" w:lineRule="auto"/>
        <w:ind w:firstLine="0"/>
        <w:jc w:val="left"/>
      </w:pPr>
      <w:r>
        <w:rPr>
          <w:rFonts w:ascii="Courier New" w:hAnsi="Courier New" w:cs="Courier New" w:eastAsia="Courier New"/>
          <w:sz w:val="20"/>
          <w:szCs w:val="20"/>
        </w:rPr>
        <w:t xml:space="preserve">            └────────────────┬────────────────────────┘</w:t>
      </w:r>
    </w:p>
    <w:p>
      <w:pPr>
        <w:spacing w:before="0" w:after="0" w:line="240" w:lineRule="auto"/>
        <w:ind w:firstLine="0"/>
        <w:jc w:val="left"/>
      </w:pPr>
      <w:r>
        <w:rPr>
          <w:rFonts w:ascii="Courier New" w:hAnsi="Courier New" w:cs="Courier New" w:eastAsia="Courier New"/>
          <w:sz w:val="20"/>
          <w:szCs w:val="20"/>
        </w:rPr>
        <w:t xml:space="preserve">                             │</w:t>
      </w:r>
    </w:p>
    <w:p>
      <w:pPr>
        <w:spacing w:before="0" w:after="0" w:line="240" w:lineRule="auto"/>
        <w:ind w:firstLine="0"/>
        <w:jc w:val="left"/>
      </w:pPr>
      <w:r>
        <w:rPr>
          <w:rFonts w:ascii="Courier New" w:hAnsi="Courier New" w:cs="Courier New" w:eastAsia="Courier New"/>
          <w:sz w:val="20"/>
          <w:szCs w:val="20"/>
        </w:rPr>
        <w:t xml:space="preserve">   ┌──────────┬──────────────┼──────────────┬───────────────┐</w:t>
      </w:r>
    </w:p>
    <w:p>
      <w:pPr>
        <w:spacing w:before="0" w:after="0" w:line="240" w:lineRule="auto"/>
        <w:ind w:firstLine="0"/>
        <w:jc w:val="left"/>
      </w:pPr>
      <w:r>
        <w:rPr>
          <w:rFonts w:ascii="Courier New" w:hAnsi="Courier New" w:cs="Courier New" w:eastAsia="Courier New"/>
          <w:sz w:val="20"/>
          <w:szCs w:val="20"/>
        </w:rPr>
        <w:t xml:space="preserve">   ▼          ▼              ▼              ▼               ▼</w:t>
      </w:r>
    </w:p>
    <w:p>
      <w:pPr>
        <w:spacing w:before="0" w:after="0" w:line="240" w:lineRule="auto"/>
        <w:ind w:firstLine="0"/>
        <w:jc w:val="left"/>
      </w:pPr>
      <w:r>
        <w:rPr>
          <w:rFonts w:ascii="Courier New" w:hAnsi="Courier New" w:cs="Courier New" w:eastAsia="Courier New"/>
          <w:sz w:val="20"/>
          <w:szCs w:val="20"/>
        </w:rPr>
        <w:t xml:space="preserve"> Новизна  Технологич-   Ценность для   Конкуренто-     Повышенный</w:t>
      </w:r>
    </w:p>
    <w:p>
      <w:pPr>
        <w:spacing w:before="0" w:after="0" w:line="240" w:lineRule="auto"/>
        <w:ind w:firstLine="0"/>
        <w:jc w:val="left"/>
      </w:pPr>
      <w:r>
        <w:rPr>
          <w:rFonts w:ascii="Courier New" w:hAnsi="Courier New" w:cs="Courier New" w:eastAsia="Courier New"/>
          <w:sz w:val="20"/>
          <w:szCs w:val="20"/>
        </w:rPr>
        <w:t xml:space="preserve">          ность         потребителя    способность     уровень риска</w:t>
      </w:r>
    </w:p>
    <w:p>
      <w:pPr>
        <w:jc w:val="both"/>
        <w:ind w:firstLine="709"/>
        <w:spacing w:before="0" w:after="0" w:line="360" w:lineRule="auto"/>
      </w:pPr>
      <w:r>
        <w:rPr>
          <w:rFonts w:ascii="Times New Roman" w:hAnsi="Times New Roman" w:cs="Times New Roman" w:eastAsia="Times New Roman"/>
          <w:sz w:val="28"/>
          <w:szCs w:val="28"/>
        </w:rPr>
        <w:t xml:space="preserve">Источник: составлено автором по данным [15, с. 132; 17, с. 48; 20, с. 5]</w:t>
      </w:r>
    </w:p>
    <w:p>
      <w:pPr>
        <w:jc w:val="both"/>
        <w:ind w:firstLine="709"/>
        <w:spacing w:before="0" w:after="0" w:line="360" w:lineRule="auto"/>
      </w:pPr>
      <w:r>
        <w:rPr>
          <w:rFonts w:ascii="Times New Roman" w:hAnsi="Times New Roman" w:cs="Times New Roman" w:eastAsia="Times New Roman"/>
          <w:sz w:val="28"/>
          <w:szCs w:val="28"/>
        </w:rPr>
        <w:t xml:space="preserve">Рис. 1.1.1. Основные характеристики инновационного продукта</w:t>
      </w:r>
    </w:p>
    <w:p>
      <w:pPr>
        <w:jc w:val="both"/>
        <w:ind w:firstLine="709"/>
        <w:spacing w:before="0" w:after="0" w:line="360" w:lineRule="auto"/>
      </w:pPr>
      <w:r>
        <w:rPr>
          <w:rFonts w:ascii="Times New Roman" w:hAnsi="Times New Roman" w:cs="Times New Roman" w:eastAsia="Times New Roman"/>
          <w:sz w:val="28"/>
          <w:szCs w:val="28"/>
        </w:rPr>
        <w:t xml:space="preserve">Совокупность этих пяти признаков задаёт границу между инновационным и традиционным продуктом и одновременно определяет управленческую сложность его вывода на рынок: чем сильнее выражен каждый из признаков, тем больше ресурсов требуется на продвижение и тем выше цена ошибки маркетинговых решений.</w:t>
      </w:r>
    </w:p>
    <w:p>
      <w:pPr>
        <w:jc w:val="both"/>
        <w:ind w:firstLine="709"/>
        <w:spacing w:before="0" w:after="0" w:line="360" w:lineRule="auto"/>
      </w:pPr>
      <w:r>
        <w:rPr>
          <w:rFonts w:ascii="Times New Roman" w:hAnsi="Times New Roman" w:cs="Times New Roman" w:eastAsia="Times New Roman"/>
          <w:sz w:val="28"/>
          <w:szCs w:val="28"/>
        </w:rPr>
        <w:t xml:space="preserve">Для систематизации инновационных продуктов используется ряд классификационных признаков. По объекту изменений различают продуктовые, процессные, маркетинговые и организационные инновации; по степени новизны — радикальные и инкрементальные [15, с. 165–169; 24, с. 41]. Сводная классификация дана в таблице 1.1.1.</w:t>
      </w:r>
    </w:p>
    <w:p>
      <w:pPr>
        <w:jc w:val="both"/>
        <w:ind w:firstLine="709"/>
        <w:spacing w:before="0" w:after="0" w:line="360" w:lineRule="auto"/>
      </w:pPr>
      <w:r>
        <w:rPr>
          <w:rFonts w:ascii="Times New Roman" w:hAnsi="Times New Roman" w:cs="Times New Roman" w:eastAsia="Times New Roman"/>
          <w:sz w:val="28"/>
          <w:szCs w:val="28"/>
        </w:rPr>
        <w:t xml:space="preserve">Таблица 1.1.1</w:t>
      </w:r>
    </w:p>
    <w:p>
      <w:pPr>
        <w:jc w:val="both"/>
        <w:ind w:firstLine="709"/>
        <w:spacing w:before="0" w:after="0" w:line="360" w:lineRule="auto"/>
      </w:pPr>
      <w:r>
        <w:rPr>
          <w:rFonts w:ascii="Times New Roman" w:hAnsi="Times New Roman" w:cs="Times New Roman" w:eastAsia="Times New Roman"/>
          <w:sz w:val="28"/>
          <w:szCs w:val="28"/>
        </w:rPr>
        <w:t xml:space="preserve">Классификация инновационных продуктов</w:t>
      </w: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213"/>
        <w:gridCol w:w="3213"/>
        <w:gridCol w:w="3213"/>
      </w:tblGrid>
      <w:tr>
        <w:trPr>
          <w:tblHeader/>
        </w:trPr>
        <w:tc>
          <w:tcPr>
            <w:tcW w:w="3213" w:type="dxa"/>
            <w:vAlign w:val="center"/>
          </w:tcPr>
          <w:p>
            <w:pPr>
              <w:spacing w:before="40" w:after="40" w:line="240" w:lineRule="auto"/>
              <w:ind w:firstLine="0"/>
              <w:jc w:val="center"/>
            </w:pPr>
            <w:r>
              <w:rPr>
                <w:b/>
                <w:bCs/>
                <w:rFonts w:ascii="Times New Roman" w:hAnsi="Times New Roman" w:cs="Times New Roman" w:eastAsia="Times New Roman"/>
                <w:sz w:val="24"/>
                <w:szCs w:val="24"/>
              </w:rPr>
              <w:t xml:space="preserve">Критерий классификации</w:t>
            </w:r>
          </w:p>
        </w:tc>
        <w:tc>
          <w:tcPr>
            <w:tcW w:w="3213" w:type="dxa"/>
            <w:vAlign w:val="center"/>
          </w:tcPr>
          <w:p>
            <w:pPr>
              <w:spacing w:before="40" w:after="40" w:line="240" w:lineRule="auto"/>
              <w:ind w:firstLine="0"/>
              <w:jc w:val="center"/>
            </w:pPr>
            <w:r>
              <w:rPr>
                <w:b/>
                <w:bCs/>
                <w:rFonts w:ascii="Times New Roman" w:hAnsi="Times New Roman" w:cs="Times New Roman" w:eastAsia="Times New Roman"/>
                <w:sz w:val="24"/>
                <w:szCs w:val="24"/>
              </w:rPr>
              <w:t xml:space="preserve">Вид инновации</w:t>
            </w:r>
          </w:p>
        </w:tc>
        <w:tc>
          <w:tcPr>
            <w:tcW w:w="3213" w:type="dxa"/>
            <w:vAlign w:val="center"/>
          </w:tcPr>
          <w:p>
            <w:pPr>
              <w:spacing w:before="40" w:after="40" w:line="240" w:lineRule="auto"/>
              <w:ind w:firstLine="0"/>
              <w:jc w:val="center"/>
            </w:pPr>
            <w:r>
              <w:rPr>
                <w:b/>
                <w:bCs/>
                <w:rFonts w:ascii="Times New Roman" w:hAnsi="Times New Roman" w:cs="Times New Roman" w:eastAsia="Times New Roman"/>
                <w:sz w:val="24"/>
                <w:szCs w:val="24"/>
              </w:rPr>
              <w:t xml:space="preserve">Содержание</w:t>
            </w:r>
          </w:p>
        </w:tc>
      </w:tr>
      <w:tr>
        <w:trPr/>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По объекту изменений</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Продуктовые</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Создание нового или существенно улучшенного товара или услуги</w:t>
            </w:r>
          </w:p>
        </w:tc>
      </w:tr>
      <w:tr>
        <w:trPr/>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По объекту изменений</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Процессные</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Изменение способов производства, обслуживания или взаимодействия с потребителем</w:t>
            </w:r>
          </w:p>
        </w:tc>
      </w:tr>
      <w:tr>
        <w:trPr/>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По объекту изменений</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Маркетинговые</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Использование новых методов продвижения, позиционирования или взаимодействия с рынком</w:t>
            </w:r>
          </w:p>
        </w:tc>
      </w:tr>
      <w:tr>
        <w:trPr/>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По объекту изменений</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Организационные</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Изменение управленческих и организационных процессов</w:t>
            </w:r>
          </w:p>
        </w:tc>
      </w:tr>
      <w:tr>
        <w:trPr/>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По степени новизны</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Радикальные</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Формирование принципиально нового продукта или способа потребления</w:t>
            </w:r>
          </w:p>
        </w:tc>
      </w:tr>
      <w:tr>
        <w:trPr/>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По степени новизны</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Инкрементальные</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Улучшение существующих продуктов, технологий или процессов</w:t>
            </w:r>
          </w:p>
        </w:tc>
      </w:tr>
    </w:tbl>
    <w:p>
      <w:pPr>
        <w:jc w:val="both"/>
        <w:ind w:firstLine="709"/>
        <w:spacing w:before="0" w:after="0" w:line="360" w:lineRule="auto"/>
      </w:pPr>
      <w:r>
        <w:rPr>
          <w:rFonts w:ascii="Times New Roman" w:hAnsi="Times New Roman" w:cs="Times New Roman" w:eastAsia="Times New Roman"/>
          <w:sz w:val="28"/>
          <w:szCs w:val="28"/>
        </w:rPr>
        <w:t xml:space="preserve">Источник: составлено автором по данным [15, с. 165–169; 24, с. 41]</w:t>
      </w:r>
    </w:p>
    <w:p>
      <w:pPr>
        <w:jc w:val="both"/>
        <w:ind w:firstLine="709"/>
        <w:spacing w:before="0" w:after="0" w:line="360" w:lineRule="auto"/>
      </w:pPr>
      <w:r>
        <w:rPr>
          <w:rFonts w:ascii="Times New Roman" w:hAnsi="Times New Roman" w:cs="Times New Roman" w:eastAsia="Times New Roman"/>
          <w:sz w:val="28"/>
          <w:szCs w:val="28"/>
        </w:rPr>
        <w:t xml:space="preserve">Биометрические решения по этой классификации одновременно являются продуктовой инновацией (новый цифровой сервис для пользователя) и процессной (изменение способа идентификации и обслуживания), поэтому требуют двухуровневой коммуникации — и с конечным пользователем, и с организацией-заказчиком [3, с. 29; 8, с. 102].</w:t>
      </w:r>
    </w:p>
    <w:p>
      <w:pPr>
        <w:jc w:val="both"/>
        <w:ind w:firstLine="709"/>
        <w:spacing w:before="0" w:after="0" w:line="360" w:lineRule="auto"/>
      </w:pPr>
      <w:r>
        <w:rPr>
          <w:rFonts w:ascii="Times New Roman" w:hAnsi="Times New Roman" w:cs="Times New Roman" w:eastAsia="Times New Roman"/>
          <w:sz w:val="28"/>
          <w:szCs w:val="28"/>
        </w:rPr>
        <w:t xml:space="preserve">Особенностью инновационного продукта является высокий уровень неопределённости рыночного успеха [15, с. 178; 23, с. 4]. Реакция потребителя плохо прогнозируется, а сам продукт часто требует изменения поведенческих паттернов: новых навыков использования или отказа от привычных способов удовлетворения потребности. Поэтому в продвижение встраиваются образовательные программы, демонстрационные мероприятия и пробные версии — то, что снижает воспринимаемый риск покупки [6, с. 51; 20, с. 9]. Группы рисков, с которыми сталкивается организация при выводе инновационного продукта на рынок, систематизированы в таблице 1.1.2.</w:t>
      </w:r>
    </w:p>
    <w:p>
      <w:pPr>
        <w:jc w:val="both"/>
        <w:ind w:firstLine="709"/>
        <w:spacing w:before="0" w:after="0" w:line="360" w:lineRule="auto"/>
      </w:pPr>
      <w:r>
        <w:rPr>
          <w:rFonts w:ascii="Times New Roman" w:hAnsi="Times New Roman" w:cs="Times New Roman" w:eastAsia="Times New Roman"/>
          <w:sz w:val="28"/>
          <w:szCs w:val="28"/>
        </w:rPr>
        <w:t xml:space="preserve">Таблица 1.1.2</w:t>
      </w:r>
    </w:p>
    <w:p>
      <w:pPr>
        <w:jc w:val="both"/>
        <w:ind w:firstLine="709"/>
        <w:spacing w:before="0" w:after="0" w:line="360" w:lineRule="auto"/>
      </w:pPr>
      <w:r>
        <w:rPr>
          <w:rFonts w:ascii="Times New Roman" w:hAnsi="Times New Roman" w:cs="Times New Roman" w:eastAsia="Times New Roman"/>
          <w:sz w:val="28"/>
          <w:szCs w:val="28"/>
        </w:rPr>
        <w:t xml:space="preserve">Основные риски, связанные с внедрением инновационного продукта</w:t>
      </w: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213"/>
        <w:gridCol w:w="3213"/>
        <w:gridCol w:w="3213"/>
      </w:tblGrid>
      <w:tr>
        <w:trPr>
          <w:tblHeader/>
        </w:trPr>
        <w:tc>
          <w:tcPr>
            <w:tcW w:w="3213" w:type="dxa"/>
            <w:vAlign w:val="center"/>
          </w:tcPr>
          <w:p>
            <w:pPr>
              <w:spacing w:before="40" w:after="40" w:line="240" w:lineRule="auto"/>
              <w:ind w:firstLine="0"/>
              <w:jc w:val="center"/>
            </w:pPr>
            <w:r>
              <w:rPr>
                <w:b/>
                <w:bCs/>
                <w:rFonts w:ascii="Times New Roman" w:hAnsi="Times New Roman" w:cs="Times New Roman" w:eastAsia="Times New Roman"/>
                <w:sz w:val="24"/>
                <w:szCs w:val="24"/>
              </w:rPr>
              <w:t xml:space="preserve">Группа рисков</w:t>
            </w:r>
          </w:p>
        </w:tc>
        <w:tc>
          <w:tcPr>
            <w:tcW w:w="3213" w:type="dxa"/>
            <w:vAlign w:val="center"/>
          </w:tcPr>
          <w:p>
            <w:pPr>
              <w:spacing w:before="40" w:after="40" w:line="240" w:lineRule="auto"/>
              <w:ind w:firstLine="0"/>
              <w:jc w:val="center"/>
            </w:pPr>
            <w:r>
              <w:rPr>
                <w:b/>
                <w:bCs/>
                <w:rFonts w:ascii="Times New Roman" w:hAnsi="Times New Roman" w:cs="Times New Roman" w:eastAsia="Times New Roman"/>
                <w:sz w:val="24"/>
                <w:szCs w:val="24"/>
              </w:rPr>
              <w:t xml:space="preserve">Содержание</w:t>
            </w:r>
          </w:p>
        </w:tc>
        <w:tc>
          <w:tcPr>
            <w:tcW w:w="3213" w:type="dxa"/>
            <w:vAlign w:val="center"/>
          </w:tcPr>
          <w:p>
            <w:pPr>
              <w:spacing w:before="40" w:after="40" w:line="240" w:lineRule="auto"/>
              <w:ind w:firstLine="0"/>
              <w:jc w:val="center"/>
            </w:pPr>
            <w:r>
              <w:rPr>
                <w:b/>
                <w:bCs/>
                <w:rFonts w:ascii="Times New Roman" w:hAnsi="Times New Roman" w:cs="Times New Roman" w:eastAsia="Times New Roman"/>
                <w:sz w:val="24"/>
                <w:szCs w:val="24"/>
              </w:rPr>
              <w:t xml:space="preserve">Управленческий ответ</w:t>
            </w:r>
          </w:p>
        </w:tc>
      </w:tr>
      <w:tr>
        <w:trPr/>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Технические</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Сбои разработки, недостаточная зрелость технологии, проблемы интеграции с существующей инфраструктурой</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Пилотные проекты, тестирование, поэтапное масштабирование</w:t>
            </w:r>
          </w:p>
        </w:tc>
      </w:tr>
      <w:tr>
        <w:trPr/>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Рыночные</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Низкая осведомлённость аудитории, недоверие к новой технологии, отсутствие сформированного спроса</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Образовательная коммуникация, демонстрации, работа с ранними последователями</w:t>
            </w:r>
          </w:p>
        </w:tc>
      </w:tr>
      <w:tr>
        <w:trPr/>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Финансовые</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Высокая стоимость разработки, длительный срок окупаемости, сложность прогнозирования возврата инвестиций</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Поэтапное финансирование, KPI-контроль, гибкая ценовая стратегия</w:t>
            </w:r>
          </w:p>
        </w:tc>
      </w:tr>
      <w:tr>
        <w:trPr/>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Репутационные</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Негативный опыт первых пользователей, формирование устойчивых предубеждений к продукту</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Управление качеством, мониторинг отзывов, оперативное реагирование на инциденты</w:t>
            </w:r>
          </w:p>
        </w:tc>
      </w:tr>
      <w:tr>
        <w:trPr/>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Регуляторные</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Изменение нормативно-правовой базы, требования регуляторов к работе с данными, лицензирование</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Юридическое сопровождение, аудит соответствия, соблюдение требований регулятора</w:t>
            </w:r>
          </w:p>
        </w:tc>
      </w:tr>
    </w:tbl>
    <w:p>
      <w:pPr>
        <w:jc w:val="both"/>
        <w:ind w:firstLine="709"/>
        <w:spacing w:before="0" w:after="0" w:line="360" w:lineRule="auto"/>
      </w:pPr>
      <w:r>
        <w:rPr>
          <w:rFonts w:ascii="Times New Roman" w:hAnsi="Times New Roman" w:cs="Times New Roman" w:eastAsia="Times New Roman"/>
          <w:sz w:val="28"/>
          <w:szCs w:val="28"/>
        </w:rPr>
        <w:t xml:space="preserve">Источник: составлено автором по данным [15, с. 178; 22, с. 78; 23, с. 4]</w:t>
      </w:r>
    </w:p>
    <w:p>
      <w:pPr>
        <w:jc w:val="both"/>
        <w:ind w:firstLine="709"/>
        <w:spacing w:before="0" w:after="0" w:line="360" w:lineRule="auto"/>
      </w:pPr>
      <w:r>
        <w:rPr>
          <w:rFonts w:ascii="Times New Roman" w:hAnsi="Times New Roman" w:cs="Times New Roman" w:eastAsia="Times New Roman"/>
          <w:sz w:val="28"/>
          <w:szCs w:val="28"/>
        </w:rPr>
        <w:t xml:space="preserve">Технические риски разработки, рыночные риски, связанные с поведением спроса, репутационные риски от негативного опыта первых пользователей и регуляторные риски от меняющегося правового контура образуют единый контур, которым организация управляет на всех этапах вывода продукта на рынок [22, с. 78]. Для биометрических продуктов этот набор рисков особенно значим — регуляторная и репутационная составляющие здесь имеют тот же вес, что и технические.</w:t>
      </w:r>
    </w:p>
    <w:p>
      <w:pPr>
        <w:jc w:val="both"/>
        <w:ind w:firstLine="709"/>
        <w:spacing w:before="0" w:after="0" w:line="360" w:lineRule="auto"/>
      </w:pPr>
      <w:r>
        <w:rPr>
          <w:rFonts w:ascii="Times New Roman" w:hAnsi="Times New Roman" w:cs="Times New Roman" w:eastAsia="Times New Roman"/>
          <w:sz w:val="28"/>
          <w:szCs w:val="28"/>
        </w:rPr>
        <w:t xml:space="preserve">Восприятие инновации потребителями неоднородно. Согласно теории диффузии инноваций Э. Роджерса, аудитория делится на пять групп — новаторов, ранних последователей, раннее большинство, позднее большинство и консерваторов [24, с. 156]. Каждая группа отличается скоростью принятия и требует своего акцента: для новаторов — технологическое превосходство, для раннего большинства — надёжность и доказательная база, для консерваторов — привычные сценарии использования. Распределение показано на рисунке 1.1.2.</w:t>
      </w:r>
    </w:p>
    <w:p>
      <w:pPr>
        <w:spacing w:before="0" w:after="0" w:line="240" w:lineRule="auto"/>
        <w:ind w:firstLine="0"/>
        <w:jc w:val="left"/>
      </w:pPr>
      <w:r>
        <w:rPr>
          <w:rFonts w:ascii="Courier New" w:hAnsi="Courier New" w:cs="Courier New" w:eastAsia="Courier New"/>
          <w:sz w:val="20"/>
          <w:szCs w:val="20"/>
        </w:rPr>
        <w:t xml:space="preserve">доля</w:t>
      </w:r>
    </w:p>
    <w:p>
      <w:pPr>
        <w:spacing w:before="0" w:after="0" w:line="240" w:lineRule="auto"/>
        <w:ind w:firstLine="0"/>
        <w:jc w:val="left"/>
      </w:pPr>
      <w:r>
        <w:rPr>
          <w:rFonts w:ascii="Courier New" w:hAnsi="Courier New" w:cs="Courier New" w:eastAsia="Courier New"/>
          <w:sz w:val="20"/>
          <w:szCs w:val="20"/>
        </w:rPr>
        <w:t xml:space="preserve">аудитории</w:t>
      </w:r>
    </w:p>
    <w:p>
      <w:pPr>
        <w:spacing w:before="0" w:after="0" w:line="240" w:lineRule="auto"/>
        <w:ind w:firstLine="0"/>
        <w:jc w:val="left"/>
      </w:pPr>
      <w:r>
        <w:rPr>
          <w:rFonts w:ascii="Courier New" w:hAnsi="Courier New" w:cs="Courier New" w:eastAsia="Courier New"/>
          <w:sz w:val="20"/>
          <w:szCs w:val="20"/>
        </w:rPr>
        <w:t xml:space="preserve">   │             ┌──────┐</w:t>
      </w:r>
    </w:p>
    <w:p>
      <w:pPr>
        <w:spacing w:before="0" w:after="0" w:line="240" w:lineRule="auto"/>
        <w:ind w:firstLine="0"/>
        <w:jc w:val="left"/>
      </w:pPr>
      <w:r>
        <w:rPr>
          <w:rFonts w:ascii="Courier New" w:hAnsi="Courier New" w:cs="Courier New" w:eastAsia="Courier New"/>
          <w:sz w:val="20"/>
          <w:szCs w:val="20"/>
        </w:rPr>
        <w:t xml:space="preserve">   │          ┌──┤      ├──┐</w:t>
      </w:r>
    </w:p>
    <w:p>
      <w:pPr>
        <w:spacing w:before="0" w:after="0" w:line="240" w:lineRule="auto"/>
        <w:ind w:firstLine="0"/>
        <w:jc w:val="left"/>
      </w:pPr>
      <w:r>
        <w:rPr>
          <w:rFonts w:ascii="Courier New" w:hAnsi="Courier New" w:cs="Courier New" w:eastAsia="Courier New"/>
          <w:sz w:val="20"/>
          <w:szCs w:val="20"/>
        </w:rPr>
        <w:t xml:space="preserve">   │          │  │      │  │</w:t>
      </w:r>
    </w:p>
    <w:p>
      <w:pPr>
        <w:spacing w:before="0" w:after="0" w:line="240" w:lineRule="auto"/>
        <w:ind w:firstLine="0"/>
        <w:jc w:val="left"/>
      </w:pPr>
      <w:r>
        <w:rPr>
          <w:rFonts w:ascii="Courier New" w:hAnsi="Courier New" w:cs="Courier New" w:eastAsia="Courier New"/>
          <w:sz w:val="20"/>
          <w:szCs w:val="20"/>
        </w:rPr>
        <w:t xml:space="preserve">   │       ┌──┤  │      │  ├──┐</w:t>
      </w:r>
    </w:p>
    <w:p>
      <w:pPr>
        <w:spacing w:before="0" w:after="0" w:line="240" w:lineRule="auto"/>
        <w:ind w:firstLine="0"/>
        <w:jc w:val="left"/>
      </w:pPr>
      <w:r>
        <w:rPr>
          <w:rFonts w:ascii="Courier New" w:hAnsi="Courier New" w:cs="Courier New" w:eastAsia="Courier New"/>
          <w:sz w:val="20"/>
          <w:szCs w:val="20"/>
        </w:rPr>
        <w:t xml:space="preserve">   │  ┌────┤  │  │      │  │  │</w:t>
      </w:r>
    </w:p>
    <w:p>
      <w:pPr>
        <w:spacing w:before="0" w:after="0" w:line="240" w:lineRule="auto"/>
        <w:ind w:firstLine="0"/>
        <w:jc w:val="left"/>
      </w:pPr>
      <w:r>
        <w:rPr>
          <w:rFonts w:ascii="Courier New" w:hAnsi="Courier New" w:cs="Courier New" w:eastAsia="Courier New"/>
          <w:sz w:val="20"/>
          <w:szCs w:val="20"/>
        </w:rPr>
        <w:t xml:space="preserve">   │  │    │  │  │      │  │  │</w:t>
      </w:r>
    </w:p>
    <w:p>
      <w:pPr>
        <w:spacing w:before="0" w:after="0" w:line="240" w:lineRule="auto"/>
        <w:ind w:firstLine="0"/>
        <w:jc w:val="left"/>
      </w:pPr>
      <w:r>
        <w:rPr>
          <w:rFonts w:ascii="Courier New" w:hAnsi="Courier New" w:cs="Courier New" w:eastAsia="Courier New"/>
          <w:sz w:val="20"/>
          <w:szCs w:val="20"/>
        </w:rPr>
        <w:t xml:space="preserve">   └──┴────┴──┴──┴──────┴──┴──┴────► время</w:t>
      </w:r>
    </w:p>
    <w:p>
      <w:pPr>
        <w:spacing w:before="0" w:after="0" w:line="240" w:lineRule="auto"/>
        <w:ind w:firstLine="0"/>
        <w:jc w:val="left"/>
      </w:pPr>
      <w:r>
        <w:rPr>
          <w:rFonts w:ascii="Courier New" w:hAnsi="Courier New" w:cs="Courier New" w:eastAsia="Courier New"/>
          <w:sz w:val="20"/>
          <w:szCs w:val="20"/>
        </w:rPr>
        <w:t xml:space="preserve">   Новаторы Ранние   Раннее   Позднее  Консерваторы</w:t>
      </w:r>
    </w:p>
    <w:p>
      <w:pPr>
        <w:spacing w:before="0" w:after="0" w:line="240" w:lineRule="auto"/>
        <w:ind w:firstLine="0"/>
        <w:jc w:val="left"/>
      </w:pPr>
      <w:r>
        <w:rPr>
          <w:rFonts w:ascii="Courier New" w:hAnsi="Courier New" w:cs="Courier New" w:eastAsia="Courier New"/>
          <w:sz w:val="20"/>
          <w:szCs w:val="20"/>
        </w:rPr>
        <w:t xml:space="preserve">   2,5%     последо- большин- большин- 16%</w:t>
      </w:r>
    </w:p>
    <w:p>
      <w:pPr>
        <w:spacing w:before="0" w:after="0" w:line="240" w:lineRule="auto"/>
        <w:ind w:firstLine="0"/>
        <w:jc w:val="left"/>
      </w:pPr>
      <w:r>
        <w:rPr>
          <w:rFonts w:ascii="Courier New" w:hAnsi="Courier New" w:cs="Courier New" w:eastAsia="Courier New"/>
          <w:sz w:val="20"/>
          <w:szCs w:val="20"/>
        </w:rPr>
        <w:t xml:space="preserve">            ватели   ство     ство</w:t>
      </w:r>
    </w:p>
    <w:p>
      <w:pPr>
        <w:spacing w:before="0" w:after="0" w:line="240" w:lineRule="auto"/>
        <w:ind w:firstLine="0"/>
        <w:jc w:val="left"/>
      </w:pPr>
      <w:r>
        <w:rPr>
          <w:rFonts w:ascii="Courier New" w:hAnsi="Courier New" w:cs="Courier New" w:eastAsia="Courier New"/>
          <w:sz w:val="20"/>
          <w:szCs w:val="20"/>
        </w:rPr>
        <w:t xml:space="preserve">            13,5%    34%      34%</w:t>
      </w:r>
    </w:p>
    <w:p>
      <w:pPr>
        <w:jc w:val="both"/>
        <w:ind w:firstLine="709"/>
        <w:spacing w:before="0" w:after="0" w:line="360" w:lineRule="auto"/>
      </w:pPr>
      <w:r>
        <w:rPr>
          <w:rFonts w:ascii="Times New Roman" w:hAnsi="Times New Roman" w:cs="Times New Roman" w:eastAsia="Times New Roman"/>
          <w:sz w:val="28"/>
          <w:szCs w:val="28"/>
        </w:rPr>
        <w:t xml:space="preserve">Источник: составлено автором по данным [24, с. 156]</w:t>
      </w:r>
    </w:p>
    <w:p>
      <w:pPr>
        <w:jc w:val="both"/>
        <w:ind w:firstLine="709"/>
        <w:spacing w:before="0" w:after="0" w:line="360" w:lineRule="auto"/>
      </w:pPr>
      <w:r>
        <w:rPr>
          <w:rFonts w:ascii="Times New Roman" w:hAnsi="Times New Roman" w:cs="Times New Roman" w:eastAsia="Times New Roman"/>
          <w:sz w:val="28"/>
          <w:szCs w:val="28"/>
        </w:rPr>
        <w:t xml:space="preserve">Рис. 1.1.2. Модель диффузии инноваций Э. Роджерса</w:t>
      </w:r>
    </w:p>
    <w:p>
      <w:pPr>
        <w:jc w:val="both"/>
        <w:ind w:firstLine="709"/>
        <w:spacing w:before="0" w:after="0" w:line="360" w:lineRule="auto"/>
      </w:pPr>
      <w:r>
        <w:rPr>
          <w:rFonts w:ascii="Times New Roman" w:hAnsi="Times New Roman" w:cs="Times New Roman" w:eastAsia="Times New Roman"/>
          <w:sz w:val="28"/>
          <w:szCs w:val="28"/>
        </w:rPr>
        <w:t xml:space="preserve">Для технологических продуктов это означает, что в фазе вывода целесообразно ориентироваться на новаторов и ранних последователей и через них собирать первичные доказательства надёжности для более консервативных сегментов [10, с. 6; 23, с. 5].</w:t>
      </w:r>
    </w:p>
    <w:p>
      <w:pPr>
        <w:jc w:val="both"/>
        <w:ind w:firstLine="709"/>
        <w:spacing w:before="0" w:after="0" w:line="360" w:lineRule="auto"/>
      </w:pPr>
      <w:r>
        <w:rPr>
          <w:rFonts w:ascii="Times New Roman" w:hAnsi="Times New Roman" w:cs="Times New Roman" w:eastAsia="Times New Roman"/>
          <w:sz w:val="28"/>
          <w:szCs w:val="28"/>
        </w:rPr>
        <w:t xml:space="preserve">Жизненный цикл инновационного продукта включает разработку, внедрение, рост, зрелость и спад. От традиционной модели его отличают короткая стадия зрелости и высокая динамика смены технологических поколений, что требует постоянных инвестиций в исследования и разработки [15, с. 201; 24, с. 178]. На этапе внедрения главная нагрузка ложится на информационные и образовательные коммуникации — без них даже технологически состоятельный продукт не доходит до массовой аудитории [20, с. 11]. Графическое представление этапов жизненного цикла инновационного продукта дано на рисунке 1.1.3.</w:t>
      </w:r>
    </w:p>
    <w:p>
      <w:pPr>
        <w:spacing w:before="0" w:after="0" w:line="240" w:lineRule="auto"/>
        <w:ind w:firstLine="0"/>
        <w:jc w:val="left"/>
      </w:pPr>
      <w:r>
        <w:rPr>
          <w:rFonts w:ascii="Courier New" w:hAnsi="Courier New" w:cs="Courier New" w:eastAsia="Courier New"/>
          <w:sz w:val="20"/>
          <w:szCs w:val="20"/>
        </w:rPr>
        <w:t xml:space="preserve"> Объём</w:t>
      </w:r>
    </w:p>
    <w:p>
      <w:pPr>
        <w:spacing w:before="0" w:after="0" w:line="240" w:lineRule="auto"/>
        <w:ind w:firstLine="0"/>
        <w:jc w:val="left"/>
      </w:pPr>
      <w:r>
        <w:rPr>
          <w:rFonts w:ascii="Courier New" w:hAnsi="Courier New" w:cs="Courier New" w:eastAsia="Courier New"/>
          <w:sz w:val="20"/>
          <w:szCs w:val="20"/>
        </w:rPr>
        <w:t xml:space="preserve"> продаж │</w:t>
      </w:r>
    </w:p>
    <w:p>
      <w:pPr>
        <w:spacing w:before="0" w:after="0" w:line="240" w:lineRule="auto"/>
        <w:ind w:firstLine="0"/>
        <w:jc w:val="left"/>
      </w:pPr>
      <w:r>
        <w:rPr>
          <w:rFonts w:ascii="Courier New" w:hAnsi="Courier New" w:cs="Courier New" w:eastAsia="Courier New"/>
          <w:sz w:val="20"/>
          <w:szCs w:val="20"/>
        </w:rPr>
        <w:t xml:space="preserve">        │                          ┌────────┐</w:t>
      </w:r>
    </w:p>
    <w:p>
      <w:pPr>
        <w:spacing w:before="0" w:after="0" w:line="240" w:lineRule="auto"/>
        <w:ind w:firstLine="0"/>
        <w:jc w:val="left"/>
      </w:pPr>
      <w:r>
        <w:rPr>
          <w:rFonts w:ascii="Courier New" w:hAnsi="Courier New" w:cs="Courier New" w:eastAsia="Courier New"/>
          <w:sz w:val="20"/>
          <w:szCs w:val="20"/>
        </w:rPr>
        <w:t xml:space="preserve">        │                     ┌────┤Зрелость├────┐</w:t>
      </w:r>
    </w:p>
    <w:p>
      <w:pPr>
        <w:spacing w:before="0" w:after="0" w:line="240" w:lineRule="auto"/>
        <w:ind w:firstLine="0"/>
        <w:jc w:val="left"/>
      </w:pPr>
      <w:r>
        <w:rPr>
          <w:rFonts w:ascii="Courier New" w:hAnsi="Courier New" w:cs="Courier New" w:eastAsia="Courier New"/>
          <w:sz w:val="20"/>
          <w:szCs w:val="20"/>
        </w:rPr>
        <w:t xml:space="preserve">        │                ┌────┤    └────────┘    ├────┐</w:t>
      </w:r>
    </w:p>
    <w:p>
      <w:pPr>
        <w:spacing w:before="0" w:after="0" w:line="240" w:lineRule="auto"/>
        <w:ind w:firstLine="0"/>
        <w:jc w:val="left"/>
      </w:pPr>
      <w:r>
        <w:rPr>
          <w:rFonts w:ascii="Courier New" w:hAnsi="Courier New" w:cs="Courier New" w:eastAsia="Courier New"/>
          <w:sz w:val="20"/>
          <w:szCs w:val="20"/>
        </w:rPr>
        <w:t xml:space="preserve">        │           ┌────┤     Рост                   │ Спад</w:t>
      </w:r>
    </w:p>
    <w:p>
      <w:pPr>
        <w:spacing w:before="0" w:after="0" w:line="240" w:lineRule="auto"/>
        <w:ind w:firstLine="0"/>
        <w:jc w:val="left"/>
      </w:pPr>
      <w:r>
        <w:rPr>
          <w:rFonts w:ascii="Courier New" w:hAnsi="Courier New" w:cs="Courier New" w:eastAsia="Courier New"/>
          <w:sz w:val="20"/>
          <w:szCs w:val="20"/>
        </w:rPr>
        <w:t xml:space="preserve">        │      ┌────┤                                 ├────┐</w:t>
      </w:r>
    </w:p>
    <w:p>
      <w:pPr>
        <w:spacing w:before="0" w:after="0" w:line="240" w:lineRule="auto"/>
        <w:ind w:firstLine="0"/>
        <w:jc w:val="left"/>
      </w:pPr>
      <w:r>
        <w:rPr>
          <w:rFonts w:ascii="Courier New" w:hAnsi="Courier New" w:cs="Courier New" w:eastAsia="Courier New"/>
          <w:sz w:val="20"/>
          <w:szCs w:val="20"/>
        </w:rPr>
        <w:t xml:space="preserve">        │ ┌────┤ Внедрение                            │    │</w:t>
      </w:r>
    </w:p>
    <w:p>
      <w:pPr>
        <w:spacing w:before="0" w:after="0" w:line="240" w:lineRule="auto"/>
        <w:ind w:firstLine="0"/>
        <w:jc w:val="left"/>
      </w:pPr>
      <w:r>
        <w:rPr>
          <w:rFonts w:ascii="Courier New" w:hAnsi="Courier New" w:cs="Courier New" w:eastAsia="Courier New"/>
          <w:sz w:val="20"/>
          <w:szCs w:val="20"/>
        </w:rPr>
        <w:t xml:space="preserve">        │ │    │                                      │    │</w:t>
      </w:r>
    </w:p>
    <w:p>
      <w:pPr>
        <w:spacing w:before="0" w:after="0" w:line="240" w:lineRule="auto"/>
        <w:ind w:firstLine="0"/>
        <w:jc w:val="left"/>
      </w:pPr>
      <w:r>
        <w:rPr>
          <w:rFonts w:ascii="Courier New" w:hAnsi="Courier New" w:cs="Courier New" w:eastAsia="Courier New"/>
          <w:sz w:val="20"/>
          <w:szCs w:val="20"/>
        </w:rPr>
        <w:t xml:space="preserve">   ─────┼─┴────┴──────────────────────────────────────┴────┴───▶ Время</w:t>
      </w:r>
    </w:p>
    <w:p>
      <w:pPr>
        <w:spacing w:before="0" w:after="0" w:line="240" w:lineRule="auto"/>
        <w:ind w:firstLine="0"/>
        <w:jc w:val="left"/>
      </w:pPr>
      <w:r>
        <w:rPr>
          <w:rFonts w:ascii="Courier New" w:hAnsi="Courier New" w:cs="Courier New" w:eastAsia="Courier New"/>
          <w:sz w:val="20"/>
          <w:szCs w:val="20"/>
        </w:rPr>
        <w:t xml:space="preserve">        │  Разработка</w:t>
      </w:r>
    </w:p>
    <w:p>
      <w:pPr>
        <w:spacing w:before="0" w:after="0" w:line="240" w:lineRule="auto"/>
        <w:ind w:firstLine="0"/>
        <w:jc w:val="left"/>
      </w:pPr>
      <w:r>
        <w:rPr>
          <w:rFonts w:ascii="Courier New" w:hAnsi="Courier New" w:cs="Courier New" w:eastAsia="Courier New"/>
          <w:sz w:val="20"/>
          <w:szCs w:val="20"/>
        </w:rPr>
        <w:t xml:space="preserve">        │</w:t>
      </w:r>
    </w:p>
    <w:p>
      <w:pPr>
        <w:jc w:val="both"/>
        <w:ind w:firstLine="709"/>
        <w:spacing w:before="0" w:after="0" w:line="360" w:lineRule="auto"/>
      </w:pPr>
      <w:r>
        <w:rPr>
          <w:rFonts w:ascii="Times New Roman" w:hAnsi="Times New Roman" w:cs="Times New Roman" w:eastAsia="Times New Roman"/>
          <w:sz w:val="28"/>
          <w:szCs w:val="28"/>
        </w:rPr>
        <w:t xml:space="preserve">Источник: составлено автором по данным [15, с. 201; 24, с. 178]</w:t>
      </w:r>
    </w:p>
    <w:p>
      <w:pPr>
        <w:jc w:val="both"/>
        <w:ind w:firstLine="709"/>
        <w:spacing w:before="0" w:after="0" w:line="360" w:lineRule="auto"/>
      </w:pPr>
      <w:r>
        <w:rPr>
          <w:rFonts w:ascii="Times New Roman" w:hAnsi="Times New Roman" w:cs="Times New Roman" w:eastAsia="Times New Roman"/>
          <w:sz w:val="28"/>
          <w:szCs w:val="28"/>
        </w:rPr>
        <w:t xml:space="preserve">Рис. 1.1.3. Жизненный цикл инновационного продукта</w:t>
      </w:r>
    </w:p>
    <w:p>
      <w:pPr>
        <w:jc w:val="both"/>
        <w:ind w:firstLine="709"/>
        <w:spacing w:before="0" w:after="0" w:line="360" w:lineRule="auto"/>
      </w:pPr>
      <w:r>
        <w:rPr>
          <w:rFonts w:ascii="Times New Roman" w:hAnsi="Times New Roman" w:cs="Times New Roman" w:eastAsia="Times New Roman"/>
          <w:sz w:val="28"/>
          <w:szCs w:val="28"/>
        </w:rPr>
        <w:t xml:space="preserve">На этапе внедрения особое значение приобретают информационные и образовательные коммуникации, демонстрация преимуществ продукта, работа с возражениями и стимулирование пробного использования. Продвижение инновационного продукта должно начинаться ещё до его массового распространения и сопровождать все этапы жизненного цикла [15, с. 204; 20, с. 11].</w:t>
      </w:r>
    </w:p>
    <w:p>
      <w:pPr>
        <w:jc w:val="both"/>
        <w:ind w:firstLine="709"/>
        <w:spacing w:before="0" w:after="0" w:line="360" w:lineRule="auto"/>
      </w:pPr>
      <w:r>
        <w:rPr>
          <w:rFonts w:ascii="Times New Roman" w:hAnsi="Times New Roman" w:cs="Times New Roman" w:eastAsia="Times New Roman"/>
          <w:sz w:val="28"/>
          <w:szCs w:val="28"/>
        </w:rPr>
        <w:t xml:space="preserve">Цифровые инновационные продукты выделяются в особую категорию: они виртуальны по своей природе, распространяются через цифровые каналы, зависят от технологической инфраструктуры и быстро устаревают [12, с. 14]. Внутри этой категории отдельным подклассом стоят банковские цифровые инновации — мобильный банкинг, бесконтактные платежи, удалённое открытие счёта, биометрическая идентификация. Все они работают с чувствительными персональными и финансовыми данными, поэтому к ним предъявляются повышенные требования к защите информации, нормативно-правовому соответствию и доверию пользователей [4, с. 38; 7, с. 91; 8, с. 105].</w:t>
      </w:r>
    </w:p>
    <w:p>
      <w:pPr>
        <w:jc w:val="both"/>
        <w:ind w:firstLine="709"/>
        <w:spacing w:before="0" w:after="0" w:line="360" w:lineRule="auto"/>
      </w:pPr>
      <w:r>
        <w:rPr>
          <w:rFonts w:ascii="Times New Roman" w:hAnsi="Times New Roman" w:cs="Times New Roman" w:eastAsia="Times New Roman"/>
          <w:sz w:val="28"/>
          <w:szCs w:val="28"/>
        </w:rPr>
        <w:t xml:space="preserve">Биометрические системы — крайний случай в этом подклассе. Они обладают сразу четырьмя признаками, выводящими их в категорию высокотехнологичных инновационных продуктов повышенного риска:</w:t>
      </w:r>
    </w:p>
    <w:p>
      <w:pPr>
        <w:jc w:val="both"/>
        <w:ind w:firstLine="709"/>
        <w:spacing w:before="0" w:after="0" w:line="360" w:lineRule="auto"/>
      </w:pPr>
      <w:r>
        <w:rPr>
          <w:rFonts w:ascii="Times New Roman" w:hAnsi="Times New Roman" w:cs="Times New Roman" w:eastAsia="Times New Roman"/>
          <w:sz w:val="28"/>
          <w:szCs w:val="28"/>
        </w:rPr>
        <w:t xml:space="preserve">а) высокая технологическая сложность — компьютерное зрение, искусственный интеллект, криптографическая защита биометрических векторов [3, с. 30];</w:t>
      </w:r>
    </w:p>
    <w:p>
      <w:pPr>
        <w:jc w:val="both"/>
        <w:ind w:firstLine="709"/>
        <w:spacing w:before="0" w:after="0" w:line="360" w:lineRule="auto"/>
      </w:pPr>
      <w:r>
        <w:rPr>
          <w:rFonts w:ascii="Times New Roman" w:hAnsi="Times New Roman" w:cs="Times New Roman" w:eastAsia="Times New Roman"/>
          <w:sz w:val="28"/>
          <w:szCs w:val="28"/>
        </w:rPr>
        <w:t xml:space="preserve">б) работа с особо чувствительными персональными данными — биометрическими векторами лица или голоса, отнесёнными законодательством к специальной категории [7, с. 92];</w:t>
      </w:r>
    </w:p>
    <w:p>
      <w:pPr>
        <w:jc w:val="both"/>
        <w:ind w:firstLine="709"/>
        <w:spacing w:before="0" w:after="0" w:line="360" w:lineRule="auto"/>
      </w:pPr>
      <w:r>
        <w:rPr>
          <w:rFonts w:ascii="Times New Roman" w:hAnsi="Times New Roman" w:cs="Times New Roman" w:eastAsia="Times New Roman"/>
          <w:sz w:val="28"/>
          <w:szCs w:val="28"/>
        </w:rPr>
        <w:t xml:space="preserve">в) жёсткий нормативно-правовой контур — Федеральный закон от 29.12.2022 № 572-ФЗ, обязательная аккредитация Минцифры России, сертификация ФСБ и ФСТЭК, ответственность за неправомерное обращение с биометрическими данными вплоть до уголовной [7, с. 93–95];</w:t>
      </w:r>
    </w:p>
    <w:p>
      <w:pPr>
        <w:jc w:val="both"/>
        <w:ind w:firstLine="709"/>
        <w:spacing w:before="0" w:after="0" w:line="360" w:lineRule="auto"/>
      </w:pPr>
      <w:r>
        <w:rPr>
          <w:rFonts w:ascii="Times New Roman" w:hAnsi="Times New Roman" w:cs="Times New Roman" w:eastAsia="Times New Roman"/>
          <w:sz w:val="28"/>
          <w:szCs w:val="28"/>
        </w:rPr>
        <w:t xml:space="preserve">г) значительная доля психологических барьеров в восприятии — прежде всего страх утечки данных, несанкционированного использования биометрии и невозможности отозвать сданный биометрический образец [4, с. 41; 9, с. 112].</w:t>
      </w:r>
    </w:p>
    <w:p>
      <w:pPr>
        <w:jc w:val="both"/>
        <w:ind w:firstLine="709"/>
        <w:spacing w:before="0" w:after="0" w:line="360" w:lineRule="auto"/>
      </w:pPr>
      <w:r>
        <w:rPr>
          <w:rFonts w:ascii="Times New Roman" w:hAnsi="Times New Roman" w:cs="Times New Roman" w:eastAsia="Times New Roman"/>
          <w:sz w:val="28"/>
          <w:szCs w:val="28"/>
        </w:rPr>
        <w:t xml:space="preserve">Сочетание этих факторов делает невозможным продвижение биометрического продукта стандартными для банковской рекламы инструментами: одного информирования и стимулирования спроса недостаточно. Требуется особая стратегия продвижения, в которой обычные функции маркетинга — рассказать, привлечь, продать — дополняются образовательной составляющей, систематической работой с возражениями, демонстрацией мер защиты данных и подтверждением правовой корректности технологии [4, с. 47; 8, с. 108; 9, с. 119]. Именно это и составляет предмет дальнейшего изложения: в параграфе 1.2 рассматриваются базовые маркетинговые стратегии продвижения инновационных продуктов и определяется, какие из них применимы к высокотехнологичным цифровым решениям, а в параграфе 1.3 эти стратегии адаптируются к специфике биометрических технологий в банковском секторе с учётом нормативной среды, психологических барьеров и архитектуры пользовательского доверия.</w:t>
      </w:r>
    </w:p>
    <w:p>
      <w:pPr>
        <w:pStyle w:val="Heading1"/>
        <w:keepNext/>
        <w:keepLines/>
        <w:spacing w:before="360" w:after="180" w:line="360" w:lineRule="auto"/>
        <w:jc w:val="center"/>
        <w:ind w:firstLine="0"/>
        <w:outlineLvl w:val="0"/>
      </w:pPr>
      <w:r>
        <w:rPr>
          <w:b/>
          <w:bCs/>
          <w:rFonts w:ascii="Times New Roman" w:hAnsi="Times New Roman" w:cs="Times New Roman" w:eastAsia="Times New Roman"/>
          <w:sz w:val="32"/>
          <w:szCs w:val="32"/>
        </w:rPr>
        <w:t xml:space="preserve">1.2. Маркетинговые стратегии продвижения</w:t>
      </w:r>
    </w:p>
    <w:p>
      <w:pPr>
        <w:jc w:val="both"/>
        <w:ind w:firstLine="709"/>
        <w:spacing w:before="0" w:after="0" w:line="360" w:lineRule="auto"/>
      </w:pPr>
      <w:r>
        <w:rPr>
          <w:rFonts w:ascii="Times New Roman" w:hAnsi="Times New Roman" w:cs="Times New Roman" w:eastAsia="Times New Roman"/>
          <w:sz w:val="28"/>
          <w:szCs w:val="28"/>
        </w:rPr>
        <w:t xml:space="preserve">Стратегия продвижения инновационного продукта представляет собой комплексный план маркетинговых коммуникаций, направленный на информирование целевой аудитории о новом продукте, формирование потребительского интереса, стимулирование пробных покупок и обеспечение долгосрочной лояльности клиентов [10, с. 4; 23, с. 3]. В отличие от традиционных товаров, продвижение инноваций требует преодоления психологических барьеров потребителей, связанных с недостаточной осведомлённостью о новых технологиях, опасениями относительно надёжности инновационных решений и инерцией потребительского поведения [6, с. 49; 20, с. 7].</w:t>
      </w:r>
    </w:p>
    <w:p>
      <w:pPr>
        <w:jc w:val="both"/>
        <w:ind w:firstLine="709"/>
        <w:spacing w:before="0" w:after="0" w:line="360" w:lineRule="auto"/>
      </w:pPr>
      <w:r>
        <w:rPr>
          <w:rFonts w:ascii="Times New Roman" w:hAnsi="Times New Roman" w:cs="Times New Roman" w:eastAsia="Times New Roman"/>
          <w:sz w:val="28"/>
          <w:szCs w:val="28"/>
        </w:rPr>
        <w:t xml:space="preserve">Теория диффузии инноваций Э. Роджерса позволяет учитывать различия в готовности потребителей к принятию новых продуктов [24, с. 156]. В рамках стратегии продвижения это означает необходимость адаптации маркетинговых сообщений и каналов коммуникации под разные группы аудитории.</w:t>
      </w:r>
    </w:p>
    <w:p>
      <w:pPr>
        <w:jc w:val="both"/>
        <w:ind w:firstLine="709"/>
        <w:spacing w:before="0" w:after="0" w:line="360" w:lineRule="auto"/>
      </w:pPr>
      <w:r>
        <w:rPr>
          <w:rFonts w:ascii="Times New Roman" w:hAnsi="Times New Roman" w:cs="Times New Roman" w:eastAsia="Times New Roman"/>
          <w:sz w:val="28"/>
          <w:szCs w:val="28"/>
        </w:rPr>
        <w:t xml:space="preserve">Особенность продвижения инновационных продуктов заключается в том, что компания сталкивается не только с задачей информирования потребителей, но и с необходимостью преодоления неопределённости, низкой осведомлённости рынка и недоверия к новому решению [20, с. 8; 23, с. 5]. В учебных материалах по экономике инноваций отмечается, что при продвижении инноваций компании могут сталкиваться с рядом проблем [15, с. 178–181]:</w:t>
      </w:r>
    </w:p>
    <w:p>
      <w:pPr>
        <w:jc w:val="both"/>
        <w:ind w:firstLine="709"/>
        <w:spacing w:before="0" w:after="0" w:line="360" w:lineRule="auto"/>
      </w:pPr>
      <w:r>
        <w:rPr>
          <w:rFonts w:ascii="Times New Roman" w:hAnsi="Times New Roman" w:cs="Times New Roman" w:eastAsia="Times New Roman"/>
          <w:sz w:val="28"/>
          <w:szCs w:val="28"/>
        </w:rPr>
        <w:t xml:space="preserve">а) отсутствие сформированного рынка сбыта;</w:t>
      </w:r>
    </w:p>
    <w:p>
      <w:pPr>
        <w:jc w:val="both"/>
        <w:ind w:firstLine="709"/>
        <w:spacing w:before="0" w:after="0" w:line="360" w:lineRule="auto"/>
      </w:pPr>
      <w:r>
        <w:rPr>
          <w:rFonts w:ascii="Times New Roman" w:hAnsi="Times New Roman" w:cs="Times New Roman" w:eastAsia="Times New Roman"/>
          <w:sz w:val="28"/>
          <w:szCs w:val="28"/>
        </w:rPr>
        <w:t xml:space="preserve">б) низкая осведомлённость покупателей;</w:t>
      </w:r>
    </w:p>
    <w:p>
      <w:pPr>
        <w:jc w:val="both"/>
        <w:ind w:firstLine="709"/>
        <w:spacing w:before="0" w:after="0" w:line="360" w:lineRule="auto"/>
      </w:pPr>
      <w:r>
        <w:rPr>
          <w:rFonts w:ascii="Times New Roman" w:hAnsi="Times New Roman" w:cs="Times New Roman" w:eastAsia="Times New Roman"/>
          <w:sz w:val="28"/>
          <w:szCs w:val="28"/>
        </w:rPr>
        <w:t xml:space="preserve">в) ограниченное количество первых потребителей;</w:t>
      </w:r>
    </w:p>
    <w:p>
      <w:pPr>
        <w:jc w:val="both"/>
        <w:ind w:firstLine="709"/>
        <w:spacing w:before="0" w:after="0" w:line="360" w:lineRule="auto"/>
      </w:pPr>
      <w:r>
        <w:rPr>
          <w:rFonts w:ascii="Times New Roman" w:hAnsi="Times New Roman" w:cs="Times New Roman" w:eastAsia="Times New Roman"/>
          <w:sz w:val="28"/>
          <w:szCs w:val="28"/>
        </w:rPr>
        <w:t xml:space="preserve">г) необходимость использования образовательных форм коммуникации, включая демонстрации продукта и разъяснение его преимуществ.</w:t>
      </w:r>
    </w:p>
    <w:p>
      <w:pPr>
        <w:jc w:val="both"/>
        <w:ind w:firstLine="709"/>
        <w:spacing w:before="0" w:after="0" w:line="360" w:lineRule="auto"/>
      </w:pPr>
      <w:r>
        <w:rPr>
          <w:rFonts w:ascii="Times New Roman" w:hAnsi="Times New Roman" w:cs="Times New Roman" w:eastAsia="Times New Roman"/>
          <w:sz w:val="28"/>
          <w:szCs w:val="28"/>
        </w:rPr>
        <w:t xml:space="preserve">Это особенно важно для технологических продуктов, ценность которых не всегда очевидна потребителю на этапе первого знакомства [20, с. 9].</w:t>
      </w:r>
    </w:p>
    <w:p>
      <w:pPr>
        <w:jc w:val="both"/>
        <w:ind w:firstLine="709"/>
        <w:spacing w:before="0" w:after="0" w:line="360" w:lineRule="auto"/>
      </w:pPr>
      <w:r>
        <w:rPr>
          <w:rFonts w:ascii="Times New Roman" w:hAnsi="Times New Roman" w:cs="Times New Roman" w:eastAsia="Times New Roman"/>
          <w:sz w:val="28"/>
          <w:szCs w:val="28"/>
        </w:rPr>
        <w:t xml:space="preserve">Разработка стратегии продвижения нового продукта должна начинаться с анализа рынка и конкурентной среды [11, с. 67; 19, с. 142]. Такой анализ позволяет определить ёмкость рынка, тенденции его развития, целевые сегменты, потребительские предпочтения, сильные и слабые стороны конкурентов, а также уникальное ценностное предложение продукта. Без предварительного анализа целевой аудитории и конкурентного окружения продвижение инновационного продукта может оказаться неэффективным, поскольку маркетинговые сообщения не будут соответствовать реальным ожиданиям потребителей [11, с. 71].</w:t>
      </w:r>
    </w:p>
    <w:p>
      <w:pPr>
        <w:jc w:val="both"/>
        <w:ind w:firstLine="709"/>
        <w:spacing w:before="0" w:after="0" w:line="360" w:lineRule="auto"/>
      </w:pPr>
      <w:r>
        <w:rPr>
          <w:rFonts w:ascii="Times New Roman" w:hAnsi="Times New Roman" w:cs="Times New Roman" w:eastAsia="Times New Roman"/>
          <w:sz w:val="28"/>
          <w:szCs w:val="28"/>
        </w:rPr>
        <w:t xml:space="preserve">Разработка стратегии продвижения нового продукта осуществляется поэтапно. Этапный подход позволяет снизить риски вывода продукта на рынок, учитывать особенности восприятия инновации потребителями и своевременно корректировать маркетинговые мероприятия [10, с. 5; 19, с. 156]. Основные этапы представлены в таблице 1.2.1.</w:t>
      </w:r>
    </w:p>
    <w:p>
      <w:pPr>
        <w:jc w:val="both"/>
        <w:ind w:firstLine="709"/>
        <w:spacing w:before="0" w:after="0" w:line="360" w:lineRule="auto"/>
      </w:pPr>
      <w:r>
        <w:rPr>
          <w:rFonts w:ascii="Times New Roman" w:hAnsi="Times New Roman" w:cs="Times New Roman" w:eastAsia="Times New Roman"/>
          <w:sz w:val="28"/>
          <w:szCs w:val="28"/>
        </w:rPr>
        <w:t xml:space="preserve">Таблица 1.2.1</w:t>
      </w:r>
    </w:p>
    <w:p>
      <w:pPr>
        <w:jc w:val="both"/>
        <w:ind w:firstLine="709"/>
        <w:spacing w:before="0" w:after="0" w:line="360" w:lineRule="auto"/>
      </w:pPr>
      <w:r>
        <w:rPr>
          <w:rFonts w:ascii="Times New Roman" w:hAnsi="Times New Roman" w:cs="Times New Roman" w:eastAsia="Times New Roman"/>
          <w:sz w:val="28"/>
          <w:szCs w:val="28"/>
        </w:rPr>
        <w:t xml:space="preserve">Этапы разработки стратегии продвижения нового продукта</w:t>
      </w: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819"/>
        <w:gridCol w:w="4819"/>
      </w:tblGrid>
      <w:tr>
        <w:trPr>
          <w:tblHeader/>
        </w:trPr>
        <w:tc>
          <w:tcPr>
            <w:tcW w:w="4819" w:type="dxa"/>
            <w:vAlign w:val="center"/>
          </w:tcPr>
          <w:p>
            <w:pPr>
              <w:spacing w:before="40" w:after="40" w:line="240" w:lineRule="auto"/>
              <w:ind w:firstLine="0"/>
              <w:jc w:val="center"/>
            </w:pPr>
            <w:r>
              <w:rPr>
                <w:b/>
                <w:bCs/>
                <w:rFonts w:ascii="Times New Roman" w:hAnsi="Times New Roman" w:cs="Times New Roman" w:eastAsia="Times New Roman"/>
                <w:sz w:val="24"/>
                <w:szCs w:val="24"/>
              </w:rPr>
              <w:t xml:space="preserve">Этап разработки стратегии</w:t>
            </w:r>
          </w:p>
        </w:tc>
        <w:tc>
          <w:tcPr>
            <w:tcW w:w="4819" w:type="dxa"/>
            <w:vAlign w:val="center"/>
          </w:tcPr>
          <w:p>
            <w:pPr>
              <w:spacing w:before="40" w:after="40" w:line="240" w:lineRule="auto"/>
              <w:ind w:firstLine="0"/>
              <w:jc w:val="center"/>
            </w:pPr>
            <w:r>
              <w:rPr>
                <w:b/>
                <w:bCs/>
                <w:rFonts w:ascii="Times New Roman" w:hAnsi="Times New Roman" w:cs="Times New Roman" w:eastAsia="Times New Roman"/>
                <w:sz w:val="24"/>
                <w:szCs w:val="24"/>
              </w:rPr>
              <w:t xml:space="preserve">Содержание</w:t>
            </w:r>
          </w:p>
        </w:tc>
      </w:tr>
      <w:tr>
        <w:trPr/>
        <w:tc>
          <w:tcPr>
            <w:tcW w:w="481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Анализ рынка и конкурентов</w:t>
            </w:r>
          </w:p>
        </w:tc>
        <w:tc>
          <w:tcPr>
            <w:tcW w:w="481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Изучение ёмкости рынка, тенденций, конкурентов и потребностей клиентов</w:t>
            </w:r>
          </w:p>
        </w:tc>
      </w:tr>
      <w:tr>
        <w:trPr/>
        <w:tc>
          <w:tcPr>
            <w:tcW w:w="481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Определение целевой аудитории</w:t>
            </w:r>
          </w:p>
        </w:tc>
        <w:tc>
          <w:tcPr>
            <w:tcW w:w="481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Выбор сегментов, для которых продукт представляет наибольшую ценность</w:t>
            </w:r>
          </w:p>
        </w:tc>
      </w:tr>
      <w:tr>
        <w:trPr/>
        <w:tc>
          <w:tcPr>
            <w:tcW w:w="481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Формирование ценностного предложения</w:t>
            </w:r>
          </w:p>
        </w:tc>
        <w:tc>
          <w:tcPr>
            <w:tcW w:w="481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Объяснение, какую проблему решает продукт и чем он отличается от альтернатив</w:t>
            </w:r>
          </w:p>
        </w:tc>
      </w:tr>
      <w:tr>
        <w:trPr/>
        <w:tc>
          <w:tcPr>
            <w:tcW w:w="481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Выбор каналов продвижения</w:t>
            </w:r>
          </w:p>
        </w:tc>
        <w:tc>
          <w:tcPr>
            <w:tcW w:w="481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Определение наиболее эффективных коммуникационных каналов</w:t>
            </w:r>
          </w:p>
        </w:tc>
      </w:tr>
      <w:tr>
        <w:trPr/>
        <w:tc>
          <w:tcPr>
            <w:tcW w:w="481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Тестирование коммуникаций</w:t>
            </w:r>
          </w:p>
        </w:tc>
        <w:tc>
          <w:tcPr>
            <w:tcW w:w="481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Проверка рекламных сообщений и креативов на целевой аудитории</w:t>
            </w:r>
          </w:p>
        </w:tc>
      </w:tr>
      <w:tr>
        <w:trPr/>
        <w:tc>
          <w:tcPr>
            <w:tcW w:w="481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Оценка результатов</w:t>
            </w:r>
          </w:p>
        </w:tc>
        <w:tc>
          <w:tcPr>
            <w:tcW w:w="481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Анализ эффективности продвижения и корректировка стратегии</w:t>
            </w:r>
          </w:p>
        </w:tc>
      </w:tr>
    </w:tbl>
    <w:p>
      <w:pPr>
        <w:jc w:val="both"/>
        <w:ind w:firstLine="709"/>
        <w:spacing w:before="0" w:after="0" w:line="360" w:lineRule="auto"/>
      </w:pPr>
      <w:r>
        <w:rPr>
          <w:rFonts w:ascii="Times New Roman" w:hAnsi="Times New Roman" w:cs="Times New Roman" w:eastAsia="Times New Roman"/>
          <w:sz w:val="28"/>
          <w:szCs w:val="28"/>
        </w:rPr>
        <w:t xml:space="preserve">Источник: составлено автором по данным [10, с. 5; 17, с. 412; 19, с. 156]</w:t>
      </w:r>
    </w:p>
    <w:p>
      <w:pPr>
        <w:jc w:val="both"/>
        <w:ind w:firstLine="709"/>
        <w:spacing w:before="0" w:after="0" w:line="360" w:lineRule="auto"/>
      </w:pPr>
      <w:r>
        <w:rPr>
          <w:rFonts w:ascii="Times New Roman" w:hAnsi="Times New Roman" w:cs="Times New Roman" w:eastAsia="Times New Roman"/>
          <w:sz w:val="28"/>
          <w:szCs w:val="28"/>
        </w:rPr>
        <w:t xml:space="preserve">Стратегия продвижения нового продукта рассматривается как последовательный управленческий процесс, который включает анализ, планирование, реализацию, оценку и корректировку маркетинговых действий [17, с. 412].</w:t>
      </w:r>
    </w:p>
    <w:p>
      <w:pPr>
        <w:jc w:val="both"/>
        <w:ind w:firstLine="709"/>
        <w:spacing w:before="0" w:after="0" w:line="360" w:lineRule="auto"/>
      </w:pPr>
      <w:r>
        <w:rPr>
          <w:rFonts w:ascii="Times New Roman" w:hAnsi="Times New Roman" w:cs="Times New Roman" w:eastAsia="Times New Roman"/>
          <w:sz w:val="28"/>
          <w:szCs w:val="28"/>
        </w:rPr>
        <w:t xml:space="preserve">Стратегические подходы к продвижению инновационных товаров и услуг включают стратегию проталкивания, ориентированную на работу с посредниками и партнёрами для обеспечения широкой доступности продукта в каналах распределения, и стратегию вытягивания, направленную на прямое воздействие на конечных потребителей с целью формирования спроса и создания рыночного давления на посредников [17, с. 567; 19, с. 198]. В контексте инновационных продуктов наиболее эффективной является интегрированная стратегия, сочетающая элементы обоих подходов и обеспечивающая синергетический эффект от одновременного воздействия на различные уровни распределительной цепи [10, с. 7; 23, с. 7]. Такие решения могут продвигаться одновременно для разных групп потребителей: внутренних пользователей организации, корпоративных клиентов, партнёрских компаний и конечных пользователей цифровых сервисов. Основные стратегии продвижения инновационного продукта представлены в таблице 1.2.2.</w:t>
      </w:r>
    </w:p>
    <w:p>
      <w:pPr>
        <w:jc w:val="both"/>
        <w:ind w:firstLine="709"/>
        <w:spacing w:before="0" w:after="0" w:line="360" w:lineRule="auto"/>
      </w:pPr>
      <w:r>
        <w:rPr>
          <w:rFonts w:ascii="Times New Roman" w:hAnsi="Times New Roman" w:cs="Times New Roman" w:eastAsia="Times New Roman"/>
          <w:sz w:val="28"/>
          <w:szCs w:val="28"/>
        </w:rPr>
        <w:t xml:space="preserve">Таблица 1.2.2</w:t>
      </w:r>
    </w:p>
    <w:p>
      <w:pPr>
        <w:jc w:val="both"/>
        <w:ind w:firstLine="709"/>
        <w:spacing w:before="0" w:after="0" w:line="360" w:lineRule="auto"/>
      </w:pPr>
      <w:r>
        <w:rPr>
          <w:rFonts w:ascii="Times New Roman" w:hAnsi="Times New Roman" w:cs="Times New Roman" w:eastAsia="Times New Roman"/>
          <w:sz w:val="28"/>
          <w:szCs w:val="28"/>
        </w:rPr>
        <w:t xml:space="preserve">Основные стратегии продвижения инновационного продукта</w:t>
      </w: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213"/>
        <w:gridCol w:w="3213"/>
        <w:gridCol w:w="3213"/>
      </w:tblGrid>
      <w:tr>
        <w:trPr>
          <w:tblHeader/>
        </w:trPr>
        <w:tc>
          <w:tcPr>
            <w:tcW w:w="3213" w:type="dxa"/>
            <w:vAlign w:val="center"/>
          </w:tcPr>
          <w:p>
            <w:pPr>
              <w:spacing w:before="40" w:after="40" w:line="240" w:lineRule="auto"/>
              <w:ind w:firstLine="0"/>
              <w:jc w:val="center"/>
            </w:pPr>
            <w:r>
              <w:rPr>
                <w:b/>
                <w:bCs/>
                <w:rFonts w:ascii="Times New Roman" w:hAnsi="Times New Roman" w:cs="Times New Roman" w:eastAsia="Times New Roman"/>
                <w:sz w:val="24"/>
                <w:szCs w:val="24"/>
              </w:rPr>
              <w:t xml:space="preserve">Стратегия</w:t>
            </w:r>
          </w:p>
        </w:tc>
        <w:tc>
          <w:tcPr>
            <w:tcW w:w="3213" w:type="dxa"/>
            <w:vAlign w:val="center"/>
          </w:tcPr>
          <w:p>
            <w:pPr>
              <w:spacing w:before="40" w:after="40" w:line="240" w:lineRule="auto"/>
              <w:ind w:firstLine="0"/>
              <w:jc w:val="center"/>
            </w:pPr>
            <w:r>
              <w:rPr>
                <w:b/>
                <w:bCs/>
                <w:rFonts w:ascii="Times New Roman" w:hAnsi="Times New Roman" w:cs="Times New Roman" w:eastAsia="Times New Roman"/>
                <w:sz w:val="24"/>
                <w:szCs w:val="24"/>
              </w:rPr>
              <w:t xml:space="preserve">Содержание</w:t>
            </w:r>
          </w:p>
        </w:tc>
        <w:tc>
          <w:tcPr>
            <w:tcW w:w="3213" w:type="dxa"/>
            <w:vAlign w:val="center"/>
          </w:tcPr>
          <w:p>
            <w:pPr>
              <w:spacing w:before="40" w:after="40" w:line="240" w:lineRule="auto"/>
              <w:ind w:firstLine="0"/>
              <w:jc w:val="center"/>
            </w:pPr>
            <w:r>
              <w:rPr>
                <w:b/>
                <w:bCs/>
                <w:rFonts w:ascii="Times New Roman" w:hAnsi="Times New Roman" w:cs="Times New Roman" w:eastAsia="Times New Roman"/>
                <w:sz w:val="24"/>
                <w:szCs w:val="24"/>
              </w:rPr>
              <w:t xml:space="preserve">Значение для инновационного продукта</w:t>
            </w:r>
          </w:p>
        </w:tc>
      </w:tr>
      <w:tr>
        <w:trPr/>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Стратегия проталкивания</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Продвижение через партнёров</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Позволяет внедрять продукт через существующие каналы взаимодействия</w:t>
            </w:r>
          </w:p>
        </w:tc>
      </w:tr>
      <w:tr>
        <w:trPr/>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Стратегия вытягивания</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Формирование спроса у конечных потребителей</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Повышает осведомлённость и интерес к продукту</w:t>
            </w:r>
          </w:p>
        </w:tc>
      </w:tr>
      <w:tr>
        <w:trPr/>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Интегрированная стратегия</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Сочетание push- и pull-подходов</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Подходит для сложных инновационных продуктов</w:t>
            </w:r>
          </w:p>
        </w:tc>
      </w:tr>
      <w:tr>
        <w:trPr/>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Партнёрская стратегия</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Продвижение через совместные проекты с другими организациями</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Расширяет охват и повышает доверие к продукту</w:t>
            </w:r>
          </w:p>
        </w:tc>
      </w:tr>
    </w:tbl>
    <w:p>
      <w:pPr>
        <w:jc w:val="both"/>
        <w:ind w:firstLine="709"/>
        <w:spacing w:before="0" w:after="0" w:line="360" w:lineRule="auto"/>
      </w:pPr>
      <w:r>
        <w:rPr>
          <w:rFonts w:ascii="Times New Roman" w:hAnsi="Times New Roman" w:cs="Times New Roman" w:eastAsia="Times New Roman"/>
          <w:sz w:val="28"/>
          <w:szCs w:val="28"/>
        </w:rPr>
        <w:t xml:space="preserve">Источник: составлено автором по данным [10, с. 7; 17, с. 567; 19, с. 198; 23, с. 7]</w:t>
      </w:r>
    </w:p>
    <w:p>
      <w:pPr>
        <w:jc w:val="both"/>
        <w:ind w:firstLine="709"/>
        <w:spacing w:before="0" w:after="0" w:line="360" w:lineRule="auto"/>
      </w:pPr>
      <w:r>
        <w:rPr>
          <w:rFonts w:ascii="Times New Roman" w:hAnsi="Times New Roman" w:cs="Times New Roman" w:eastAsia="Times New Roman"/>
          <w:sz w:val="28"/>
          <w:szCs w:val="28"/>
        </w:rPr>
        <w:t xml:space="preserve">Для биометрических новых продуктов наиболее подходит интегрированная стратегия, потому что требуется работа как с организациями-заказчиками, так и с конечными пользователями [4, с. 48; 8, с. 106]. На примере Face2 это проявляется в том, что продуктовая линейка включает решения для контроля доступа, учёта рабочего времени, оплаты по лицу, подтверждения возраста, регистрации в гостинице, а также внедрения коммерческой биометрической системы для сторонних организаций [27]. Следовательно, продвижение такого продукта должно сочетать B2C, B2B и внутренние корпоративные коммуникации.</w:t>
      </w:r>
    </w:p>
    <w:p>
      <w:pPr>
        <w:jc w:val="both"/>
        <w:ind w:firstLine="709"/>
        <w:spacing w:before="0" w:after="0" w:line="360" w:lineRule="auto"/>
      </w:pPr>
      <w:r>
        <w:rPr>
          <w:rFonts w:ascii="Times New Roman" w:hAnsi="Times New Roman" w:cs="Times New Roman" w:eastAsia="Times New Roman"/>
          <w:sz w:val="28"/>
          <w:szCs w:val="28"/>
        </w:rPr>
        <w:t xml:space="preserve">Для цифровых инновационных продуктов, включая биометрические системы банков, особую актуальность приобретает стратегия прямого маркетинга, позволяющая установить непосредственную коммуникацию с потенциальными пользователями, собрать детальную обратную связь и персонализировать маркетинговые сообщения в соответствии с индивидуальными потребностями и предпочтениями целевых сегментов [12, с. 87; 17, с. 612].</w:t>
      </w:r>
    </w:p>
    <w:p>
      <w:pPr>
        <w:jc w:val="both"/>
        <w:ind w:firstLine="709"/>
        <w:spacing w:before="0" w:after="0" w:line="360" w:lineRule="auto"/>
      </w:pPr>
      <w:r>
        <w:rPr>
          <w:rFonts w:ascii="Times New Roman" w:hAnsi="Times New Roman" w:cs="Times New Roman" w:eastAsia="Times New Roman"/>
          <w:sz w:val="28"/>
          <w:szCs w:val="28"/>
        </w:rPr>
        <w:t xml:space="preserve">Одним из базовых инструментов разработки стратегии продвижения инновационного продукта является модель STP, которая включает сегментацию рынка, выбор целевых сегментов и позиционирование продукта [17, с. 314; 19, с. 175]. Данная модель позволяет определить, для каких групп потребителей продукт представляет наибольшую ценность, и сформировать для них соответствующее ценностное предложение. Структура модели STP показана на рисунке 1.2.1.</w:t>
      </w:r>
    </w:p>
    <w:p>
      <w:pPr>
        <w:spacing w:before="0" w:after="0" w:line="240" w:lineRule="auto"/>
        <w:ind w:firstLine="0"/>
        <w:jc w:val="left"/>
      </w:pPr>
      <w:r>
        <w:rPr>
          <w:rFonts w:ascii="Courier New" w:hAnsi="Courier New" w:cs="Courier New" w:eastAsia="Courier New"/>
          <w:sz w:val="20"/>
          <w:szCs w:val="20"/>
        </w:rPr>
        <w:t xml:space="preserve">   ┌─────────────────┐    ┌─────────────────┐    ┌─────────────────┐</w:t>
      </w:r>
    </w:p>
    <w:p>
      <w:pPr>
        <w:spacing w:before="0" w:after="0" w:line="240" w:lineRule="auto"/>
        <w:ind w:firstLine="0"/>
        <w:jc w:val="left"/>
      </w:pPr>
      <w:r>
        <w:rPr>
          <w:rFonts w:ascii="Courier New" w:hAnsi="Courier New" w:cs="Courier New" w:eastAsia="Courier New"/>
          <w:sz w:val="20"/>
          <w:szCs w:val="20"/>
        </w:rPr>
        <w:t xml:space="preserve">   │  Segmentation   │ ──▶│    Targeting    │ ──▶│  Positioning    │</w:t>
      </w:r>
    </w:p>
    <w:p>
      <w:pPr>
        <w:spacing w:before="0" w:after="0" w:line="240" w:lineRule="auto"/>
        <w:ind w:firstLine="0"/>
        <w:jc w:val="left"/>
      </w:pPr>
      <w:r>
        <w:rPr>
          <w:rFonts w:ascii="Courier New" w:hAnsi="Courier New" w:cs="Courier New" w:eastAsia="Courier New"/>
          <w:sz w:val="20"/>
          <w:szCs w:val="20"/>
        </w:rPr>
        <w:t xml:space="preserve">   │  Сегментация    │    │  Выбор целевых  │    │ Позиционирование│</w:t>
      </w:r>
    </w:p>
    <w:p>
      <w:pPr>
        <w:spacing w:before="0" w:after="0" w:line="240" w:lineRule="auto"/>
        <w:ind w:firstLine="0"/>
        <w:jc w:val="left"/>
      </w:pPr>
      <w:r>
        <w:rPr>
          <w:rFonts w:ascii="Courier New" w:hAnsi="Courier New" w:cs="Courier New" w:eastAsia="Courier New"/>
          <w:sz w:val="20"/>
          <w:szCs w:val="20"/>
        </w:rPr>
        <w:t xml:space="preserve">   │  рынка по       │    │  сегментов по   │    │ продукта в созна-│</w:t>
      </w:r>
    </w:p>
    <w:p>
      <w:pPr>
        <w:spacing w:before="0" w:after="0" w:line="240" w:lineRule="auto"/>
        <w:ind w:firstLine="0"/>
        <w:jc w:val="left"/>
      </w:pPr>
      <w:r>
        <w:rPr>
          <w:rFonts w:ascii="Courier New" w:hAnsi="Courier New" w:cs="Courier New" w:eastAsia="Courier New"/>
          <w:sz w:val="20"/>
          <w:szCs w:val="20"/>
        </w:rPr>
        <w:t xml:space="preserve">   │  потребностям   │    │  привлекатель-  │    │ нии целевой ауди-│</w:t>
      </w:r>
    </w:p>
    <w:p>
      <w:pPr>
        <w:spacing w:before="0" w:after="0" w:line="240" w:lineRule="auto"/>
        <w:ind w:firstLine="0"/>
        <w:jc w:val="left"/>
      </w:pPr>
      <w:r>
        <w:rPr>
          <w:rFonts w:ascii="Courier New" w:hAnsi="Courier New" w:cs="Courier New" w:eastAsia="Courier New"/>
          <w:sz w:val="20"/>
          <w:szCs w:val="20"/>
        </w:rPr>
        <w:t xml:space="preserve">   │  и поведению    │    │  ности и доступ-│    │ тории относитель-│</w:t>
      </w:r>
    </w:p>
    <w:p>
      <w:pPr>
        <w:spacing w:before="0" w:after="0" w:line="240" w:lineRule="auto"/>
        <w:ind w:firstLine="0"/>
        <w:jc w:val="left"/>
      </w:pPr>
      <w:r>
        <w:rPr>
          <w:rFonts w:ascii="Courier New" w:hAnsi="Courier New" w:cs="Courier New" w:eastAsia="Courier New"/>
          <w:sz w:val="20"/>
          <w:szCs w:val="20"/>
        </w:rPr>
        <w:t xml:space="preserve">   │                 │    │  ности          │    │ но конкурентов   │</w:t>
      </w:r>
    </w:p>
    <w:p>
      <w:pPr>
        <w:spacing w:before="0" w:after="0" w:line="240" w:lineRule="auto"/>
        <w:ind w:firstLine="0"/>
        <w:jc w:val="left"/>
      </w:pPr>
      <w:r>
        <w:rPr>
          <w:rFonts w:ascii="Courier New" w:hAnsi="Courier New" w:cs="Courier New" w:eastAsia="Courier New"/>
          <w:sz w:val="20"/>
          <w:szCs w:val="20"/>
        </w:rPr>
        <w:t xml:space="preserve">   └─────────────────┘    └─────────────────┘    └─────────────────┘</w:t>
      </w:r>
    </w:p>
    <w:p>
      <w:pPr>
        <w:jc w:val="both"/>
        <w:ind w:firstLine="709"/>
        <w:spacing w:before="0" w:after="0" w:line="360" w:lineRule="auto"/>
      </w:pPr>
      <w:r>
        <w:rPr>
          <w:rFonts w:ascii="Times New Roman" w:hAnsi="Times New Roman" w:cs="Times New Roman" w:eastAsia="Times New Roman"/>
          <w:sz w:val="28"/>
          <w:szCs w:val="28"/>
        </w:rPr>
        <w:t xml:space="preserve">Источник: составлено автором по данным [17, с. 314; 19, с. 175]</w:t>
      </w:r>
    </w:p>
    <w:p>
      <w:pPr>
        <w:jc w:val="both"/>
        <w:ind w:firstLine="709"/>
        <w:spacing w:before="0" w:after="0" w:line="360" w:lineRule="auto"/>
      </w:pPr>
      <w:r>
        <w:rPr>
          <w:rFonts w:ascii="Times New Roman" w:hAnsi="Times New Roman" w:cs="Times New Roman" w:eastAsia="Times New Roman"/>
          <w:sz w:val="28"/>
          <w:szCs w:val="28"/>
        </w:rPr>
        <w:t xml:space="preserve">Рис. 1.2.1. Модель STP</w:t>
      </w:r>
    </w:p>
    <w:p>
      <w:pPr>
        <w:jc w:val="both"/>
        <w:ind w:firstLine="709"/>
        <w:spacing w:before="0" w:after="0" w:line="360" w:lineRule="auto"/>
      </w:pPr>
      <w:r>
        <w:rPr>
          <w:rFonts w:ascii="Times New Roman" w:hAnsi="Times New Roman" w:cs="Times New Roman" w:eastAsia="Times New Roman"/>
          <w:sz w:val="28"/>
          <w:szCs w:val="28"/>
        </w:rPr>
        <w:t xml:space="preserve">Логика STP делает продвижение инновационного продукта управляемым процессом: вместо обращения к рынку «в целом» компания работает только с теми сегментами, для которых ценностное предложение реально значимо, и формирует под каждый сегмент собственное позиционирование. Для биометрических банковских продуктов это особенно важно, поскольку аудитории и сценарии использования принципиально разные.</w:t>
      </w:r>
    </w:p>
    <w:p>
      <w:pPr>
        <w:jc w:val="both"/>
        <w:ind w:firstLine="709"/>
        <w:spacing w:before="0" w:after="0" w:line="360" w:lineRule="auto"/>
      </w:pPr>
      <w:r>
        <w:rPr>
          <w:rFonts w:ascii="Times New Roman" w:hAnsi="Times New Roman" w:cs="Times New Roman" w:eastAsia="Times New Roman"/>
          <w:sz w:val="28"/>
          <w:szCs w:val="28"/>
        </w:rPr>
        <w:t xml:space="preserve">Сегментация позволяет разделить потенциальных потребителей на группы в зависимости от их потребностей, поведения, уровня цифровой грамотности и готовности к использованию инновационных решений [11, с. 124]. Таргетинг предполагает выбор тех сегментов, для которых продукт представляет наибольшую ценность. Позиционирование, в свою очередь, определяет, какое место продукт должен занять в сознании целевой аудитории по сравнению с альтернативными решениями [17, с. 318].</w:t>
      </w:r>
    </w:p>
    <w:p>
      <w:pPr>
        <w:jc w:val="both"/>
        <w:ind w:firstLine="709"/>
        <w:spacing w:before="0" w:after="0" w:line="360" w:lineRule="auto"/>
      </w:pPr>
      <w:r>
        <w:rPr>
          <w:rFonts w:ascii="Times New Roman" w:hAnsi="Times New Roman" w:cs="Times New Roman" w:eastAsia="Times New Roman"/>
          <w:sz w:val="28"/>
          <w:szCs w:val="28"/>
        </w:rPr>
        <w:t xml:space="preserve">В случае биометрического продукта Face2 целевые аудитории различаются по характеру использования технологии. К ним относятся сотрудники банка, корпоративные клиенты, партнёрские организации, а также конечные пользователи цифровых сервисов [27]. Для каждой группы требуется разный акцент в продвижении:</w:t>
      </w:r>
    </w:p>
    <w:p>
      <w:pPr>
        <w:jc w:val="both"/>
        <w:ind w:firstLine="709"/>
        <w:spacing w:before="0" w:after="0" w:line="360" w:lineRule="auto"/>
      </w:pPr>
      <w:r>
        <w:rPr>
          <w:rFonts w:ascii="Times New Roman" w:hAnsi="Times New Roman" w:cs="Times New Roman" w:eastAsia="Times New Roman"/>
          <w:sz w:val="28"/>
          <w:szCs w:val="28"/>
        </w:rPr>
        <w:t xml:space="preserve">а) для сотрудников важны удобство и скорость работы;</w:t>
      </w:r>
    </w:p>
    <w:p>
      <w:pPr>
        <w:jc w:val="both"/>
        <w:ind w:firstLine="709"/>
        <w:spacing w:before="0" w:after="0" w:line="360" w:lineRule="auto"/>
      </w:pPr>
      <w:r>
        <w:rPr>
          <w:rFonts w:ascii="Times New Roman" w:hAnsi="Times New Roman" w:cs="Times New Roman" w:eastAsia="Times New Roman"/>
          <w:sz w:val="28"/>
          <w:szCs w:val="28"/>
        </w:rPr>
        <w:t xml:space="preserve">б) для корпоративных клиентов — безопасность и эффективность бизнес-процессов;</w:t>
      </w:r>
    </w:p>
    <w:p>
      <w:pPr>
        <w:jc w:val="both"/>
        <w:ind w:firstLine="709"/>
        <w:spacing w:before="0" w:after="0" w:line="360" w:lineRule="auto"/>
      </w:pPr>
      <w:r>
        <w:rPr>
          <w:rFonts w:ascii="Times New Roman" w:hAnsi="Times New Roman" w:cs="Times New Roman" w:eastAsia="Times New Roman"/>
          <w:sz w:val="28"/>
          <w:szCs w:val="28"/>
        </w:rPr>
        <w:t xml:space="preserve">в) для конечных пользователей — простота, надёжность и защита персональных данных.</w:t>
      </w:r>
    </w:p>
    <w:p>
      <w:pPr>
        <w:jc w:val="both"/>
        <w:ind w:firstLine="709"/>
        <w:spacing w:before="0" w:after="0" w:line="360" w:lineRule="auto"/>
      </w:pPr>
      <w:r>
        <w:rPr>
          <w:rFonts w:ascii="Times New Roman" w:hAnsi="Times New Roman" w:cs="Times New Roman" w:eastAsia="Times New Roman"/>
          <w:sz w:val="28"/>
          <w:szCs w:val="28"/>
        </w:rPr>
        <w:t xml:space="preserve">Позиционирование инновационного продукта определяет его восприятие целевой аудиторией относительно конкурирующих альтернатив и формирует основу коммуникационной стратегии [19, с. 188]. Эффективное позиционирование требует выявления уникальных конкурентных преимуществ, значимых для целевых потребителей, и формулирования чёткого ценностного предложения, отражающего функциональные и эмоциональные выгоды использования продукта [17, с. 327].</w:t>
      </w:r>
    </w:p>
    <w:p>
      <w:pPr>
        <w:jc w:val="both"/>
        <w:ind w:firstLine="709"/>
        <w:spacing w:before="0" w:after="0" w:line="360" w:lineRule="auto"/>
      </w:pPr>
      <w:r>
        <w:rPr>
          <w:rFonts w:ascii="Times New Roman" w:hAnsi="Times New Roman" w:cs="Times New Roman" w:eastAsia="Times New Roman"/>
          <w:sz w:val="28"/>
          <w:szCs w:val="28"/>
        </w:rPr>
        <w:t xml:space="preserve">Стратегии позиционирования продуктов нового поколения могут базироваться на технологическом превосходстве, которое подчёркивает передовой характер используемых решений, на функциональных преимуществах, демонстрирующих способность продукта лучше удовлетворять потребности пользователей, или на эмоциональной привлекательности, связанной с имиджевыми характеристиками бренда и социальным статусом потребителя [14, с. 42; 19, с. 192]. Для биометрических банковских продуктов ключевыми аспектами позиционирования являются безопасность, удобство использования и технологическая инновационность, создающие комплексное ценностное предложение для различных сегментов клиентов [4, с. 49; 8, с. 107].</w:t>
      </w:r>
    </w:p>
    <w:p>
      <w:pPr>
        <w:jc w:val="both"/>
        <w:ind w:firstLine="709"/>
        <w:spacing w:before="0" w:after="0" w:line="360" w:lineRule="auto"/>
      </w:pPr>
      <w:r>
        <w:rPr>
          <w:rFonts w:ascii="Times New Roman" w:hAnsi="Times New Roman" w:cs="Times New Roman" w:eastAsia="Times New Roman"/>
          <w:sz w:val="28"/>
          <w:szCs w:val="28"/>
        </w:rPr>
        <w:t xml:space="preserve">Для разработки стратегии продвижения инновационного продукта используется расширенная модель комплекса маркетинга 7P, включающая продукт, цену, каналы распространения, продвижение, персонал, процессы и материальные/цифровые доказательства надёжности [17, с. 354; 19, с. 215]. Данная модель особенно актуальна для цифровых и банковских продуктов, поскольку их ценность формируется не только функциональными характеристиками, но и качеством пользовательского опыта, уровнем доверия и прозрачностью процессов обслуживания [12, с. 92]. Описание модели представлено в таблице 1.2.3.</w:t>
      </w:r>
    </w:p>
    <w:p>
      <w:pPr>
        <w:jc w:val="both"/>
        <w:ind w:firstLine="709"/>
        <w:spacing w:before="0" w:after="0" w:line="360" w:lineRule="auto"/>
      </w:pPr>
      <w:r>
        <w:rPr>
          <w:rFonts w:ascii="Times New Roman" w:hAnsi="Times New Roman" w:cs="Times New Roman" w:eastAsia="Times New Roman"/>
          <w:sz w:val="28"/>
          <w:szCs w:val="28"/>
        </w:rPr>
        <w:t xml:space="preserve">Таблица 1.2.3</w:t>
      </w:r>
    </w:p>
    <w:p>
      <w:pPr>
        <w:jc w:val="both"/>
        <w:ind w:firstLine="709"/>
        <w:spacing w:before="0" w:after="0" w:line="360" w:lineRule="auto"/>
      </w:pPr>
      <w:r>
        <w:rPr>
          <w:rFonts w:ascii="Times New Roman" w:hAnsi="Times New Roman" w:cs="Times New Roman" w:eastAsia="Times New Roman"/>
          <w:sz w:val="28"/>
          <w:szCs w:val="28"/>
        </w:rPr>
        <w:t xml:space="preserve">Расширенный комплекс маркетинга 7P применительно к инновационному продукту</w:t>
      </w: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213"/>
        <w:gridCol w:w="3213"/>
        <w:gridCol w:w="3213"/>
      </w:tblGrid>
      <w:tr>
        <w:trPr>
          <w:tblHeader/>
        </w:trPr>
        <w:tc>
          <w:tcPr>
            <w:tcW w:w="3213" w:type="dxa"/>
            <w:vAlign w:val="center"/>
          </w:tcPr>
          <w:p>
            <w:pPr>
              <w:spacing w:before="40" w:after="40" w:line="240" w:lineRule="auto"/>
              <w:ind w:firstLine="0"/>
              <w:jc w:val="center"/>
            </w:pPr>
            <w:r>
              <w:rPr>
                <w:b/>
                <w:bCs/>
                <w:rFonts w:ascii="Times New Roman" w:hAnsi="Times New Roman" w:cs="Times New Roman" w:eastAsia="Times New Roman"/>
                <w:sz w:val="24"/>
                <w:szCs w:val="24"/>
              </w:rPr>
              <w:t xml:space="preserve">Элемент 7P</w:t>
            </w:r>
          </w:p>
        </w:tc>
        <w:tc>
          <w:tcPr>
            <w:tcW w:w="3213" w:type="dxa"/>
            <w:vAlign w:val="center"/>
          </w:tcPr>
          <w:p>
            <w:pPr>
              <w:spacing w:before="40" w:after="40" w:line="240" w:lineRule="auto"/>
              <w:ind w:firstLine="0"/>
              <w:jc w:val="center"/>
            </w:pPr>
            <w:r>
              <w:rPr>
                <w:b/>
                <w:bCs/>
                <w:rFonts w:ascii="Times New Roman" w:hAnsi="Times New Roman" w:cs="Times New Roman" w:eastAsia="Times New Roman"/>
                <w:sz w:val="24"/>
                <w:szCs w:val="24"/>
              </w:rPr>
              <w:t xml:space="preserve">Содержание</w:t>
            </w:r>
          </w:p>
        </w:tc>
        <w:tc>
          <w:tcPr>
            <w:tcW w:w="3213" w:type="dxa"/>
            <w:vAlign w:val="center"/>
          </w:tcPr>
          <w:p>
            <w:pPr>
              <w:spacing w:before="40" w:after="40" w:line="240" w:lineRule="auto"/>
              <w:ind w:firstLine="0"/>
              <w:jc w:val="center"/>
            </w:pPr>
            <w:r>
              <w:rPr>
                <w:b/>
                <w:bCs/>
                <w:rFonts w:ascii="Times New Roman" w:hAnsi="Times New Roman" w:cs="Times New Roman" w:eastAsia="Times New Roman"/>
                <w:sz w:val="24"/>
                <w:szCs w:val="24"/>
              </w:rPr>
              <w:t xml:space="preserve">Значение для продвижения инновационного продукта</w:t>
            </w:r>
          </w:p>
        </w:tc>
      </w:tr>
      <w:tr>
        <w:trPr/>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Product</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Характеристики, функции и ценность продукта</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Позволяет показать, какую проблему решает продукт и чем он отличается от существующих решений</w:t>
            </w:r>
          </w:p>
        </w:tc>
      </w:tr>
      <w:tr>
        <w:trPr/>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Price</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Стоимость использования или внедрения</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Влияет на готовность потребителя попробовать продукт и оценить его выгоду</w:t>
            </w:r>
          </w:p>
        </w:tc>
      </w:tr>
      <w:tr>
        <w:trPr/>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Place</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Каналы распространения и доступность продукта</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Определяет, через какие каналы продукт становится доступен целевой аудитории</w:t>
            </w:r>
          </w:p>
        </w:tc>
      </w:tr>
      <w:tr>
        <w:trPr/>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Promotion</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Инструменты продвижения и коммуникации</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Формирует осведомлённость, интерес и доверие к новому продукту</w:t>
            </w:r>
          </w:p>
        </w:tc>
      </w:tr>
      <w:tr>
        <w:trPr/>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People</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Сотрудники и консультанты</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Влияют на качество объяснения продукта и сопровождение пользователей</w:t>
            </w:r>
          </w:p>
        </w:tc>
      </w:tr>
      <w:tr>
        <w:trPr/>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Process</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Процесс использования продукта</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Определяет удобство, простоту и скорость взаимодействия пользователя с продуктом</w:t>
            </w:r>
          </w:p>
        </w:tc>
      </w:tr>
      <w:tr>
        <w:trPr/>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Physical evidence</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Доказательства надёжности и качества</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Помогают снизить недоверие к инновации через отзывы, кейсы, сертификаты, демонстрации</w:t>
            </w:r>
          </w:p>
        </w:tc>
      </w:tr>
    </w:tbl>
    <w:p>
      <w:pPr>
        <w:jc w:val="both"/>
        <w:ind w:firstLine="709"/>
        <w:spacing w:before="0" w:after="0" w:line="360" w:lineRule="auto"/>
      </w:pPr>
      <w:r>
        <w:rPr>
          <w:rFonts w:ascii="Times New Roman" w:hAnsi="Times New Roman" w:cs="Times New Roman" w:eastAsia="Times New Roman"/>
          <w:sz w:val="28"/>
          <w:szCs w:val="28"/>
        </w:rPr>
        <w:t xml:space="preserve">Источник: составлено автором по данным [17, с. 354; 19, с. 215]</w:t>
      </w:r>
    </w:p>
    <w:p>
      <w:pPr>
        <w:jc w:val="both"/>
        <w:ind w:firstLine="709"/>
        <w:spacing w:before="0" w:after="0" w:line="360" w:lineRule="auto"/>
      </w:pPr>
      <w:r>
        <w:rPr>
          <w:rFonts w:ascii="Times New Roman" w:hAnsi="Times New Roman" w:cs="Times New Roman" w:eastAsia="Times New Roman"/>
          <w:sz w:val="28"/>
          <w:szCs w:val="28"/>
        </w:rPr>
        <w:t xml:space="preserve">Модель 7P позволяет рассматривать продвижение инновационного продукта как комплексную систему, включающую не только коммуникационные мероприятия, но и качество самого продукта, удобство его использования, каналы доступа, сопровождение пользователей и доказательства надёжности. Для инновационных технологических продуктов особое значение имеют элементы People, Process и Physical evidence — именно они помогают снизить недоверие потребителей и сформировать положительный пользовательский опыт [4, с. 50; 8, с. 109].</w:t>
      </w:r>
    </w:p>
    <w:p>
      <w:pPr>
        <w:jc w:val="both"/>
        <w:ind w:firstLine="709"/>
        <w:spacing w:before="0" w:after="0" w:line="360" w:lineRule="auto"/>
      </w:pPr>
      <w:r>
        <w:rPr>
          <w:rFonts w:ascii="Times New Roman" w:hAnsi="Times New Roman" w:cs="Times New Roman" w:eastAsia="Times New Roman"/>
          <w:sz w:val="28"/>
          <w:szCs w:val="28"/>
        </w:rPr>
        <w:t xml:space="preserve">Коммуникационная стратегия продвижения инновационного продукта определяет выбор каналов коммуникации, формат маркетинговых сообщений, интенсивность коммуникационного воздействия и распределение бюджета между различными инструментами продвижения [17, с. 472; 18, с. 638].</w:t>
      </w:r>
    </w:p>
    <w:p>
      <w:pPr>
        <w:jc w:val="both"/>
        <w:ind w:firstLine="709"/>
        <w:spacing w:before="0" w:after="0" w:line="360" w:lineRule="auto"/>
      </w:pPr>
      <w:r>
        <w:rPr>
          <w:rFonts w:ascii="Times New Roman" w:hAnsi="Times New Roman" w:cs="Times New Roman" w:eastAsia="Times New Roman"/>
          <w:sz w:val="28"/>
          <w:szCs w:val="28"/>
        </w:rPr>
        <w:t xml:space="preserve">На начальном этапе вывода инновационного продукта на рынок приоритетными задачами коммуникации являются информирование целевой аудитории о существовании продукта, разъяснение функциональных возможностей и преимуществ, формирование базового понимания способов использования и снижение воспринимаемых рисков покупки [10, с. 6; 20, с. 10]. Информационная функция реализуется через образовательный контент, демонстрационные мероприятия, детальные описания продукта и экспертные материалы, помогающие потенциальным пользователям осознать ценность инновационного решения. По мере распространения продукта на рынке акцент коммуникационной стратегии смещается на формирование эмоциональной привязанности к бренду, стимулирование повторных использований и создание сообщества лояльных пользователей [17, с. 478].</w:t>
      </w:r>
    </w:p>
    <w:p>
      <w:pPr>
        <w:jc w:val="both"/>
        <w:ind w:firstLine="709"/>
        <w:spacing w:before="0" w:after="0" w:line="360" w:lineRule="auto"/>
      </w:pPr>
      <w:r>
        <w:rPr>
          <w:rFonts w:ascii="Times New Roman" w:hAnsi="Times New Roman" w:cs="Times New Roman" w:eastAsia="Times New Roman"/>
          <w:sz w:val="28"/>
          <w:szCs w:val="28"/>
        </w:rPr>
        <w:t xml:space="preserve">Продвижение инновационного продукта целесообразно рассматривать через маркетинговую воронку, отражающую последовательное движение потребителя от первичного знакомства с продуктом к его регулярному использованию [12, с. 64; 13, с. 64]. Для инновационных продуктов данная воронка должна включать не только этапы привлечения и покупки, но и этап формирования доверия, поскольку без снижения воспринимаемых рисков потребитель может отказаться от использования новой технологии [20, с. 11; 23, с. 6]. Описание маркетинговой воронки продвижения инновационного продукта представлено в таблице 1.2.4.</w:t>
      </w:r>
    </w:p>
    <w:p>
      <w:pPr>
        <w:jc w:val="both"/>
        <w:ind w:firstLine="709"/>
        <w:spacing w:before="0" w:after="0" w:line="360" w:lineRule="auto"/>
      </w:pPr>
      <w:r>
        <w:rPr>
          <w:rFonts w:ascii="Times New Roman" w:hAnsi="Times New Roman" w:cs="Times New Roman" w:eastAsia="Times New Roman"/>
          <w:sz w:val="28"/>
          <w:szCs w:val="28"/>
        </w:rPr>
        <w:t xml:space="preserve">Таблица 1.2.4</w:t>
      </w:r>
    </w:p>
    <w:p>
      <w:pPr>
        <w:jc w:val="both"/>
        <w:ind w:firstLine="709"/>
        <w:spacing w:before="0" w:after="0" w:line="360" w:lineRule="auto"/>
      </w:pPr>
      <w:r>
        <w:rPr>
          <w:rFonts w:ascii="Times New Roman" w:hAnsi="Times New Roman" w:cs="Times New Roman" w:eastAsia="Times New Roman"/>
          <w:sz w:val="28"/>
          <w:szCs w:val="28"/>
        </w:rPr>
        <w:t xml:space="preserve">Маркетинговая воронка продвижения инновационного продукта</w:t>
      </w: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213"/>
        <w:gridCol w:w="3213"/>
        <w:gridCol w:w="3213"/>
      </w:tblGrid>
      <w:tr>
        <w:trPr>
          <w:tblHeader/>
        </w:trPr>
        <w:tc>
          <w:tcPr>
            <w:tcW w:w="3213" w:type="dxa"/>
            <w:vAlign w:val="center"/>
          </w:tcPr>
          <w:p>
            <w:pPr>
              <w:spacing w:before="40" w:after="40" w:line="240" w:lineRule="auto"/>
              <w:ind w:firstLine="0"/>
              <w:jc w:val="center"/>
            </w:pPr>
            <w:r>
              <w:rPr>
                <w:b/>
                <w:bCs/>
                <w:rFonts w:ascii="Times New Roman" w:hAnsi="Times New Roman" w:cs="Times New Roman" w:eastAsia="Times New Roman"/>
                <w:sz w:val="24"/>
                <w:szCs w:val="24"/>
              </w:rPr>
              <w:t xml:space="preserve">Этап воронки</w:t>
            </w:r>
          </w:p>
        </w:tc>
        <w:tc>
          <w:tcPr>
            <w:tcW w:w="3213" w:type="dxa"/>
            <w:vAlign w:val="center"/>
          </w:tcPr>
          <w:p>
            <w:pPr>
              <w:spacing w:before="40" w:after="40" w:line="240" w:lineRule="auto"/>
              <w:ind w:firstLine="0"/>
              <w:jc w:val="center"/>
            </w:pPr>
            <w:r>
              <w:rPr>
                <w:b/>
                <w:bCs/>
                <w:rFonts w:ascii="Times New Roman" w:hAnsi="Times New Roman" w:cs="Times New Roman" w:eastAsia="Times New Roman"/>
                <w:sz w:val="24"/>
                <w:szCs w:val="24"/>
              </w:rPr>
              <w:t xml:space="preserve">Задача продвижения</w:t>
            </w:r>
          </w:p>
        </w:tc>
        <w:tc>
          <w:tcPr>
            <w:tcW w:w="3213" w:type="dxa"/>
            <w:vAlign w:val="center"/>
          </w:tcPr>
          <w:p>
            <w:pPr>
              <w:spacing w:before="40" w:after="40" w:line="240" w:lineRule="auto"/>
              <w:ind w:firstLine="0"/>
              <w:jc w:val="center"/>
            </w:pPr>
            <w:r>
              <w:rPr>
                <w:b/>
                <w:bCs/>
                <w:rFonts w:ascii="Times New Roman" w:hAnsi="Times New Roman" w:cs="Times New Roman" w:eastAsia="Times New Roman"/>
                <w:sz w:val="24"/>
                <w:szCs w:val="24"/>
              </w:rPr>
              <w:t xml:space="preserve">Возможные инструменты</w:t>
            </w:r>
          </w:p>
        </w:tc>
      </w:tr>
      <w:tr>
        <w:trPr/>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Осведомлённость</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Сообщить о существовании продукта</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PR, сайт, новости, социальные сети</w:t>
            </w:r>
          </w:p>
        </w:tc>
      </w:tr>
      <w:tr>
        <w:trPr/>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Интерес</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Объяснить назначение и преимущества</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Видео, статьи, презентации, демонстрации</w:t>
            </w:r>
          </w:p>
        </w:tc>
      </w:tr>
      <w:tr>
        <w:trPr/>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Доверие</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Снизить опасения и риски</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Экспертные комментарии, информация о безопасности, ответы на вопросы</w:t>
            </w:r>
          </w:p>
        </w:tc>
      </w:tr>
      <w:tr>
        <w:trPr/>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Пробное использование</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Побудить попробовать продукт</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Пилотные проекты, демо-доступ, обучение</w:t>
            </w:r>
          </w:p>
        </w:tc>
      </w:tr>
      <w:tr>
        <w:trPr/>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Принятие</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Закрепить регулярное использование</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Поддержка, инструкции, удобный пользовательский опыт</w:t>
            </w:r>
          </w:p>
        </w:tc>
      </w:tr>
      <w:tr>
        <w:trPr/>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Лояльность</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Сформировать положительное отношение и рекомендации</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Отзывы, кейсы, программы вовлечения</w:t>
            </w:r>
          </w:p>
        </w:tc>
      </w:tr>
    </w:tbl>
    <w:p>
      <w:pPr>
        <w:jc w:val="both"/>
        <w:ind w:firstLine="709"/>
        <w:spacing w:before="0" w:after="0" w:line="360" w:lineRule="auto"/>
      </w:pPr>
      <w:r>
        <w:rPr>
          <w:rFonts w:ascii="Times New Roman" w:hAnsi="Times New Roman" w:cs="Times New Roman" w:eastAsia="Times New Roman"/>
          <w:sz w:val="28"/>
          <w:szCs w:val="28"/>
        </w:rPr>
        <w:t xml:space="preserve">Источник: составлено автором по данным [12, с. 64; 13, с. 64; 20, с. 11]</w:t>
      </w:r>
    </w:p>
    <w:p>
      <w:pPr>
        <w:jc w:val="both"/>
        <w:ind w:firstLine="709"/>
        <w:spacing w:before="0" w:after="0" w:line="360" w:lineRule="auto"/>
      </w:pPr>
      <w:r>
        <w:rPr>
          <w:rFonts w:ascii="Times New Roman" w:hAnsi="Times New Roman" w:cs="Times New Roman" w:eastAsia="Times New Roman"/>
          <w:sz w:val="28"/>
          <w:szCs w:val="28"/>
        </w:rPr>
        <w:t xml:space="preserve">Ключевое отличие воронки инновационного продукта от воронки традиционного товара — наличие отдельного этапа «Доверие» между интересом и пробным использованием. Без этого этапа потенциальный пользователь не переходит к практическому взаимодействию с технологией, поэтому именно на формирование доверия должна быть направлена основная часть коммуникационных усилий и бюджета на ранних стадиях вывода продукта на рынок.</w:t>
      </w:r>
    </w:p>
    <w:p>
      <w:pPr>
        <w:jc w:val="both"/>
        <w:ind w:firstLine="709"/>
        <w:spacing w:before="0" w:after="0" w:line="360" w:lineRule="auto"/>
      </w:pPr>
      <w:r>
        <w:rPr>
          <w:rFonts w:ascii="Times New Roman" w:hAnsi="Times New Roman" w:cs="Times New Roman" w:eastAsia="Times New Roman"/>
          <w:sz w:val="28"/>
          <w:szCs w:val="28"/>
        </w:rPr>
        <w:t xml:space="preserve">Цифровые каналы продвижения приобретают критическую важность для инновационных продуктов в силу способности обеспечить точное таргетирование целевой аудитории, оперативную обратную связь от пользователей, возможность персонализации маркетинговых сообщений и эффективное измерение результатов коммуникационных кампаний [12, с. 78; 13, с. 78].</w:t>
      </w:r>
    </w:p>
    <w:p>
      <w:pPr>
        <w:jc w:val="both"/>
        <w:ind w:firstLine="709"/>
        <w:spacing w:before="0" w:after="0" w:line="360" w:lineRule="auto"/>
      </w:pPr>
      <w:r>
        <w:rPr>
          <w:rFonts w:ascii="Times New Roman" w:hAnsi="Times New Roman" w:cs="Times New Roman" w:eastAsia="Times New Roman"/>
          <w:sz w:val="28"/>
          <w:szCs w:val="28"/>
        </w:rPr>
        <w:t xml:space="preserve">Интернет-маркетинг инновационных продуктов включает поисковую оптимизацию, обеспечивающую высокую видимость информации о продукте в результатах поиска по релевантным запросам, контекстную рекламу, позволяющую привлечь внимание пользователей, активно ищущих решения определённых проблем, и контент-маркетинг, направленный на создание ценных информационных материалов, демонстрирующих экспертизу компании и формирующих доверие целевой аудитории [12, с. 102; 13, с. 102].</w:t>
      </w:r>
    </w:p>
    <w:p>
      <w:pPr>
        <w:jc w:val="both"/>
        <w:ind w:firstLine="709"/>
        <w:spacing w:before="0" w:after="0" w:line="360" w:lineRule="auto"/>
      </w:pPr>
      <w:r>
        <w:rPr>
          <w:rFonts w:ascii="Times New Roman" w:hAnsi="Times New Roman" w:cs="Times New Roman" w:eastAsia="Times New Roman"/>
          <w:sz w:val="28"/>
          <w:szCs w:val="28"/>
        </w:rPr>
        <w:t xml:space="preserve">Социальные медиа представляют особенно эффективный канал продвижения инновационных продуктов благодаря возможности вирусного распространения информации, организации дискуссий с участием потенциальных и существующих пользователей, работы с лидерами мнений и создания сообществ вокруг бренда или продукта [12, с. 134; 13, с. 134]. Каналы продвижения инновационного продукта представлены в таблице 1.2.5.</w:t>
      </w:r>
    </w:p>
    <w:p>
      <w:pPr>
        <w:jc w:val="both"/>
        <w:ind w:firstLine="709"/>
        <w:spacing w:before="0" w:after="0" w:line="360" w:lineRule="auto"/>
      </w:pPr>
      <w:r>
        <w:rPr>
          <w:rFonts w:ascii="Times New Roman" w:hAnsi="Times New Roman" w:cs="Times New Roman" w:eastAsia="Times New Roman"/>
          <w:sz w:val="28"/>
          <w:szCs w:val="28"/>
        </w:rPr>
        <w:t xml:space="preserve">Таблица 1.2.5</w:t>
      </w:r>
    </w:p>
    <w:p>
      <w:pPr>
        <w:jc w:val="both"/>
        <w:ind w:firstLine="709"/>
        <w:spacing w:before="0" w:after="0" w:line="360" w:lineRule="auto"/>
      </w:pPr>
      <w:r>
        <w:rPr>
          <w:rFonts w:ascii="Times New Roman" w:hAnsi="Times New Roman" w:cs="Times New Roman" w:eastAsia="Times New Roman"/>
          <w:sz w:val="28"/>
          <w:szCs w:val="28"/>
        </w:rPr>
        <w:t xml:space="preserve">Каналы продвижения инновационного продукта</w:t>
      </w: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213"/>
        <w:gridCol w:w="3213"/>
        <w:gridCol w:w="3213"/>
      </w:tblGrid>
      <w:tr>
        <w:trPr>
          <w:tblHeader/>
        </w:trPr>
        <w:tc>
          <w:tcPr>
            <w:tcW w:w="3213" w:type="dxa"/>
            <w:vAlign w:val="center"/>
          </w:tcPr>
          <w:p>
            <w:pPr>
              <w:spacing w:before="40" w:after="40" w:line="240" w:lineRule="auto"/>
              <w:ind w:firstLine="0"/>
              <w:jc w:val="center"/>
            </w:pPr>
            <w:r>
              <w:rPr>
                <w:b/>
                <w:bCs/>
                <w:rFonts w:ascii="Times New Roman" w:hAnsi="Times New Roman" w:cs="Times New Roman" w:eastAsia="Times New Roman"/>
                <w:sz w:val="24"/>
                <w:szCs w:val="24"/>
              </w:rPr>
              <w:t xml:space="preserve">Канал продвижения</w:t>
            </w:r>
          </w:p>
        </w:tc>
        <w:tc>
          <w:tcPr>
            <w:tcW w:w="3213" w:type="dxa"/>
            <w:vAlign w:val="center"/>
          </w:tcPr>
          <w:p>
            <w:pPr>
              <w:spacing w:before="40" w:after="40" w:line="240" w:lineRule="auto"/>
              <w:ind w:firstLine="0"/>
              <w:jc w:val="center"/>
            </w:pPr>
            <w:r>
              <w:rPr>
                <w:b/>
                <w:bCs/>
                <w:rFonts w:ascii="Times New Roman" w:hAnsi="Times New Roman" w:cs="Times New Roman" w:eastAsia="Times New Roman"/>
                <w:sz w:val="24"/>
                <w:szCs w:val="24"/>
              </w:rPr>
              <w:t xml:space="preserve">Цель использования</w:t>
            </w:r>
          </w:p>
        </w:tc>
        <w:tc>
          <w:tcPr>
            <w:tcW w:w="3213" w:type="dxa"/>
            <w:vAlign w:val="center"/>
          </w:tcPr>
          <w:p>
            <w:pPr>
              <w:spacing w:before="40" w:after="40" w:line="240" w:lineRule="auto"/>
              <w:ind w:firstLine="0"/>
              <w:jc w:val="center"/>
            </w:pPr>
            <w:r>
              <w:rPr>
                <w:b/>
                <w:bCs/>
                <w:rFonts w:ascii="Times New Roman" w:hAnsi="Times New Roman" w:cs="Times New Roman" w:eastAsia="Times New Roman"/>
                <w:sz w:val="24"/>
                <w:szCs w:val="24"/>
              </w:rPr>
              <w:t xml:space="preserve">Особенности применения для инновационного продукта</w:t>
            </w:r>
          </w:p>
        </w:tc>
      </w:tr>
      <w:tr>
        <w:trPr/>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Официальный сайт организации</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Размещение основной информации о продукте</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Позволяет представить описание продукта, преимущества, условия использования и ответы на частые вопросы</w:t>
            </w:r>
          </w:p>
        </w:tc>
      </w:tr>
      <w:tr>
        <w:trPr/>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PR и деловые СМИ</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Формирование доверия и экспертного имиджа</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Помогает объяснить значимость инновации и повысить узнаваемость продукта</w:t>
            </w:r>
          </w:p>
        </w:tc>
      </w:tr>
      <w:tr>
        <w:trPr/>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Социальные сети</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Расширение охвата аудитории</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Позволяют простым языком объяснить преимущества продукта и работать с возражениями пользователей</w:t>
            </w:r>
          </w:p>
        </w:tc>
      </w:tr>
      <w:tr>
        <w:trPr/>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Демо-презентации</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Показ продукта в действии</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Позволяют потенциальным пользователям увидеть работу продукта и снизить недоверие к новой технологии</w:t>
            </w:r>
          </w:p>
        </w:tc>
      </w:tr>
      <w:tr>
        <w:trPr/>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Контент-маркетинг</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Обучение и информирование аудитории</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Включает статьи, инструкции, обзоры, видеоматериалы, которые помогают снизить неопределённость</w:t>
            </w:r>
          </w:p>
        </w:tc>
      </w:tr>
      <w:tr>
        <w:trPr/>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Пилотные проекты</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Проверка продукта в ограниченном масштабе</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Позволяют собрать обратную связь и подтвердить практическую ценность продукта</w:t>
            </w:r>
          </w:p>
        </w:tc>
      </w:tr>
      <w:tr>
        <w:trPr/>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Партнёрские каналы</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Расширение охвата через другие организации</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Эффективны для продвижения сложных технологических решений на B2B-рынке</w:t>
            </w:r>
          </w:p>
        </w:tc>
      </w:tr>
      <w:tr>
        <w:trPr/>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Отраслевые мероприятия</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Выход на профессиональную аудиторию</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Подходят для продвижения инноваций среди компаний, экспертов и потенциальных партнёров</w:t>
            </w:r>
          </w:p>
        </w:tc>
      </w:tr>
    </w:tbl>
    <w:p>
      <w:pPr>
        <w:jc w:val="both"/>
        <w:ind w:firstLine="709"/>
        <w:spacing w:before="0" w:after="0" w:line="360" w:lineRule="auto"/>
      </w:pPr>
      <w:r>
        <w:rPr>
          <w:rFonts w:ascii="Times New Roman" w:hAnsi="Times New Roman" w:cs="Times New Roman" w:eastAsia="Times New Roman"/>
          <w:sz w:val="28"/>
          <w:szCs w:val="28"/>
        </w:rPr>
        <w:t xml:space="preserve">Источник: составлено автором по данным [12, с. 102–135; 13, с. 102–135; 20, с. 12]</w:t>
      </w:r>
    </w:p>
    <w:p>
      <w:pPr>
        <w:jc w:val="both"/>
        <w:ind w:firstLine="709"/>
        <w:spacing w:before="0" w:after="0" w:line="360" w:lineRule="auto"/>
      </w:pPr>
      <w:r>
        <w:rPr>
          <w:rFonts w:ascii="Times New Roman" w:hAnsi="Times New Roman" w:cs="Times New Roman" w:eastAsia="Times New Roman"/>
          <w:sz w:val="28"/>
          <w:szCs w:val="28"/>
        </w:rPr>
        <w:t xml:space="preserve">Выбор каналов продвижения инновационного продукта зависит от уровня осведомлённости целевой аудитории, сложности продукта и степени доверия к новой технологии. Для инновационных продуктов особенно важны не только рекламные каналы, но и образовательные, экспертные и демонстрационные форматы, позволяющие объяснить ценность продукта и снизить воспринимаемые риски его использования [20, с. 12; 23, с. 7].</w:t>
      </w:r>
    </w:p>
    <w:p>
      <w:pPr>
        <w:jc w:val="both"/>
        <w:ind w:firstLine="709"/>
        <w:spacing w:before="0" w:after="0" w:line="360" w:lineRule="auto"/>
      </w:pPr>
      <w:r>
        <w:rPr>
          <w:rFonts w:ascii="Times New Roman" w:hAnsi="Times New Roman" w:cs="Times New Roman" w:eastAsia="Times New Roman"/>
          <w:sz w:val="28"/>
          <w:szCs w:val="28"/>
        </w:rPr>
        <w:t xml:space="preserve">Возвращаясь к теории диффузии инноваций, следует отметить, что стратегия работы с ранними последователями является критически важным элементом продвижения инновационных продуктов, поскольку данная категория потребителей выполняет функцию «послов бренда», распространяя информацию о продукте в своих социальных кругах и формируя первичные отзывы, влияющие на решения более консервативных сегментов рынка [24, с. 161; 14, с. 47].</w:t>
      </w:r>
    </w:p>
    <w:p>
      <w:pPr>
        <w:jc w:val="both"/>
        <w:ind w:firstLine="709"/>
        <w:spacing w:before="0" w:after="0" w:line="360" w:lineRule="auto"/>
      </w:pPr>
      <w:r>
        <w:rPr>
          <w:rFonts w:ascii="Times New Roman" w:hAnsi="Times New Roman" w:cs="Times New Roman" w:eastAsia="Times New Roman"/>
          <w:sz w:val="28"/>
          <w:szCs w:val="28"/>
        </w:rPr>
        <w:t xml:space="preserve">Привлечение ранних последователей требует разработки специальных программ, включающих эксклюзивный ранний доступ к продукту, специальные ценовые условия, возможность участия в тестировании и доработке продукта, признание статуса пионеров использования инновации [21, с. 15; 23, с. 8]. Управление отзывами ранних пользователей предполагает активный мониторинг обратной связи, оперативное реагирование на выявленные проблемы, публичную демонстрацию учёта пользовательских предложений в развитии продукта и формирование позитивного информационного фона вокруг инновационного решения [10, с. 8; 21, с. 17]. В случае Face2 такими ранними последователями могут выступать технологически ориентированные сотрудники банка, корпоративные клиенты, заинтересованные в цифровизации процессов, а также партнёрские организации, готовые участвовать в пилотных проектах [27].</w:t>
      </w:r>
    </w:p>
    <w:p>
      <w:pPr>
        <w:jc w:val="both"/>
        <w:ind w:firstLine="709"/>
        <w:spacing w:before="0" w:after="0" w:line="360" w:lineRule="auto"/>
      </w:pPr>
      <w:r>
        <w:rPr>
          <w:rFonts w:ascii="Times New Roman" w:hAnsi="Times New Roman" w:cs="Times New Roman" w:eastAsia="Times New Roman"/>
          <w:sz w:val="28"/>
          <w:szCs w:val="28"/>
        </w:rPr>
        <w:t xml:space="preserve">Ценовая стратегия продвижения инновационного продукта определяет баланс между необходимостью возврата инвестиций в разработку, конкурентным позиционированием и доступностью продукта для целевых сегментов [17, с. 392; 19, с. 224]. Стратегия снятия сливок предполагает установление высокой начальной цены для максимизации прибыли от ранних последователей, готовых платить премию за инновационность, с последующим постепенным снижением цены для охвата более широких сегментов рынка. Стратегия проникновения на рынок основана на установлении относительно низкой цены для быстрого захвата значительной доли рынка и создания барьеров входа для конкурентов [17, с. 396]. Для банковских инновационных продуктов характерна стратегия бесплатного предоставления базовой функциональности с возможностью монетизации через дополнительные услуги — это минимизирует барьеры принятия инновации и обеспечивает быстрое распространение продукта среди клиентов банка [8, с. 110].</w:t>
      </w:r>
    </w:p>
    <w:p>
      <w:pPr>
        <w:jc w:val="both"/>
        <w:ind w:firstLine="709"/>
        <w:spacing w:before="0" w:after="0" w:line="360" w:lineRule="auto"/>
      </w:pPr>
      <w:r>
        <w:rPr>
          <w:rFonts w:ascii="Times New Roman" w:hAnsi="Times New Roman" w:cs="Times New Roman" w:eastAsia="Times New Roman"/>
          <w:sz w:val="28"/>
          <w:szCs w:val="28"/>
        </w:rPr>
        <w:t xml:space="preserve">Партнёрская стратегия продвижения инновационных продуктов предполагает формирование альянсов с компаниями, обладающими комплементарными продуктами, доступом к целевой аудитории или экспертизой в релевантных областях [10, с. 9; 23, с. 8]. Стратегические партнёрства позволяют расширить охват целевой аудитории, повысить доверие к инновационному продукту через ассоциацию с авторитетными брендами, получить доступ к дополнительным каналам распределения и совместно инвестировать в маркетинговые коммуникации. Для биометрических банковских продуктов потенциальными партнёрами выступают производители оборудования, разработчики операционных систем, платёжные системы, ритейлеры и другие организации, заинтересованные в повышении безопасности и удобства идентификации пользователей [4, с. 51; 27]. Совместные маркетинговые кампании с партнёрами создают синергетический эффект и повышают эффективность инвестиций в продвижение инновационного продукта [10, с. 9].</w:t>
      </w:r>
    </w:p>
    <w:p>
      <w:pPr>
        <w:jc w:val="both"/>
        <w:ind w:firstLine="709"/>
        <w:spacing w:before="0" w:after="0" w:line="360" w:lineRule="auto"/>
      </w:pPr>
      <w:r>
        <w:rPr>
          <w:rFonts w:ascii="Times New Roman" w:hAnsi="Times New Roman" w:cs="Times New Roman" w:eastAsia="Times New Roman"/>
          <w:sz w:val="28"/>
          <w:szCs w:val="28"/>
        </w:rPr>
        <w:t xml:space="preserve">Измерение эффективности продвижения инновационного продукта требует разработки системы ключевых показателей, отражающих прогресс в достижении маркетинговых целей на различных этапах жизненного цикла продукта [11, с. 198; 17, с. 524]. На стадии внедрения ключевыми метриками являются уровень осведомлённости целевой аудитории о продукте, понимание функциональных возможностей и преимуществ, формирование намерения попробовать продукт. На этапе роста критически важными показателями становятся количество новых пользователей, частота использования продукта, показатели удовлетворённости и готовности рекомендовать продукт другим потребителям [11, с. 201]. Финансовые показатели эффективности включают стоимость привлечения клиента, пожизненную ценность клиента, рентабельность инвестиций в маркетинговые коммуникации и долю рынка инновационного продукта [12, с. 156; 17, с. 528]. Аналитика цифровых каналов продвижения обеспечивает детальную информацию о поведении пользователей, эффективности различных каналов и сообщений, что позволяет оперативно оптимизировать маркетинговую стратегию и повышать результативность коммуникационных кампаний [13, с. 156]. Основные показатели эффективности продвижения инновационного продукта представлены в таблице 1.2.6.</w:t>
      </w:r>
    </w:p>
    <w:p>
      <w:pPr>
        <w:jc w:val="both"/>
        <w:ind w:firstLine="709"/>
        <w:spacing w:before="0" w:after="0" w:line="360" w:lineRule="auto"/>
      </w:pPr>
      <w:r>
        <w:rPr>
          <w:rFonts w:ascii="Times New Roman" w:hAnsi="Times New Roman" w:cs="Times New Roman" w:eastAsia="Times New Roman"/>
          <w:sz w:val="28"/>
          <w:szCs w:val="28"/>
        </w:rPr>
        <w:t xml:space="preserve">Таблица 1.2.6</w:t>
      </w:r>
    </w:p>
    <w:p>
      <w:pPr>
        <w:jc w:val="both"/>
        <w:ind w:firstLine="709"/>
        <w:spacing w:before="0" w:after="0" w:line="360" w:lineRule="auto"/>
      </w:pPr>
      <w:r>
        <w:rPr>
          <w:rFonts w:ascii="Times New Roman" w:hAnsi="Times New Roman" w:cs="Times New Roman" w:eastAsia="Times New Roman"/>
          <w:sz w:val="28"/>
          <w:szCs w:val="28"/>
        </w:rPr>
        <w:t xml:space="preserve">Показатели эффективности продвижения инновационного продукта</w:t>
      </w: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819"/>
        <w:gridCol w:w="4819"/>
      </w:tblGrid>
      <w:tr>
        <w:trPr>
          <w:tblHeader/>
        </w:trPr>
        <w:tc>
          <w:tcPr>
            <w:tcW w:w="4819" w:type="dxa"/>
            <w:vAlign w:val="center"/>
          </w:tcPr>
          <w:p>
            <w:pPr>
              <w:spacing w:before="40" w:after="40" w:line="240" w:lineRule="auto"/>
              <w:ind w:firstLine="0"/>
              <w:jc w:val="center"/>
            </w:pPr>
            <w:r>
              <w:rPr>
                <w:b/>
                <w:bCs/>
                <w:rFonts w:ascii="Times New Roman" w:hAnsi="Times New Roman" w:cs="Times New Roman" w:eastAsia="Times New Roman"/>
                <w:sz w:val="24"/>
                <w:szCs w:val="24"/>
              </w:rPr>
              <w:t xml:space="preserve">Цель продвижения</w:t>
            </w:r>
          </w:p>
        </w:tc>
        <w:tc>
          <w:tcPr>
            <w:tcW w:w="4819" w:type="dxa"/>
            <w:vAlign w:val="center"/>
          </w:tcPr>
          <w:p>
            <w:pPr>
              <w:spacing w:before="40" w:after="40" w:line="240" w:lineRule="auto"/>
              <w:ind w:firstLine="0"/>
              <w:jc w:val="center"/>
            </w:pPr>
            <w:r>
              <w:rPr>
                <w:b/>
                <w:bCs/>
                <w:rFonts w:ascii="Times New Roman" w:hAnsi="Times New Roman" w:cs="Times New Roman" w:eastAsia="Times New Roman"/>
                <w:sz w:val="24"/>
                <w:szCs w:val="24"/>
              </w:rPr>
              <w:t xml:space="preserve">Показатель эффективности</w:t>
            </w:r>
          </w:p>
        </w:tc>
      </w:tr>
      <w:tr>
        <w:trPr/>
        <w:tc>
          <w:tcPr>
            <w:tcW w:w="481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Повышение осведомлённости</w:t>
            </w:r>
          </w:p>
        </w:tc>
        <w:tc>
          <w:tcPr>
            <w:tcW w:w="481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Охват аудитории, посещаемость сайта, количество упоминаний в СМИ</w:t>
            </w:r>
          </w:p>
        </w:tc>
      </w:tr>
      <w:tr>
        <w:trPr/>
        <w:tc>
          <w:tcPr>
            <w:tcW w:w="481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Формирование интереса</w:t>
            </w:r>
          </w:p>
        </w:tc>
        <w:tc>
          <w:tcPr>
            <w:tcW w:w="481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Количество заявок, просмотров презентаций, обращений за информацией</w:t>
            </w:r>
          </w:p>
        </w:tc>
      </w:tr>
      <w:tr>
        <w:trPr/>
        <w:tc>
          <w:tcPr>
            <w:tcW w:w="481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Снижение недоверия</w:t>
            </w:r>
          </w:p>
        </w:tc>
        <w:tc>
          <w:tcPr>
            <w:tcW w:w="481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Количество положительных отзывов, снижение отказов, результаты опросов</w:t>
            </w:r>
          </w:p>
        </w:tc>
      </w:tr>
      <w:tr>
        <w:trPr/>
        <w:tc>
          <w:tcPr>
            <w:tcW w:w="481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Привлечение пользователей</w:t>
            </w:r>
          </w:p>
        </w:tc>
        <w:tc>
          <w:tcPr>
            <w:tcW w:w="481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Количество регистраций, подключений пилотных внедрений</w:t>
            </w:r>
          </w:p>
        </w:tc>
      </w:tr>
      <w:tr>
        <w:trPr/>
        <w:tc>
          <w:tcPr>
            <w:tcW w:w="481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Удержание пользователей</w:t>
            </w:r>
          </w:p>
        </w:tc>
        <w:tc>
          <w:tcPr>
            <w:tcW w:w="481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Частота использования, повторные обращения, активность пользователей</w:t>
            </w:r>
          </w:p>
        </w:tc>
      </w:tr>
      <w:tr>
        <w:trPr/>
        <w:tc>
          <w:tcPr>
            <w:tcW w:w="481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Экономическая эффективность</w:t>
            </w:r>
          </w:p>
        </w:tc>
        <w:tc>
          <w:tcPr>
            <w:tcW w:w="481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Стоимость привлечения клиента, ROI, LTV, срок окупаемости</w:t>
            </w:r>
          </w:p>
        </w:tc>
      </w:tr>
      <w:tr>
        <w:trPr/>
        <w:tc>
          <w:tcPr>
            <w:tcW w:w="481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Репутационный эффект</w:t>
            </w:r>
          </w:p>
        </w:tc>
        <w:tc>
          <w:tcPr>
            <w:tcW w:w="481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Индекс удовлетворённости, NPS, экспертные публикации</w:t>
            </w:r>
          </w:p>
        </w:tc>
      </w:tr>
    </w:tbl>
    <w:p>
      <w:pPr>
        <w:jc w:val="both"/>
        <w:ind w:firstLine="709"/>
        <w:spacing w:before="0" w:after="0" w:line="360" w:lineRule="auto"/>
      </w:pPr>
      <w:r>
        <w:rPr>
          <w:rFonts w:ascii="Times New Roman" w:hAnsi="Times New Roman" w:cs="Times New Roman" w:eastAsia="Times New Roman"/>
          <w:sz w:val="28"/>
          <w:szCs w:val="28"/>
        </w:rPr>
        <w:t xml:space="preserve">Источник: составлено автором по данным [11, с. 198–202; 12, с. 156; 17, с. 524–528]</w:t>
      </w:r>
    </w:p>
    <w:p>
      <w:pPr>
        <w:jc w:val="both"/>
        <w:ind w:firstLine="709"/>
        <w:spacing w:before="0" w:after="0" w:line="360" w:lineRule="auto"/>
      </w:pPr>
      <w:r>
        <w:rPr>
          <w:rFonts w:ascii="Times New Roman" w:hAnsi="Times New Roman" w:cs="Times New Roman" w:eastAsia="Times New Roman"/>
          <w:sz w:val="28"/>
          <w:szCs w:val="28"/>
        </w:rPr>
        <w:t xml:space="preserve">Для Face2 система KPI должна включать не только маркетинговые показатели охвата и узнаваемости, но и показатели доверия, активности пользователей, количества внедрений и экономического эффекта. Это связано с тем, что успешность продвижения биометрического продукта определяется не только интересом аудитории, но и фактическим принятием технологии [4, с. 53; 8, с. 111].</w:t>
      </w:r>
    </w:p>
    <w:p>
      <w:pPr>
        <w:jc w:val="both"/>
        <w:ind w:firstLine="709"/>
        <w:spacing w:before="0" w:after="0" w:line="360" w:lineRule="auto"/>
      </w:pPr>
      <w:r>
        <w:rPr>
          <w:rFonts w:ascii="Times New Roman" w:hAnsi="Times New Roman" w:cs="Times New Roman" w:eastAsia="Times New Roman"/>
          <w:sz w:val="28"/>
          <w:szCs w:val="28"/>
        </w:rPr>
        <w:t xml:space="preserve">Маркетинговые стратегии продвижения инновационных продуктов характеризуются комплексным характером, необходимостью интеграции традиционных и цифровых инструментов коммуникации, особым вниманием к образовательной составляющей маркетинговых сообщений и критической важностью управления восприятием инновации различными категориями потребителей [10, с. 10; 20, с. 13; 23, с. 9]. Успешное продвижение инновационного продукта требует глубокого понимания психологии принятия инноваций, способности адаптировать стратегию к изменяющимся рыночным условиям и готовности инвестировать значительные ресурсы в формирование осведомлённости и доверия целевой аудитории к новому продукту.</w:t>
      </w:r>
    </w:p>
    <w:p>
      <w:pPr>
        <w:pStyle w:val="Heading1"/>
        <w:keepNext/>
        <w:keepLines/>
        <w:spacing w:before="360" w:after="180" w:line="360" w:lineRule="auto"/>
        <w:jc w:val="center"/>
        <w:ind w:firstLine="0"/>
        <w:outlineLvl w:val="0"/>
      </w:pPr>
      <w:r>
        <w:rPr>
          <w:b/>
          <w:bCs/>
          <w:rFonts w:ascii="Times New Roman" w:hAnsi="Times New Roman" w:cs="Times New Roman" w:eastAsia="Times New Roman"/>
          <w:sz w:val="32"/>
          <w:szCs w:val="32"/>
        </w:rPr>
        <w:t xml:space="preserve">1.3. Особенности продвижения биометрических технологий</w:t>
      </w:r>
    </w:p>
    <w:p>
      <w:pPr>
        <w:jc w:val="both"/>
        <w:ind w:firstLine="709"/>
        <w:spacing w:before="0" w:after="0" w:line="360" w:lineRule="auto"/>
      </w:pPr>
      <w:r>
        <w:rPr>
          <w:rFonts w:ascii="Times New Roman" w:hAnsi="Times New Roman" w:cs="Times New Roman" w:eastAsia="Times New Roman"/>
          <w:sz w:val="28"/>
          <w:szCs w:val="28"/>
        </w:rPr>
        <w:t xml:space="preserve">Параграф 1.2 показал, какие инструменты составляют арсенал продвижения инновационного продукта в общем виде: интегрированная стратегия, модель STP, расширенный комплекс маркетинга 7P, маркетинговая воронка с этапом доверия, цифровые каналы, программы для ранних последователей, ценовые и партнёрские стратегии. Биометрические технологии в банковском секторе требуют не нового набора инструментов, а особой их конфигурации: смещения акцентов в воронке, перераспределения веса между элементами 7P, изменения логики каналов и сообщений. Настоящий параграф фиксирует, какие особенности биометрии задают это смещение, какие барьеры приходится преодолевать продвижению и при каких условиях стандартные маркетинговые инструменты переходят в специфические для банковской биометрии формы.</w:t>
      </w:r>
    </w:p>
    <w:p>
      <w:pPr>
        <w:pStyle w:val="Heading2"/>
        <w:keepNext/>
        <w:keepLines/>
        <w:spacing w:before="360" w:after="180" w:line="360" w:lineRule="auto"/>
        <w:jc w:val="left"/>
        <w:ind w:firstLine="0"/>
        <w:outlineLvl w:val="1"/>
      </w:pPr>
      <w:r>
        <w:rPr>
          <w:b/>
          <w:bCs/>
          <w:rFonts w:ascii="Times New Roman" w:hAnsi="Times New Roman" w:cs="Times New Roman" w:eastAsia="Times New Roman"/>
          <w:sz w:val="30"/>
          <w:szCs w:val="30"/>
        </w:rPr>
        <w:t xml:space="preserve">Биометрия в банковском секторе: краткая рамка</w:t>
      </w:r>
    </w:p>
    <w:p>
      <w:pPr>
        <w:jc w:val="both"/>
        <w:ind w:firstLine="709"/>
        <w:spacing w:before="0" w:after="0" w:line="360" w:lineRule="auto"/>
      </w:pPr>
      <w:r>
        <w:rPr>
          <w:rFonts w:ascii="Times New Roman" w:hAnsi="Times New Roman" w:cs="Times New Roman" w:eastAsia="Times New Roman"/>
          <w:sz w:val="28"/>
          <w:szCs w:val="28"/>
        </w:rPr>
        <w:t xml:space="preserve">Биометрия — технология распознавания личности по уникальным физиологическим или поведенческим характеристикам: лицу, голосу, отпечаткам пальцев, рисунку радужной оболочки, рисунку вен ладони, особенностям походки [3, с. 29; 8, с. 100]. В банковской сфере она решает связанный набор задач: безопасную идентификацию и аутентификацию клиентов при дистанционном обслуживании, противодействие мошенничеству, упрощение доступа к продуктам и снижение операционных издержек [4, с. 38; 8, с. 104; 9, с. 115]. Технологии распознавания лица бесконтактны, быстры и интегрируются с распространёнными устройствами — это делает их одним из приоритетных направлений банковской цифровизации [27].</w:t>
      </w:r>
    </w:p>
    <w:p>
      <w:pPr>
        <w:jc w:val="both"/>
        <w:ind w:firstLine="709"/>
        <w:spacing w:before="0" w:after="0" w:line="360" w:lineRule="auto"/>
      </w:pPr>
      <w:r>
        <w:rPr>
          <w:rFonts w:ascii="Times New Roman" w:hAnsi="Times New Roman" w:cs="Times New Roman" w:eastAsia="Times New Roman"/>
          <w:sz w:val="28"/>
          <w:szCs w:val="28"/>
        </w:rPr>
        <w:t xml:space="preserve">Регуляторный контур в России жёсткий и определяет рамки любых действий банка с биометрией. Федеральный закон от 29.12.2022 № 572-ФЗ относит биометрические векторы к специальной категории персональных данных, обязывает хранить их в Государственной информационной системе ЕБС и разрешает аутентификацию по биометрии только аккредитованным организациям и только при письменном согласии гражданина [7, с. 92–94]. Для банка аккредитация Минцифры России в качестве оператора коммерческой биометрической системы (КБС), сертификация ФСБ и ФСТЭК, включение в реестр отечественного ПО — не формальность, а условие существования продукта на рынке, а после введения 420-ФЗ и 421-ФЗ от 30 ноября 2024 года — ещё и условие защиты от штрафов до 1–3% годового дохода и уголовной ответственности за неправомерное обращение с биометрическими данными [7, с. 95; 27]. Сферы применения биометрии в банке и за его пределами показаны на рисунке 1.3.1.</w:t>
      </w:r>
    </w:p>
    <w:p>
      <w:pPr>
        <w:spacing w:before="0" w:after="0" w:line="240" w:lineRule="auto"/>
        <w:ind w:firstLine="0"/>
        <w:jc w:val="left"/>
      </w:pPr>
      <w:r>
        <w:rPr>
          <w:rFonts w:ascii="Courier New" w:hAnsi="Courier New" w:cs="Courier New" w:eastAsia="Courier New"/>
          <w:sz w:val="20"/>
          <w:szCs w:val="20"/>
        </w:rPr>
        <w:t xml:space="preserve">                ┌──────────────────────────────────┐</w:t>
      </w:r>
    </w:p>
    <w:p>
      <w:pPr>
        <w:spacing w:before="0" w:after="0" w:line="240" w:lineRule="auto"/>
        <w:ind w:firstLine="0"/>
        <w:jc w:val="left"/>
      </w:pPr>
      <w:r>
        <w:rPr>
          <w:rFonts w:ascii="Courier New" w:hAnsi="Courier New" w:cs="Courier New" w:eastAsia="Courier New"/>
          <w:sz w:val="20"/>
          <w:szCs w:val="20"/>
        </w:rPr>
        <w:t xml:space="preserve">                │    Области применения биометрии  │</w:t>
      </w:r>
    </w:p>
    <w:p>
      <w:pPr>
        <w:spacing w:before="0" w:after="0" w:line="240" w:lineRule="auto"/>
        <w:ind w:firstLine="0"/>
        <w:jc w:val="left"/>
      </w:pPr>
      <w:r>
        <w:rPr>
          <w:rFonts w:ascii="Courier New" w:hAnsi="Courier New" w:cs="Courier New" w:eastAsia="Courier New"/>
          <w:sz w:val="20"/>
          <w:szCs w:val="20"/>
        </w:rPr>
        <w:t xml:space="preserve">                └────────────────┬─────────────────┘</w:t>
      </w:r>
    </w:p>
    <w:p>
      <w:pPr>
        <w:spacing w:before="0" w:after="0" w:line="240" w:lineRule="auto"/>
        <w:ind w:firstLine="0"/>
        <w:jc w:val="left"/>
      </w:pPr>
      <w:r>
        <w:rPr>
          <w:rFonts w:ascii="Courier New" w:hAnsi="Courier New" w:cs="Courier New" w:eastAsia="Courier New"/>
          <w:sz w:val="20"/>
          <w:szCs w:val="20"/>
        </w:rPr>
        <w:t xml:space="preserve">                                 │</w:t>
      </w:r>
    </w:p>
    <w:p>
      <w:pPr>
        <w:spacing w:before="0" w:after="0" w:line="240" w:lineRule="auto"/>
        <w:ind w:firstLine="0"/>
        <w:jc w:val="left"/>
      </w:pPr>
      <w:r>
        <w:rPr>
          <w:rFonts w:ascii="Courier New" w:hAnsi="Courier New" w:cs="Courier New" w:eastAsia="Courier New"/>
          <w:sz w:val="20"/>
          <w:szCs w:val="20"/>
        </w:rPr>
        <w:t xml:space="preserve">     ┌────────────┬──────────────┼──────────────┬────────────┐</w:t>
      </w:r>
    </w:p>
    <w:p>
      <w:pPr>
        <w:spacing w:before="0" w:after="0" w:line="240" w:lineRule="auto"/>
        <w:ind w:firstLine="0"/>
        <w:jc w:val="left"/>
      </w:pPr>
      <w:r>
        <w:rPr>
          <w:rFonts w:ascii="Courier New" w:hAnsi="Courier New" w:cs="Courier New" w:eastAsia="Courier New"/>
          <w:sz w:val="20"/>
          <w:szCs w:val="20"/>
        </w:rPr>
        <w:t xml:space="preserve">     ▼            ▼              ▼              ▼            ▼</w:t>
      </w:r>
    </w:p>
    <w:p>
      <w:pPr>
        <w:spacing w:before="0" w:after="0" w:line="240" w:lineRule="auto"/>
        <w:ind w:firstLine="0"/>
        <w:jc w:val="left"/>
      </w:pPr>
      <w:r>
        <w:rPr>
          <w:rFonts w:ascii="Courier New" w:hAnsi="Courier New" w:cs="Courier New" w:eastAsia="Courier New"/>
          <w:sz w:val="20"/>
          <w:szCs w:val="20"/>
        </w:rPr>
        <w:t xml:space="preserve">   Банки      Транспорт       Ритейл       Госуслуги     СКУД</w:t>
      </w:r>
    </w:p>
    <w:p>
      <w:pPr>
        <w:spacing w:before="0" w:after="0" w:line="240" w:lineRule="auto"/>
        <w:ind w:firstLine="0"/>
        <w:jc w:val="left"/>
      </w:pPr>
      <w:r>
        <w:rPr>
          <w:rFonts w:ascii="Courier New" w:hAnsi="Courier New" w:cs="Courier New" w:eastAsia="Courier New"/>
          <w:sz w:val="20"/>
          <w:szCs w:val="20"/>
        </w:rPr>
        <w:t xml:space="preserve">                                            и МФЦ      (доступ)</w:t>
      </w:r>
    </w:p>
    <w:p>
      <w:pPr>
        <w:spacing w:before="0" w:after="0" w:line="240" w:lineRule="auto"/>
        <w:ind w:firstLine="0"/>
        <w:jc w:val="left"/>
      </w:pPr>
      <w:r>
        <w:rPr>
          <w:rFonts w:ascii="Courier New" w:hAnsi="Courier New" w:cs="Courier New" w:eastAsia="Courier New"/>
          <w:sz w:val="20"/>
          <w:szCs w:val="20"/>
        </w:rPr>
        <w:t xml:space="preserve">     │            │              │              │            │</w:t>
      </w:r>
    </w:p>
    <w:p>
      <w:pPr>
        <w:spacing w:before="0" w:after="0" w:line="240" w:lineRule="auto"/>
        <w:ind w:firstLine="0"/>
        <w:jc w:val="left"/>
      </w:pPr>
      <w:r>
        <w:rPr>
          <w:rFonts w:ascii="Courier New" w:hAnsi="Courier New" w:cs="Courier New" w:eastAsia="Courier New"/>
          <w:sz w:val="20"/>
          <w:szCs w:val="20"/>
        </w:rPr>
        <w:t xml:space="preserve">     ▼            ▼              ▼              ▼            ▼</w:t>
      </w:r>
    </w:p>
    <w:p>
      <w:pPr>
        <w:spacing w:before="0" w:after="0" w:line="240" w:lineRule="auto"/>
        <w:ind w:firstLine="0"/>
        <w:jc w:val="left"/>
      </w:pPr>
      <w:r>
        <w:rPr>
          <w:rFonts w:ascii="Courier New" w:hAnsi="Courier New" w:cs="Courier New" w:eastAsia="Courier New"/>
          <w:sz w:val="20"/>
          <w:szCs w:val="20"/>
        </w:rPr>
        <w:t xml:space="preserve">  Образование Здравоохранение Гостиницы   Промышленные  Спортивные</w:t>
      </w:r>
    </w:p>
    <w:p>
      <w:pPr>
        <w:spacing w:before="0" w:after="0" w:line="240" w:lineRule="auto"/>
        <w:ind w:firstLine="0"/>
        <w:jc w:val="left"/>
      </w:pPr>
      <w:r>
        <w:rPr>
          <w:rFonts w:ascii="Courier New" w:hAnsi="Courier New" w:cs="Courier New" w:eastAsia="Courier New"/>
          <w:sz w:val="20"/>
          <w:szCs w:val="20"/>
        </w:rPr>
        <w:t xml:space="preserve">                                          предприятия   объекты</w:t>
      </w:r>
    </w:p>
    <w:p>
      <w:pPr>
        <w:jc w:val="both"/>
        <w:ind w:firstLine="709"/>
        <w:spacing w:before="0" w:after="0" w:line="360" w:lineRule="auto"/>
      </w:pPr>
      <w:r>
        <w:rPr>
          <w:rFonts w:ascii="Times New Roman" w:hAnsi="Times New Roman" w:cs="Times New Roman" w:eastAsia="Times New Roman"/>
          <w:sz w:val="28"/>
          <w:szCs w:val="28"/>
        </w:rPr>
        <w:t xml:space="preserve">Источник: составлено автором по данным [3, с. 31; 4, с. 39; 8, с. 102; 27]</w:t>
      </w:r>
    </w:p>
    <w:p>
      <w:pPr>
        <w:jc w:val="both"/>
        <w:ind w:firstLine="709"/>
        <w:spacing w:before="0" w:after="0" w:line="360" w:lineRule="auto"/>
      </w:pPr>
      <w:r>
        <w:rPr>
          <w:rFonts w:ascii="Times New Roman" w:hAnsi="Times New Roman" w:cs="Times New Roman" w:eastAsia="Times New Roman"/>
          <w:sz w:val="28"/>
          <w:szCs w:val="28"/>
        </w:rPr>
        <w:t xml:space="preserve">Рис. 1.3.1. Области применения биометрии</w:t>
      </w:r>
    </w:p>
    <w:p>
      <w:pPr>
        <w:jc w:val="both"/>
        <w:ind w:firstLine="709"/>
        <w:spacing w:before="0" w:after="0" w:line="360" w:lineRule="auto"/>
      </w:pPr>
      <w:r>
        <w:rPr>
          <w:rFonts w:ascii="Times New Roman" w:hAnsi="Times New Roman" w:cs="Times New Roman" w:eastAsia="Times New Roman"/>
          <w:sz w:val="28"/>
          <w:szCs w:val="28"/>
        </w:rPr>
        <w:t xml:space="preserve">Банковский сектор — лишь одно из применений, но самое требовательное по совокупности факторов: высокая чувствительность данных, прямая связь с финансами, регуляторное давление, ожидания пользователя по скорости и надёжности. Поэтому стратегия продвижения, отстроенная для биометрии в банке, потом легко переносится на другие отрасли, а обратное — нет. Дальнейший анализ ведётся именно в банковском контуре.</w:t>
      </w:r>
    </w:p>
    <w:p>
      <w:pPr>
        <w:pStyle w:val="Heading2"/>
        <w:keepNext/>
        <w:keepLines/>
        <w:spacing w:before="360" w:after="180" w:line="360" w:lineRule="auto"/>
        <w:jc w:val="left"/>
        <w:ind w:firstLine="0"/>
        <w:outlineLvl w:val="1"/>
      </w:pPr>
      <w:r>
        <w:rPr>
          <w:b/>
          <w:bCs/>
          <w:rFonts w:ascii="Times New Roman" w:hAnsi="Times New Roman" w:cs="Times New Roman" w:eastAsia="Times New Roman"/>
          <w:sz w:val="30"/>
          <w:szCs w:val="30"/>
        </w:rPr>
        <w:t xml:space="preserve">Барьеры принятия как стартовая точка продвижения</w:t>
      </w:r>
    </w:p>
    <w:p>
      <w:pPr>
        <w:jc w:val="both"/>
        <w:ind w:firstLine="709"/>
        <w:spacing w:before="0" w:after="0" w:line="360" w:lineRule="auto"/>
      </w:pPr>
      <w:r>
        <w:rPr>
          <w:rFonts w:ascii="Times New Roman" w:hAnsi="Times New Roman" w:cs="Times New Roman" w:eastAsia="Times New Roman"/>
          <w:sz w:val="28"/>
          <w:szCs w:val="28"/>
        </w:rPr>
        <w:t xml:space="preserve">Если для обычного банковского продукта продвижение начинается с информирования и стимулирования спроса, то для биометрии оно начинается с барьеров. Без их снятия информирование не работает: клиент слышит сообщение о новом сервисе, но не переходит к действию [4, с. 43; 9, с. 113]. Барьеры биометрии в банковском секторе делятся на четыре группы — психологические, поведенческие, организационные (для B2B-заказчиков) и регуляторно-репутационные. Каждая группа требует своего инструментария продвижения, и именно сопоставление барьеров с инструментами из параграфа 1.2 даёт работоспособную стратегию (таблица 1.3.1).</w:t>
      </w:r>
    </w:p>
    <w:p>
      <w:pPr>
        <w:jc w:val="both"/>
        <w:ind w:firstLine="709"/>
        <w:spacing w:before="0" w:after="0" w:line="360" w:lineRule="auto"/>
      </w:pPr>
      <w:r>
        <w:rPr>
          <w:rFonts w:ascii="Times New Roman" w:hAnsi="Times New Roman" w:cs="Times New Roman" w:eastAsia="Times New Roman"/>
          <w:sz w:val="28"/>
          <w:szCs w:val="28"/>
        </w:rPr>
        <w:t xml:space="preserve">Таблица 1.3.1</w:t>
      </w:r>
    </w:p>
    <w:p>
      <w:pPr>
        <w:jc w:val="both"/>
        <w:ind w:firstLine="709"/>
        <w:spacing w:before="0" w:after="0" w:line="360" w:lineRule="auto"/>
      </w:pPr>
      <w:r>
        <w:rPr>
          <w:rFonts w:ascii="Times New Roman" w:hAnsi="Times New Roman" w:cs="Times New Roman" w:eastAsia="Times New Roman"/>
          <w:sz w:val="28"/>
          <w:szCs w:val="28"/>
        </w:rPr>
        <w:t xml:space="preserve">Барьеры принятия биометрических технологий и инструменты их преодоления</w:t>
      </w: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409"/>
        <w:gridCol w:w="2409"/>
        <w:gridCol w:w="2409"/>
        <w:gridCol w:w="2409"/>
      </w:tblGrid>
      <w:tr>
        <w:trPr>
          <w:tblHeader/>
        </w:trPr>
        <w:tc>
          <w:tcPr>
            <w:tcW w:w="2409" w:type="dxa"/>
            <w:vAlign w:val="center"/>
          </w:tcPr>
          <w:p>
            <w:pPr>
              <w:spacing w:before="40" w:after="40" w:line="240" w:lineRule="auto"/>
              <w:ind w:firstLine="0"/>
              <w:jc w:val="center"/>
            </w:pPr>
            <w:r>
              <w:rPr>
                <w:b/>
                <w:bCs/>
                <w:rFonts w:ascii="Times New Roman" w:hAnsi="Times New Roman" w:cs="Times New Roman" w:eastAsia="Times New Roman"/>
                <w:sz w:val="24"/>
                <w:szCs w:val="24"/>
              </w:rPr>
              <w:t xml:space="preserve">Группа барьеров</w:t>
            </w:r>
          </w:p>
        </w:tc>
        <w:tc>
          <w:tcPr>
            <w:tcW w:w="2409" w:type="dxa"/>
            <w:vAlign w:val="center"/>
          </w:tcPr>
          <w:p>
            <w:pPr>
              <w:spacing w:before="40" w:after="40" w:line="240" w:lineRule="auto"/>
              <w:ind w:firstLine="0"/>
              <w:jc w:val="center"/>
            </w:pPr>
            <w:r>
              <w:rPr>
                <w:b/>
                <w:bCs/>
                <w:rFonts w:ascii="Times New Roman" w:hAnsi="Times New Roman" w:cs="Times New Roman" w:eastAsia="Times New Roman"/>
                <w:sz w:val="24"/>
                <w:szCs w:val="24"/>
              </w:rPr>
              <w:t xml:space="preserve">Содержание барьера</w:t>
            </w:r>
          </w:p>
        </w:tc>
        <w:tc>
          <w:tcPr>
            <w:tcW w:w="2409" w:type="dxa"/>
            <w:vAlign w:val="center"/>
          </w:tcPr>
          <w:p>
            <w:pPr>
              <w:spacing w:before="40" w:after="40" w:line="240" w:lineRule="auto"/>
              <w:ind w:firstLine="0"/>
              <w:jc w:val="center"/>
            </w:pPr>
            <w:r>
              <w:rPr>
                <w:b/>
                <w:bCs/>
                <w:rFonts w:ascii="Times New Roman" w:hAnsi="Times New Roman" w:cs="Times New Roman" w:eastAsia="Times New Roman"/>
                <w:sz w:val="24"/>
                <w:szCs w:val="24"/>
              </w:rPr>
              <w:t xml:space="preserve">Инструмент продвижения (из 1.2)</w:t>
            </w:r>
          </w:p>
        </w:tc>
        <w:tc>
          <w:tcPr>
            <w:tcW w:w="2409" w:type="dxa"/>
            <w:vAlign w:val="center"/>
          </w:tcPr>
          <w:p>
            <w:pPr>
              <w:spacing w:before="40" w:after="40" w:line="240" w:lineRule="auto"/>
              <w:ind w:firstLine="0"/>
              <w:jc w:val="center"/>
            </w:pPr>
            <w:r>
              <w:rPr>
                <w:b/>
                <w:bCs/>
                <w:rFonts w:ascii="Times New Roman" w:hAnsi="Times New Roman" w:cs="Times New Roman" w:eastAsia="Times New Roman"/>
                <w:sz w:val="24"/>
                <w:szCs w:val="24"/>
              </w:rPr>
              <w:t xml:space="preserve">Конкретная форма для биометрии</w:t>
            </w:r>
          </w:p>
        </w:tc>
      </w:tr>
      <w:tr>
        <w:trPr/>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Психологические</w:t>
            </w:r>
          </w:p>
        </w:tc>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Страх утечки биометрии, опасения злоупотреблений, ощущение невозможности «отозвать» сданный образец</w:t>
            </w:r>
          </w:p>
        </w:tc>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Этап «Доверие» в воронке; элемент Physical evidence в 7P</w:t>
            </w:r>
          </w:p>
        </w:tc>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Сертификаты ФСБ/ФСТЭК, объяснение архитектуры ГИС ЕБС, прозрачная политика обработки данных</w:t>
            </w:r>
          </w:p>
        </w:tc>
      </w:tr>
      <w:tr>
        <w:trPr/>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Когнитивные</w:t>
            </w:r>
          </w:p>
        </w:tc>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Непонимание принципа работы, мифы о «слежке», непрозрачность сценария использования</w:t>
            </w:r>
          </w:p>
        </w:tc>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Образовательный контент-маркетинг; элемент People в 7P</w:t>
            </w:r>
          </w:p>
        </w:tc>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Видеоинструкции, инфографика, FAQ, разъяснения от экспертов банка</w:t>
            </w:r>
          </w:p>
        </w:tc>
      </w:tr>
      <w:tr>
        <w:trPr/>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Поведенческие</w:t>
            </w:r>
          </w:p>
        </w:tc>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Привычка к картам, паролям и документам; инерция потребительского поведения</w:t>
            </w:r>
          </w:p>
        </w:tc>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Демонстрационная стратегия; стратегия работы с ранними последователями</w:t>
            </w:r>
          </w:p>
        </w:tc>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Демозоны в отделениях, пилоты на лояльной аудитории (сотрудники, корпоративные клиенты), геймификация регистрации</w:t>
            </w:r>
          </w:p>
        </w:tc>
      </w:tr>
      <w:tr>
        <w:trPr/>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Организационные (B2B)</w:t>
            </w:r>
          </w:p>
        </w:tc>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Стоимость внедрения, длительный срок окупаемости, сложность интеграции с существующей СКУД и ИТ-инфраструктурой</w:t>
            </w:r>
          </w:p>
        </w:tc>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Расчёт ROI и LTV; партнёрская стратегия; пилотные проекты</w:t>
            </w:r>
          </w:p>
        </w:tc>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Бизнес-кейсы с количественным эффектом, пилотные внедрения с минимальной инфраструктурой, партнёрства с интеграторами</w:t>
            </w:r>
          </w:p>
        </w:tc>
      </w:tr>
      <w:tr>
        <w:trPr/>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Регуляторно-репутационные</w:t>
            </w:r>
          </w:p>
        </w:tc>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Риск штрафов и уголовной ответственности при неправомерном обращении с биометрией; репутационный ущерб от инцидентов</w:t>
            </w:r>
          </w:p>
        </w:tc>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PR и деловые СМИ; элемент Physical evidence в 7P</w:t>
            </w:r>
          </w:p>
        </w:tc>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Демонстрация статуса аккредитованного оператора КБС, публикация ESG-отчётности, открытость к проверкам</w:t>
            </w:r>
          </w:p>
        </w:tc>
      </w:tr>
    </w:tbl>
    <w:p>
      <w:pPr>
        <w:jc w:val="both"/>
        <w:ind w:firstLine="709"/>
        <w:spacing w:before="0" w:after="0" w:line="360" w:lineRule="auto"/>
      </w:pPr>
      <w:r>
        <w:rPr>
          <w:rFonts w:ascii="Times New Roman" w:hAnsi="Times New Roman" w:cs="Times New Roman" w:eastAsia="Times New Roman"/>
          <w:sz w:val="28"/>
          <w:szCs w:val="28"/>
        </w:rPr>
        <w:t xml:space="preserve">Источник: составлено автором по данным [4, с. 41–47; 8, с. 106–110; 9, с. 113–119; 17, с. 354; 23, с. 7–8; 27]</w:t>
      </w:r>
    </w:p>
    <w:p>
      <w:pPr>
        <w:jc w:val="both"/>
        <w:ind w:firstLine="709"/>
        <w:spacing w:before="0" w:after="0" w:line="360" w:lineRule="auto"/>
      </w:pPr>
      <w:r>
        <w:rPr>
          <w:rFonts w:ascii="Times New Roman" w:hAnsi="Times New Roman" w:cs="Times New Roman" w:eastAsia="Times New Roman"/>
          <w:sz w:val="28"/>
          <w:szCs w:val="28"/>
        </w:rPr>
        <w:t xml:space="preserve">Главный практический вывод из этой раскладки в том, что бюджет продвижения биометрии распределяется иначе, чем для обычного банковского продукта. Если у массового потребительского сервиса основная часть приходится на этап осведомлённости и интереса, то у биометрии непропорционально большая доля уходит на этапы доверия и пробного использования: образовательный контент, демонстрации, пилоты, экспертные публикации, разъяснение мер защиты данных. На массовую рекламу до снятия барьеров доверия инвестиции окупаются плохо.</w:t>
      </w:r>
    </w:p>
    <w:p>
      <w:pPr>
        <w:pStyle w:val="Heading2"/>
        <w:keepNext/>
        <w:keepLines/>
        <w:spacing w:before="360" w:after="180" w:line="360" w:lineRule="auto"/>
        <w:jc w:val="left"/>
        <w:ind w:firstLine="0"/>
        <w:outlineLvl w:val="1"/>
      </w:pPr>
      <w:r>
        <w:rPr>
          <w:b/>
          <w:bCs/>
          <w:rFonts w:ascii="Times New Roman" w:hAnsi="Times New Roman" w:cs="Times New Roman" w:eastAsia="Times New Roman"/>
          <w:sz w:val="30"/>
          <w:szCs w:val="30"/>
        </w:rPr>
        <w:t xml:space="preserve">Условия успешного продвижения биометрических технологий</w:t>
      </w:r>
    </w:p>
    <w:p>
      <w:pPr>
        <w:jc w:val="both"/>
        <w:ind w:firstLine="709"/>
        <w:spacing w:before="0" w:after="0" w:line="360" w:lineRule="auto"/>
      </w:pPr>
      <w:r>
        <w:rPr>
          <w:rFonts w:ascii="Times New Roman" w:hAnsi="Times New Roman" w:cs="Times New Roman" w:eastAsia="Times New Roman"/>
          <w:sz w:val="28"/>
          <w:szCs w:val="28"/>
        </w:rPr>
        <w:t xml:space="preserve">Барьеры показывают, что нужно преодолеть; условия успеха — какие предпосылки должны выполняться, чтобы продвижение в принципе работало. Это четыре группы факторов, которые формируют верхнюю границу того, что вообще достижимо маркетингом (таблица 1.3.2).</w:t>
      </w:r>
    </w:p>
    <w:p>
      <w:pPr>
        <w:jc w:val="both"/>
        <w:ind w:firstLine="709"/>
        <w:spacing w:before="0" w:after="0" w:line="360" w:lineRule="auto"/>
      </w:pPr>
      <w:r>
        <w:rPr>
          <w:rFonts w:ascii="Times New Roman" w:hAnsi="Times New Roman" w:cs="Times New Roman" w:eastAsia="Times New Roman"/>
          <w:sz w:val="28"/>
          <w:szCs w:val="28"/>
        </w:rPr>
        <w:t xml:space="preserve">Таблица 1.3.2</w:t>
      </w:r>
    </w:p>
    <w:p>
      <w:pPr>
        <w:jc w:val="both"/>
        <w:ind w:firstLine="709"/>
        <w:spacing w:before="0" w:after="0" w:line="360" w:lineRule="auto"/>
      </w:pPr>
      <w:r>
        <w:rPr>
          <w:rFonts w:ascii="Times New Roman" w:hAnsi="Times New Roman" w:cs="Times New Roman" w:eastAsia="Times New Roman"/>
          <w:sz w:val="28"/>
          <w:szCs w:val="28"/>
        </w:rPr>
        <w:t xml:space="preserve">Условия успешного продвижения биометрических технологий в банковском секторе</w:t>
      </w: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213"/>
        <w:gridCol w:w="3213"/>
        <w:gridCol w:w="3213"/>
      </w:tblGrid>
      <w:tr>
        <w:trPr>
          <w:tblHeader/>
        </w:trPr>
        <w:tc>
          <w:tcPr>
            <w:tcW w:w="3213" w:type="dxa"/>
            <w:vAlign w:val="center"/>
          </w:tcPr>
          <w:p>
            <w:pPr>
              <w:spacing w:before="40" w:after="40" w:line="240" w:lineRule="auto"/>
              <w:ind w:firstLine="0"/>
              <w:jc w:val="center"/>
            </w:pPr>
            <w:r>
              <w:rPr>
                <w:b/>
                <w:bCs/>
                <w:rFonts w:ascii="Times New Roman" w:hAnsi="Times New Roman" w:cs="Times New Roman" w:eastAsia="Times New Roman"/>
                <w:sz w:val="24"/>
                <w:szCs w:val="24"/>
              </w:rPr>
              <w:t xml:space="preserve">Группа условий</w:t>
            </w:r>
          </w:p>
        </w:tc>
        <w:tc>
          <w:tcPr>
            <w:tcW w:w="3213" w:type="dxa"/>
            <w:vAlign w:val="center"/>
          </w:tcPr>
          <w:p>
            <w:pPr>
              <w:spacing w:before="40" w:after="40" w:line="240" w:lineRule="auto"/>
              <w:ind w:firstLine="0"/>
              <w:jc w:val="center"/>
            </w:pPr>
            <w:r>
              <w:rPr>
                <w:b/>
                <w:bCs/>
                <w:rFonts w:ascii="Times New Roman" w:hAnsi="Times New Roman" w:cs="Times New Roman" w:eastAsia="Times New Roman"/>
                <w:sz w:val="24"/>
                <w:szCs w:val="24"/>
              </w:rPr>
              <w:t xml:space="preserve">Содержание</w:t>
            </w:r>
          </w:p>
        </w:tc>
        <w:tc>
          <w:tcPr>
            <w:tcW w:w="3213" w:type="dxa"/>
            <w:vAlign w:val="center"/>
          </w:tcPr>
          <w:p>
            <w:pPr>
              <w:spacing w:before="40" w:after="40" w:line="240" w:lineRule="auto"/>
              <w:ind w:firstLine="0"/>
              <w:jc w:val="center"/>
            </w:pPr>
            <w:r>
              <w:rPr>
                <w:b/>
                <w:bCs/>
                <w:rFonts w:ascii="Times New Roman" w:hAnsi="Times New Roman" w:cs="Times New Roman" w:eastAsia="Times New Roman"/>
                <w:sz w:val="24"/>
                <w:szCs w:val="24"/>
              </w:rPr>
              <w:t xml:space="preserve">Что обеспечивает в продвижении</w:t>
            </w:r>
          </w:p>
        </w:tc>
      </w:tr>
      <w:tr>
        <w:trPr/>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Правовые</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Соответствие 572-ФЗ, аккредитация Минцифры в качестве оператора КБС, сертификация ФСБ и ФСТЭК, наличие письменного согласия пользователя</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Право вообще выводить продукт на рынок и легально использовать его в коммуникации как «безопасный и законный»</w:t>
            </w:r>
          </w:p>
        </w:tc>
      </w:tr>
      <w:tr>
        <w:trPr/>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Социально-психологические</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Уровень доверия к технологии, готовность аудитории к освоению инноваций, отсутствие острых негативных кейсов в публичном поле</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Восприимчивость аудитории к маркетинговым сообщениям; реалистичность сроков перехода от интереса к принятию</w:t>
            </w:r>
          </w:p>
        </w:tc>
      </w:tr>
      <w:tr>
        <w:trPr/>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Технологические</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Точность распознавания (FAR/FRR), надёжность оборудования, скорость работы, простота интеграции с существующими системами заказчика</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Реальное соответствие продукта обещаниям маркетинга; возможность работы со статистикой точности и кейсами</w:t>
            </w:r>
          </w:p>
        </w:tc>
      </w:tr>
      <w:tr>
        <w:trPr/>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Экономические</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Понятный срок окупаемости для B2B-заказчика, обоснованная цена внедрения, измеримый эффект (сокращение очередей, снижение операционных рисков, ускорение обслуживания)</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Аргументация продаж в B2B и B2G; возможность строить продвижение на ROI, а не только на эмоциях</w:t>
            </w:r>
          </w:p>
        </w:tc>
      </w:tr>
    </w:tbl>
    <w:p>
      <w:pPr>
        <w:jc w:val="both"/>
        <w:ind w:firstLine="709"/>
        <w:spacing w:before="0" w:after="0" w:line="360" w:lineRule="auto"/>
      </w:pPr>
      <w:r>
        <w:rPr>
          <w:rFonts w:ascii="Times New Roman" w:hAnsi="Times New Roman" w:cs="Times New Roman" w:eastAsia="Times New Roman"/>
          <w:sz w:val="28"/>
          <w:szCs w:val="28"/>
        </w:rPr>
        <w:t xml:space="preserve">Источник: составлено автором по данным [4, с. 45; 7, с. 93; 8, с. 106; 27]</w:t>
      </w:r>
    </w:p>
    <w:p>
      <w:pPr>
        <w:jc w:val="both"/>
        <w:ind w:firstLine="709"/>
        <w:spacing w:before="0" w:after="0" w:line="360" w:lineRule="auto"/>
      </w:pPr>
      <w:r>
        <w:rPr>
          <w:rFonts w:ascii="Times New Roman" w:hAnsi="Times New Roman" w:cs="Times New Roman" w:eastAsia="Times New Roman"/>
          <w:sz w:val="28"/>
          <w:szCs w:val="28"/>
        </w:rPr>
        <w:t xml:space="preserve">Эти четыре группы — не предмет маркетинга, а его рамка. Если правовое условие нарушено, никакое продвижение не спасёт продукт от регуляторных санкций. Если технологическое условие не выполняется (например, точность распознавания недостаточна для финансовых операций), любая реклама сработает в минус: первый же негативный пользовательский опыт уничтожит репутационный капитал. Если экономическое условие не обосновано для B2B-клиента, лучшая в мире коммуникация не приведёт к подписанию контракта. Поэтому стратегия продвижения биометрии в банке всегда строится после того, как зафиксированы эти четыре опоры, а не вместо них.</w:t>
      </w:r>
    </w:p>
    <w:p>
      <w:pPr>
        <w:pStyle w:val="Heading2"/>
        <w:keepNext/>
        <w:keepLines/>
        <w:spacing w:before="360" w:after="180" w:line="360" w:lineRule="auto"/>
        <w:jc w:val="left"/>
        <w:ind w:firstLine="0"/>
        <w:outlineLvl w:val="1"/>
      </w:pPr>
      <w:r>
        <w:rPr>
          <w:b/>
          <w:bCs/>
          <w:rFonts w:ascii="Times New Roman" w:hAnsi="Times New Roman" w:cs="Times New Roman" w:eastAsia="Times New Roman"/>
          <w:sz w:val="30"/>
          <w:szCs w:val="30"/>
        </w:rPr>
        <w:t xml:space="preserve">Конфигурация инструментов из 1.2 под специфику биометрии</w:t>
      </w:r>
    </w:p>
    <w:p>
      <w:pPr>
        <w:jc w:val="both"/>
        <w:ind w:firstLine="709"/>
        <w:spacing w:before="0" w:after="0" w:line="360" w:lineRule="auto"/>
      </w:pPr>
      <w:r>
        <w:rPr>
          <w:rFonts w:ascii="Times New Roman" w:hAnsi="Times New Roman" w:cs="Times New Roman" w:eastAsia="Times New Roman"/>
          <w:sz w:val="28"/>
          <w:szCs w:val="28"/>
        </w:rPr>
        <w:t xml:space="preserve">С учётом барьеров и условий стандартные инструменты продвижения, рассмотренные в параграфе 1.2, перенастраиваются для биометрии в банковском секторе следующим образом.</w:t>
      </w:r>
    </w:p>
    <w:p>
      <w:pPr>
        <w:jc w:val="both"/>
        <w:ind w:firstLine="709"/>
        <w:spacing w:before="0" w:after="0" w:line="360" w:lineRule="auto"/>
      </w:pPr>
      <w:r>
        <w:rPr>
          <w:b/>
          <w:bCs/>
          <w:rFonts w:ascii="Times New Roman" w:hAnsi="Times New Roman" w:cs="Times New Roman" w:eastAsia="Times New Roman"/>
          <w:sz w:val="28"/>
          <w:szCs w:val="28"/>
        </w:rPr>
        <w:t xml:space="preserve">Интегрированная стратегия (push + pull) в банковской биометрии распадается по сегментам.</w:t>
      </w:r>
      <w:r>
        <w:rPr>
          <w:rFonts w:ascii="Times New Roman" w:hAnsi="Times New Roman" w:cs="Times New Roman" w:eastAsia="Times New Roman"/>
          <w:sz w:val="28"/>
          <w:szCs w:val="28"/>
        </w:rPr>
        <w:t xml:space="preserve"> Push-составляющая работает в B2B и B2G: банк через прямые продажи, отраслевые конференции, партнёрства с интеграторами и вендорами оборудования продвигает решение корпоративным заказчикам и государственным организациям. Pull-составляющая работает в B2C: формирование спроса со стороны конечных пользователей через рекламу, контент-маркетинг и социальные сети [4, с. 48; 8, с. 106]. Особенность в том, что pull в биометрии вторичен по отношению к push: B2B-заказчик принимает решение о внедрении только тогда, когда видит готовность своих клиентов пользоваться технологией, а готовность клиентов формируется через массовые сценарии (метро, библиотеки, магазины), которые сами по себе требуют B2B-партнёра.</w:t>
      </w:r>
    </w:p>
    <w:p>
      <w:pPr>
        <w:jc w:val="both"/>
        <w:ind w:firstLine="709"/>
        <w:spacing w:before="0" w:after="0" w:line="360" w:lineRule="auto"/>
      </w:pPr>
      <w:r>
        <w:rPr>
          <w:b/>
          <w:bCs/>
          <w:rFonts w:ascii="Times New Roman" w:hAnsi="Times New Roman" w:cs="Times New Roman" w:eastAsia="Times New Roman"/>
          <w:sz w:val="28"/>
          <w:szCs w:val="28"/>
        </w:rPr>
        <w:t xml:space="preserve">Модель STP сегментирует рынок не по социально-демографическим признакам, а по типу заказчика и сценарию использования.</w:t>
      </w:r>
      <w:r>
        <w:rPr>
          <w:rFonts w:ascii="Times New Roman" w:hAnsi="Times New Roman" w:cs="Times New Roman" w:eastAsia="Times New Roman"/>
          <w:sz w:val="28"/>
          <w:szCs w:val="28"/>
        </w:rPr>
        <w:t xml:space="preserve"> Сегменты — банки, МФО, ритейл, гостиницы, транспорт, режимные объекты, государственные учреждения. Для каждого формируется собственное позиционирование: для банков — «соответствие 572-ФЗ и снижение рисков мошенничества», для ритейла — «ускорение обслуживания», для режимных объектов — «контроль доступа без передаваемых пропусков», для государственных учреждений — «цифровизация идентификации без документов» [11, с. 124; 17, с. 314].</w:t>
      </w:r>
    </w:p>
    <w:p>
      <w:pPr>
        <w:jc w:val="both"/>
        <w:ind w:firstLine="709"/>
        <w:spacing w:before="0" w:after="0" w:line="360" w:lineRule="auto"/>
      </w:pPr>
      <w:r>
        <w:rPr>
          <w:b/>
          <w:bCs/>
          <w:rFonts w:ascii="Times New Roman" w:hAnsi="Times New Roman" w:cs="Times New Roman" w:eastAsia="Times New Roman"/>
          <w:sz w:val="28"/>
          <w:szCs w:val="28"/>
        </w:rPr>
        <w:t xml:space="preserve">В расширенном комплексе 7P для биометрии непропорционально вырастают три элемента — People, Process и Physical evidence.</w:t>
      </w:r>
      <w:r>
        <w:rPr>
          <w:rFonts w:ascii="Times New Roman" w:hAnsi="Times New Roman" w:cs="Times New Roman" w:eastAsia="Times New Roman"/>
          <w:sz w:val="28"/>
          <w:szCs w:val="28"/>
        </w:rPr>
        <w:t xml:space="preserve"> People — экспертиза сотрудников банка, выступающих публичными лицами продукта, и качество сопровождения внедрения у заказчика. Process — простота пользовательского пути регистрации и использования (минимизация шагов, скорость распознавания, понятный сценарий восстановления доступа). Physical evidence — сертификаты ФСБ и ФСТЭК, аккредитация Минцифры, кейсы внедрений, отзывы сотрудников банка как ранних пользователей [4, с. 50; 8, с. 109]. Эти три элемента закрывают психологический барьер сильнее, чем элементы Promotion и Price в их классической форме.</w:t>
      </w:r>
    </w:p>
    <w:p>
      <w:pPr>
        <w:jc w:val="both"/>
        <w:ind w:firstLine="709"/>
        <w:spacing w:before="0" w:after="0" w:line="360" w:lineRule="auto"/>
      </w:pPr>
      <w:r>
        <w:rPr>
          <w:b/>
          <w:bCs/>
          <w:rFonts w:ascii="Times New Roman" w:hAnsi="Times New Roman" w:cs="Times New Roman" w:eastAsia="Times New Roman"/>
          <w:sz w:val="28"/>
          <w:szCs w:val="28"/>
        </w:rPr>
        <w:t xml:space="preserve">Маркетинговая воронка для биометрии вытягивается на этапе «Доверие».</w:t>
      </w:r>
      <w:r>
        <w:rPr>
          <w:rFonts w:ascii="Times New Roman" w:hAnsi="Times New Roman" w:cs="Times New Roman" w:eastAsia="Times New Roman"/>
          <w:sz w:val="28"/>
          <w:szCs w:val="28"/>
        </w:rPr>
        <w:t xml:space="preserve"> Между этапами «Интерес» и «Пробное использование» стандартной воронки в биометрии встраивается отдельный длинный этап работы с возражениями: разъяснение архитектуры хранения биометрии в ГИС ЕБС, демонстрация мер защиты, ответы на вопросы о конфиденциальности, публикация статистики точности. Без этого этапа большая часть аудитории, проявившей интерес, не доходит до пробного использования [12, с. 64; 20, с. 11; 23, с. 6].</w:t>
      </w:r>
    </w:p>
    <w:p>
      <w:pPr>
        <w:jc w:val="both"/>
        <w:ind w:firstLine="709"/>
        <w:spacing w:before="0" w:after="0" w:line="360" w:lineRule="auto"/>
      </w:pPr>
      <w:r>
        <w:rPr>
          <w:b/>
          <w:bCs/>
          <w:rFonts w:ascii="Times New Roman" w:hAnsi="Times New Roman" w:cs="Times New Roman" w:eastAsia="Times New Roman"/>
          <w:sz w:val="28"/>
          <w:szCs w:val="28"/>
        </w:rPr>
        <w:t xml:space="preserve">Каналы продвижения смещаются в сторону экспертных и демонстрационных форматов.</w:t>
      </w:r>
      <w:r>
        <w:rPr>
          <w:rFonts w:ascii="Times New Roman" w:hAnsi="Times New Roman" w:cs="Times New Roman" w:eastAsia="Times New Roman"/>
          <w:sz w:val="28"/>
          <w:szCs w:val="28"/>
        </w:rPr>
        <w:t xml:space="preserve"> Удельный вес массовой рекламы снижается в пользу образовательного контент-маркетинга, отраслевых мероприятий, экспертных публикаций в деловых СМИ и физических демозон в офисах банка и партнёрских точках. Социальные сети используются не столько для прямого охвата, сколько для работы с возражениями и распространения отзывов «послов бренда» — технологически ориентированных сотрудников банка, корпоративных клиентов и пилотных пользователей [12, с. 102–135; 24, с. 161; 27].</w:t>
      </w:r>
    </w:p>
    <w:p>
      <w:pPr>
        <w:jc w:val="both"/>
        <w:ind w:firstLine="709"/>
        <w:spacing w:before="0" w:after="0" w:line="360" w:lineRule="auto"/>
      </w:pPr>
      <w:r>
        <w:rPr>
          <w:b/>
          <w:bCs/>
          <w:rFonts w:ascii="Times New Roman" w:hAnsi="Times New Roman" w:cs="Times New Roman" w:eastAsia="Times New Roman"/>
          <w:sz w:val="28"/>
          <w:szCs w:val="28"/>
        </w:rPr>
        <w:t xml:space="preserve">Программы стимулирования и партнёрства образуют экосистемный слой продвижения.</w:t>
      </w:r>
      <w:r>
        <w:rPr>
          <w:rFonts w:ascii="Times New Roman" w:hAnsi="Times New Roman" w:cs="Times New Roman" w:eastAsia="Times New Roman"/>
          <w:sz w:val="28"/>
          <w:szCs w:val="28"/>
        </w:rPr>
        <w:t xml:space="preserve"> Геймификация регистрации, бонусные программы для ранних пользователей, эксклюзивный доступ к дополнительным функциям снижают психологические барьеры и повышают конверсию в пробное использование [10, с. 8; 12, с. 124; 23, с. 8]. Партнёрства с производителями турникетов и POS-терминалов, разработчиками СКУД, платёжными системами и государственными структурами расширяют каналы дистрибуции, а сама ассоциация с авторитетными партнёрами работает как дополнительный элемент Physical evidence в восприятии заказчиков [4, с. 51; 27].</w:t>
      </w:r>
    </w:p>
    <w:p>
      <w:pPr>
        <w:pStyle w:val="Heading2"/>
        <w:keepNext/>
        <w:keepLines/>
        <w:spacing w:before="360" w:after="180" w:line="360" w:lineRule="auto"/>
        <w:jc w:val="left"/>
        <w:ind w:firstLine="0"/>
        <w:outlineLvl w:val="1"/>
      </w:pPr>
      <w:r>
        <w:rPr>
          <w:b/>
          <w:bCs/>
          <w:rFonts w:ascii="Times New Roman" w:hAnsi="Times New Roman" w:cs="Times New Roman" w:eastAsia="Times New Roman"/>
          <w:sz w:val="30"/>
          <w:szCs w:val="30"/>
        </w:rPr>
        <w:t xml:space="preserve">Переход к главе 2</w:t>
      </w:r>
    </w:p>
    <w:p>
      <w:pPr>
        <w:jc w:val="both"/>
        <w:ind w:firstLine="709"/>
        <w:spacing w:before="0" w:after="0" w:line="360" w:lineRule="auto"/>
      </w:pPr>
      <w:r>
        <w:rPr>
          <w:rFonts w:ascii="Times New Roman" w:hAnsi="Times New Roman" w:cs="Times New Roman" w:eastAsia="Times New Roman"/>
          <w:sz w:val="28"/>
          <w:szCs w:val="28"/>
        </w:rPr>
        <w:t xml:space="preserve">Сформированная теоретическая рамка позволяет дальше анализировать продвижение биометрического продукта Face2 Ак Барс Банка не как набор разрозненных активностей, а как систему. В главе 2 проверяется, как эта рамка реализована на практике: какой барьерный набор реально стоит перед Face2 на российском рынке, какие из четырёх условий успеха закрыты у Ак Барс Банка институционально, как конфигурируются инструменты продвижения под продуктовую линейку (Face2Pay, Face2Pass, Face2Check-in, КБС под ключ), и какие сегменты B2B и B2G банк уже охватывает первыми коммерческими внедрениями. Параграф 2.1 описывает банк как разработчика и продукт как объект продвижения, параграф 2.2 — конкурентное окружение и рыночные условия, параграф 2.3 — текущее состояние продвижения и его пробелы. Глава 3 на этой основе формирует целевой комплекс мероприятий по продвижению Face2.</w:t>
      </w:r>
    </w:p>
    <w:p>
      <w:pPr>
        <w:pStyle w:val="Heading1"/>
        <w:keepNext/>
        <w:keepLines/>
        <w:spacing w:before="360" w:after="180" w:line="360" w:lineRule="auto"/>
        <w:jc w:val="center"/>
        <w:ind w:firstLine="0"/>
        <w:outlineLvl w:val="0"/>
      </w:pPr>
      <w:r>
        <w:rPr>
          <w:b/>
          <w:bCs/>
          <w:rFonts w:ascii="Times New Roman" w:hAnsi="Times New Roman" w:cs="Times New Roman" w:eastAsia="Times New Roman"/>
          <w:sz w:val="32"/>
          <w:szCs w:val="32"/>
        </w:rPr>
        <w:t xml:space="preserve">Вывод по главе 1</w:t>
      </w:r>
    </w:p>
    <w:p>
      <w:pPr>
        <w:jc w:val="both"/>
        <w:ind w:firstLine="709"/>
        <w:spacing w:before="0" w:after="0" w:line="360" w:lineRule="auto"/>
      </w:pPr>
      <w:r>
        <w:rPr>
          <w:rFonts w:ascii="Times New Roman" w:hAnsi="Times New Roman" w:cs="Times New Roman" w:eastAsia="Times New Roman"/>
          <w:sz w:val="28"/>
          <w:szCs w:val="28"/>
        </w:rPr>
        <w:t xml:space="preserve">Инновационный продукт — это результат научно-технической и интеллектуальной деятельности с качественно новыми характеристиками, отличающийся от традиционного товара повышенным уровнем неопределённости рыночного успеха и необходимостью изменения поведенческих паттернов потребителя. Эти признаки задают специфику его продвижения: помимо стандартных задач информирования и стимулирования спроса требуется образовательная коммуникация, демонстрация ценности и работа с воспринимаемыми рисками.</w:t>
      </w:r>
    </w:p>
    <w:p>
      <w:pPr>
        <w:jc w:val="both"/>
        <w:ind w:firstLine="709"/>
        <w:spacing w:before="0" w:after="0" w:line="360" w:lineRule="auto"/>
      </w:pPr>
      <w:r>
        <w:rPr>
          <w:rFonts w:ascii="Times New Roman" w:hAnsi="Times New Roman" w:cs="Times New Roman" w:eastAsia="Times New Roman"/>
          <w:sz w:val="28"/>
          <w:szCs w:val="28"/>
        </w:rPr>
        <w:t xml:space="preserve">Цифровые инновационные продукты банковского сектора образуют отдельный подкласс с повышенными требованиями к защите данных, нормативно-правовому соответствию и доверию пользователей. Биометрические системы — крайний случай в этом подклассе: они сочетают высокую технологическую сложность, работу с особо чувствительными персональными данными, жёсткий нормативно-правовой контур (572-ФЗ, аккредитация, сертификация ФСБ и ФСТЭК) и значительные психологические барьеры в восприятии. По совокупности этих характеристик биометрия относится к высокотехнологичным инновационным продуктам повышенного риска, и её продвижение не сводится к стандартному маркетингу: требуется особая стратегия, в которой обычные функции маркетинга дополняются образовательной составляющей, систематической работой с возражениями, демонстрацией мер защиты данных и подтверждением правовой корректности технологии.</w:t>
      </w:r>
    </w:p>
    <w:p>
      <w:pPr>
        <w:jc w:val="both"/>
        <w:ind w:firstLine="709"/>
        <w:spacing w:before="0" w:after="0" w:line="360" w:lineRule="auto"/>
      </w:pPr>
      <w:r>
        <w:rPr>
          <w:rFonts w:ascii="Times New Roman" w:hAnsi="Times New Roman" w:cs="Times New Roman" w:eastAsia="Times New Roman"/>
          <w:sz w:val="28"/>
          <w:szCs w:val="28"/>
        </w:rPr>
        <w:t xml:space="preserve">Инструментально такая стратегия опирается на интегрированный подход (push + pull), модель STP с разделением аудитории на B2B-, B2G- и B2C-сегменты, расширенный комплекс маркетинга 7P с особым весом элементов People, Process и Physical evidence, маркетинговую воронку с обязательным этапом формирования доверия, цифровые каналы и образовательно-демонстрационные форматы. Теория диффузии инноваций Э. Роджерса задаёт логику последовательной работы с разными группами аудитории: новаторы и ранние последователи становятся источниками доказательной базы для более консервативных сегментов. В банковской биометрии эти универсальные инструменты не отменяются, а перенастраиваются под пять групп барьеров принятия (психологических, когнитивных, поведенческих, организационных, регуляторно-репутационных) и опираются на четыре условия успешного продвижения — правовое, социально-психологическое, технологическое и экономическое; продвижение начинает работать только после того, как эти условия закрыты институционально.</w:t>
      </w:r>
    </w:p>
    <w:p>
      <w:pPr>
        <w:jc w:val="both"/>
        <w:ind w:firstLine="709"/>
        <w:spacing w:before="0" w:after="0" w:line="360" w:lineRule="auto"/>
      </w:pPr>
      <w:r>
        <w:rPr>
          <w:rFonts w:ascii="Times New Roman" w:hAnsi="Times New Roman" w:cs="Times New Roman" w:eastAsia="Times New Roman"/>
          <w:sz w:val="28"/>
          <w:szCs w:val="28"/>
        </w:rPr>
        <w:t xml:space="preserve">Сформулированные теоретические положения создают аналитическую рамку для последующих глав. В главе 2 разрабатывается стратегия продвижения Face2 Ак Барс Банка с учётом всех перечисленных особенностей биометрии как высокотехнологичного инновационного продукта повышенного риска: характеристика банка и продукта, анализ конкурентной среды и текущего продвижения. В главе 3 эта рамка переводится в конкретный комплекс маркетинговых мероприятий по продвижению биометрической системы.</w:t>
      </w:r>
    </w:p>
    <w:p>
      <w:pPr>
        <w:pBdr>
          <w:bottom w:val="single" w:sz="6" w:space="1" w:color="808080"/>
        </w:pBdr>
        <w:spacing w:before="120" w:after="120"/>
        <w:ind w:firstLine="0"/>
      </w:pPr>
    </w:p>
    <w:p>
      <w:pPr>
        <w:pStyle w:val="Heading1"/>
        <w:keepNext/>
        <w:keepLines/>
        <w:spacing w:before="360" w:after="180" w:line="360" w:lineRule="auto"/>
        <w:jc w:val="center"/>
        <w:ind w:firstLine="0"/>
        <w:outlineLvl w:val="0"/>
      </w:pPr>
      <w:r>
        <w:rPr>
          <w:b/>
          <w:bCs/>
          <w:rFonts w:ascii="Times New Roman" w:hAnsi="Times New Roman" w:cs="Times New Roman" w:eastAsia="Times New Roman"/>
          <w:sz w:val="32"/>
          <w:szCs w:val="32"/>
        </w:rPr>
        <w:t xml:space="preserve">2.1. Характеристика Ак Барс Банка и продукта Face2</w:t>
      </w:r>
    </w:p>
    <w:p>
      <w:pPr>
        <w:jc w:val="both"/>
        <w:ind w:firstLine="709"/>
        <w:spacing w:before="0" w:after="0" w:line="360" w:lineRule="auto"/>
      </w:pPr>
      <w:r>
        <w:rPr>
          <w:rFonts w:ascii="Times New Roman" w:hAnsi="Times New Roman" w:cs="Times New Roman" w:eastAsia="Times New Roman"/>
          <w:sz w:val="28"/>
          <w:szCs w:val="28"/>
        </w:rPr>
        <w:t xml:space="preserve">Анализ стратегии продвижения нового продукта начинается с разбора объекта, а не с разбора рынка. Без точного описания компании, её ресурсной базы и самого продукта оценка каналов, аудитории и рыночной позиции теряет основу. Поэтому первый шаг — характеристика Ак Барс Банка как разработчика Face2 и самого биометрического сервиса как объекта продвижения.</w:t>
      </w:r>
    </w:p>
    <w:p>
      <w:pPr>
        <w:jc w:val="both"/>
        <w:ind w:firstLine="709"/>
        <w:spacing w:before="0" w:after="0" w:line="360" w:lineRule="auto"/>
      </w:pPr>
      <w:r>
        <w:rPr>
          <w:rFonts w:ascii="Times New Roman" w:hAnsi="Times New Roman" w:cs="Times New Roman" w:eastAsia="Times New Roman"/>
          <w:sz w:val="28"/>
          <w:szCs w:val="28"/>
        </w:rPr>
        <w:t xml:space="preserve">Акционерный коммерческий банк «Ак Барс» — публичное акционерное общество с юридическим адресом в Казани, улица Декабристов, дом 1 [26, с. 7]. Банк работает по генеральной банковской лицензии Центрального банка Российской Федерации с 1993 года и входит в государственную систему страхования вкладов физических лиц [26, с. 6]. Государственная страховка покрывает выплаты по вкладам в пределах 1,4 млн рублей, а в особых обстоятельствах — до 10 млн рублей [26, с. 6]. Основной профиль группы — коммерческие и розничные банковские операции на территории России [26, с. 6]. Республика Татарстан — основной регион присутствия банка, и доля местных поставщиков в общем бюджете закупок на конец 2024 года составила не менее 60% [28, с. 67].</w:t>
      </w:r>
    </w:p>
    <w:p>
      <w:pPr>
        <w:jc w:val="both"/>
        <w:ind w:firstLine="709"/>
        <w:spacing w:before="0" w:after="0" w:line="360" w:lineRule="auto"/>
      </w:pPr>
      <w:r>
        <w:rPr>
          <w:rFonts w:ascii="Times New Roman" w:hAnsi="Times New Roman" w:cs="Times New Roman" w:eastAsia="Times New Roman"/>
          <w:sz w:val="28"/>
          <w:szCs w:val="28"/>
        </w:rPr>
        <w:t xml:space="preserve">Помимо самого банка в группу входят инвестиционные компании, лизинговая компания, страховые организации и негосударственный пенсионный фонд [26, с. 7]. Такая конструкция позволяет банку выходить за пределы классического кредитования и расчётов и собирать вокруг себя смежные финансовые сервисы — от пенсионных накоплений и страхования до лизинга оборудования. Состав группы показан на рисунке 2.1.1: банк объединяет вокруг головной кредитной организации инвестиционный, страховой и пенсионный блоки в единое юридически связанное целое.</w:t>
      </w:r>
    </w:p>
    <w:p>
      <w:pPr>
        <w:spacing w:before="0" w:after="0" w:line="240" w:lineRule="auto"/>
        <w:ind w:firstLine="0"/>
        <w:jc w:val="left"/>
      </w:pPr>
      <w:r>
        <w:rPr>
          <w:rFonts w:ascii="Courier New" w:hAnsi="Courier New" w:cs="Courier New" w:eastAsia="Courier New"/>
          <w:sz w:val="20"/>
          <w:szCs w:val="20"/>
        </w:rPr>
        <w:t xml:space="preserve">              ┌──────────────────────────────────────┐</w:t>
      </w:r>
    </w:p>
    <w:p>
      <w:pPr>
        <w:spacing w:before="0" w:after="0" w:line="240" w:lineRule="auto"/>
        <w:ind w:firstLine="0"/>
        <w:jc w:val="left"/>
      </w:pPr>
      <w:r>
        <w:rPr>
          <w:rFonts w:ascii="Courier New" w:hAnsi="Courier New" w:cs="Courier New" w:eastAsia="Courier New"/>
          <w:sz w:val="20"/>
          <w:szCs w:val="20"/>
        </w:rPr>
        <w:t xml:space="preserve">              │      Группа банка «Ак Барс»          │</w:t>
      </w:r>
    </w:p>
    <w:p>
      <w:pPr>
        <w:spacing w:before="0" w:after="0" w:line="240" w:lineRule="auto"/>
        <w:ind w:firstLine="0"/>
        <w:jc w:val="left"/>
      </w:pPr>
      <w:r>
        <w:rPr>
          <w:rFonts w:ascii="Courier New" w:hAnsi="Courier New" w:cs="Courier New" w:eastAsia="Courier New"/>
          <w:sz w:val="20"/>
          <w:szCs w:val="20"/>
        </w:rPr>
        <w:t xml:space="preserve">              └──────────────────┬───────────────────┘</w:t>
      </w:r>
    </w:p>
    <w:p>
      <w:pPr>
        <w:spacing w:before="0" w:after="0" w:line="240" w:lineRule="auto"/>
        <w:ind w:firstLine="0"/>
        <w:jc w:val="left"/>
      </w:pPr>
      <w:r>
        <w:rPr>
          <w:rFonts w:ascii="Courier New" w:hAnsi="Courier New" w:cs="Courier New" w:eastAsia="Courier New"/>
          <w:sz w:val="20"/>
          <w:szCs w:val="20"/>
        </w:rPr>
        <w:t xml:space="preserve">                                 │</w:t>
      </w:r>
    </w:p>
    <w:p>
      <w:pPr>
        <w:spacing w:before="0" w:after="0" w:line="240" w:lineRule="auto"/>
        <w:ind w:firstLine="0"/>
        <w:jc w:val="left"/>
      </w:pPr>
      <w:r>
        <w:rPr>
          <w:rFonts w:ascii="Courier New" w:hAnsi="Courier New" w:cs="Courier New" w:eastAsia="Courier New"/>
          <w:sz w:val="20"/>
          <w:szCs w:val="20"/>
        </w:rPr>
        <w:t xml:space="preserve">       ┌────────────┬────────────┼─────────────┬──────────────┐</w:t>
      </w:r>
    </w:p>
    <w:p>
      <w:pPr>
        <w:spacing w:before="0" w:after="0" w:line="240" w:lineRule="auto"/>
        <w:ind w:firstLine="0"/>
        <w:jc w:val="left"/>
      </w:pPr>
      <w:r>
        <w:rPr>
          <w:rFonts w:ascii="Courier New" w:hAnsi="Courier New" w:cs="Courier New" w:eastAsia="Courier New"/>
          <w:sz w:val="20"/>
          <w:szCs w:val="20"/>
        </w:rPr>
        <w:t xml:space="preserve">       ▼            ▼            ▼             ▼              ▼</w:t>
      </w:r>
    </w:p>
    <w:p>
      <w:pPr>
        <w:spacing w:before="0" w:after="0" w:line="240" w:lineRule="auto"/>
        <w:ind w:firstLine="0"/>
        <w:jc w:val="left"/>
      </w:pPr>
      <w:r>
        <w:rPr>
          <w:rFonts w:ascii="Courier New" w:hAnsi="Courier New" w:cs="Courier New" w:eastAsia="Courier New"/>
          <w:sz w:val="20"/>
          <w:szCs w:val="20"/>
        </w:rPr>
        <w:t xml:space="preserve">  ПАО «АК БАРС»  Инвести-     Лизинговая   Страховые    Негосударственный</w:t>
      </w:r>
    </w:p>
    <w:p>
      <w:pPr>
        <w:spacing w:before="0" w:after="0" w:line="240" w:lineRule="auto"/>
        <w:ind w:firstLine="0"/>
        <w:jc w:val="left"/>
      </w:pPr>
      <w:r>
        <w:rPr>
          <w:rFonts w:ascii="Courier New" w:hAnsi="Courier New" w:cs="Courier New" w:eastAsia="Courier New"/>
          <w:sz w:val="20"/>
          <w:szCs w:val="20"/>
        </w:rPr>
        <w:t xml:space="preserve">      БАНК       ционные      компания     компании     пенсионный фонд</w:t>
      </w:r>
    </w:p>
    <w:p>
      <w:pPr>
        <w:spacing w:before="0" w:after="0" w:line="240" w:lineRule="auto"/>
        <w:ind w:firstLine="0"/>
        <w:jc w:val="left"/>
      </w:pPr>
      <w:r>
        <w:rPr>
          <w:rFonts w:ascii="Courier New" w:hAnsi="Courier New" w:cs="Courier New" w:eastAsia="Courier New"/>
          <w:sz w:val="20"/>
          <w:szCs w:val="20"/>
        </w:rPr>
        <w:t xml:space="preserve">   (головной)    компании</w:t>
      </w:r>
    </w:p>
    <w:p>
      <w:pPr>
        <w:jc w:val="both"/>
        <w:ind w:firstLine="709"/>
        <w:spacing w:before="0" w:after="0" w:line="360" w:lineRule="auto"/>
      </w:pPr>
      <w:r>
        <w:rPr>
          <w:rFonts w:ascii="Times New Roman" w:hAnsi="Times New Roman" w:cs="Times New Roman" w:eastAsia="Times New Roman"/>
          <w:sz w:val="28"/>
          <w:szCs w:val="28"/>
        </w:rPr>
        <w:t xml:space="preserve">Источник: составлено автором по данным [26, с. 7]</w:t>
      </w:r>
    </w:p>
    <w:p>
      <w:pPr>
        <w:jc w:val="both"/>
        <w:ind w:firstLine="709"/>
        <w:spacing w:before="0" w:after="0" w:line="360" w:lineRule="auto"/>
      </w:pPr>
      <w:r>
        <w:rPr>
          <w:rFonts w:ascii="Times New Roman" w:hAnsi="Times New Roman" w:cs="Times New Roman" w:eastAsia="Times New Roman"/>
          <w:sz w:val="28"/>
          <w:szCs w:val="28"/>
        </w:rPr>
        <w:t xml:space="preserve">Рис. 2.1.1. Структура группы банка «Ак Барс» по составу участников</w:t>
      </w:r>
    </w:p>
    <w:p>
      <w:pPr>
        <w:jc w:val="both"/>
        <w:ind w:firstLine="709"/>
        <w:spacing w:before="0" w:after="0" w:line="360" w:lineRule="auto"/>
      </w:pPr>
      <w:r>
        <w:rPr>
          <w:rFonts w:ascii="Times New Roman" w:hAnsi="Times New Roman" w:cs="Times New Roman" w:eastAsia="Times New Roman"/>
          <w:sz w:val="28"/>
          <w:szCs w:val="28"/>
        </w:rPr>
        <w:t xml:space="preserve">Уставный капитал банка на 31 декабря 2024 года сформирован в сумме 48 015 396 326 рублей и разделён на 48 015 396 326 обыкновенных бездокументарных акций номинальной стоимостью 1 рубль каждая [28, с. 70]. Все акции размещены и оплачены полностью. Общее количество акционеров — 45, из них 30 юридических лиц и 15 физических лиц [28, с. 71]. Регистрацию прав собственности и ведение реестра акционеров ведёт независимый регистратор — Казанский филиал АО «Регистраторское общество „Статус“» [28, с. 71]. Совет директоров избран в составе одиннадцати человек, трое из которых признаны независимыми [28, с. 71]. Концентрация акционеров на территории Татарстана и работа через казанского регистратора показывают, что центр принятия решений по банку остаётся в регионе.</w:t>
      </w:r>
    </w:p>
    <w:p>
      <w:pPr>
        <w:jc w:val="both"/>
        <w:ind w:firstLine="709"/>
        <w:spacing w:before="0" w:after="0" w:line="360" w:lineRule="auto"/>
      </w:pPr>
      <w:r>
        <w:rPr>
          <w:rFonts w:ascii="Times New Roman" w:hAnsi="Times New Roman" w:cs="Times New Roman" w:eastAsia="Times New Roman"/>
          <w:sz w:val="28"/>
          <w:szCs w:val="28"/>
        </w:rPr>
        <w:t xml:space="preserve">Финансовый масштаб группы характеризует её как крупного регионального игрока с устойчивой федеральной инфраструктурой. Совокупные активы выросли почти на четверть за один год — с 946,9 млрд рублей на конец 2024 года до 1 157,3 млрд рублей на конец 2025 года [25, с. 1]. Прибыль за 2025 год вернулась к двузначным значениям и достигла 15,7 млрд рублей после слабого 2024 года, когда на финансовый результат давили резервы по кредитным убыткам и переоценка активов [25, с. 2]. По собственной отчётности банка по российским стандартам бухгалтерского учёта чистая прибыль за 2024 год составила 15,4 млрд рублей и более чем в два раза превысила результат 2023 года; рентабельность капитала достигла 15,4%, рентабельность активов — 1,7%, отношение операционных расходов к доходам — 37,8% [28, с. 16–17]. Сводная динамика основных консолидированных показателей собрана в таблице 2.1.1.</w:t>
      </w:r>
    </w:p>
    <w:p>
      <w:pPr>
        <w:jc w:val="both"/>
        <w:ind w:firstLine="709"/>
        <w:spacing w:before="0" w:after="0" w:line="360" w:lineRule="auto"/>
      </w:pPr>
      <w:r>
        <w:rPr>
          <w:rFonts w:ascii="Times New Roman" w:hAnsi="Times New Roman" w:cs="Times New Roman" w:eastAsia="Times New Roman"/>
          <w:sz w:val="28"/>
          <w:szCs w:val="28"/>
        </w:rPr>
        <w:t xml:space="preserve">Таблица 2.1.1</w:t>
      </w:r>
    </w:p>
    <w:p>
      <w:pPr>
        <w:jc w:val="both"/>
        <w:ind w:firstLine="709"/>
        <w:spacing w:before="0" w:after="0" w:line="360" w:lineRule="auto"/>
      </w:pPr>
      <w:r>
        <w:rPr>
          <w:rFonts w:ascii="Times New Roman" w:hAnsi="Times New Roman" w:cs="Times New Roman" w:eastAsia="Times New Roman"/>
          <w:sz w:val="28"/>
          <w:szCs w:val="28"/>
        </w:rPr>
        <w:t xml:space="preserve">Ключевые финансовые показатели группы банка «Ак Барс» за 2023–2025 гг., млн руб.</w:t>
      </w: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409"/>
        <w:gridCol w:w="2409"/>
        <w:gridCol w:w="2409"/>
        <w:gridCol w:w="2409"/>
      </w:tblGrid>
      <w:tr>
        <w:trPr>
          <w:tblHeader/>
        </w:trPr>
        <w:tc>
          <w:tcPr>
            <w:tcW w:w="2409" w:type="dxa"/>
            <w:vAlign w:val="center"/>
          </w:tcPr>
          <w:p>
            <w:pPr>
              <w:spacing w:before="40" w:after="40" w:line="240" w:lineRule="auto"/>
              <w:ind w:firstLine="0"/>
              <w:jc w:val="center"/>
            </w:pPr>
            <w:r>
              <w:rPr>
                <w:b/>
                <w:bCs/>
                <w:rFonts w:ascii="Times New Roman" w:hAnsi="Times New Roman" w:cs="Times New Roman" w:eastAsia="Times New Roman"/>
                <w:sz w:val="24"/>
                <w:szCs w:val="24"/>
              </w:rPr>
              <w:t xml:space="preserve">Показатель</w:t>
            </w:r>
          </w:p>
        </w:tc>
        <w:tc>
          <w:tcPr>
            <w:tcW w:w="2409" w:type="dxa"/>
            <w:vAlign w:val="center"/>
          </w:tcPr>
          <w:p>
            <w:pPr>
              <w:spacing w:before="40" w:after="40" w:line="240" w:lineRule="auto"/>
              <w:ind w:firstLine="0"/>
              <w:jc w:val="center"/>
            </w:pPr>
            <w:r>
              <w:rPr>
                <w:b/>
                <w:bCs/>
                <w:rFonts w:ascii="Times New Roman" w:hAnsi="Times New Roman" w:cs="Times New Roman" w:eastAsia="Times New Roman"/>
                <w:sz w:val="24"/>
                <w:szCs w:val="24"/>
              </w:rPr>
              <w:t xml:space="preserve">2023</w:t>
            </w:r>
          </w:p>
        </w:tc>
        <w:tc>
          <w:tcPr>
            <w:tcW w:w="2409" w:type="dxa"/>
            <w:vAlign w:val="center"/>
          </w:tcPr>
          <w:p>
            <w:pPr>
              <w:spacing w:before="40" w:after="40" w:line="240" w:lineRule="auto"/>
              <w:ind w:firstLine="0"/>
              <w:jc w:val="center"/>
            </w:pPr>
            <w:r>
              <w:rPr>
                <w:b/>
                <w:bCs/>
                <w:rFonts w:ascii="Times New Roman" w:hAnsi="Times New Roman" w:cs="Times New Roman" w:eastAsia="Times New Roman"/>
                <w:sz w:val="24"/>
                <w:szCs w:val="24"/>
              </w:rPr>
              <w:t xml:space="preserve">2024</w:t>
            </w:r>
          </w:p>
        </w:tc>
        <w:tc>
          <w:tcPr>
            <w:tcW w:w="2409" w:type="dxa"/>
            <w:vAlign w:val="center"/>
          </w:tcPr>
          <w:p>
            <w:pPr>
              <w:spacing w:before="40" w:after="40" w:line="240" w:lineRule="auto"/>
              <w:ind w:firstLine="0"/>
              <w:jc w:val="center"/>
            </w:pPr>
            <w:r>
              <w:rPr>
                <w:b/>
                <w:bCs/>
                <w:rFonts w:ascii="Times New Roman" w:hAnsi="Times New Roman" w:cs="Times New Roman" w:eastAsia="Times New Roman"/>
                <w:sz w:val="24"/>
                <w:szCs w:val="24"/>
              </w:rPr>
              <w:t xml:space="preserve">2025</w:t>
            </w:r>
          </w:p>
        </w:tc>
      </w:tr>
      <w:tr>
        <w:trPr/>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Совокупные активы (на конец года)</w:t>
            </w:r>
          </w:p>
        </w:tc>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w:t>
            </w:r>
          </w:p>
        </w:tc>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946 923</w:t>
            </w:r>
          </w:p>
        </w:tc>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1 157 340</w:t>
            </w:r>
          </w:p>
        </w:tc>
      </w:tr>
      <w:tr>
        <w:trPr/>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Итого капитал (на конец года)</w:t>
            </w:r>
          </w:p>
        </w:tc>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106 130</w:t>
            </w:r>
          </w:p>
        </w:tc>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111 972</w:t>
            </w:r>
          </w:p>
        </w:tc>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126 377</w:t>
            </w:r>
          </w:p>
        </w:tc>
      </w:tr>
      <w:tr>
        <w:trPr/>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Чистые процентные доходы</w:t>
            </w:r>
          </w:p>
        </w:tc>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31 824</w:t>
            </w:r>
          </w:p>
        </w:tc>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46 590</w:t>
            </w:r>
          </w:p>
        </w:tc>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58 135</w:t>
            </w:r>
          </w:p>
        </w:tc>
      </w:tr>
      <w:tr>
        <w:trPr/>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Прибыль за период</w:t>
            </w:r>
          </w:p>
        </w:tc>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14 195</w:t>
            </w:r>
          </w:p>
        </w:tc>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7 269</w:t>
            </w:r>
          </w:p>
        </w:tc>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15 708</w:t>
            </w:r>
          </w:p>
        </w:tc>
      </w:tr>
    </w:tbl>
    <w:p>
      <w:pPr>
        <w:jc w:val="both"/>
        <w:ind w:firstLine="709"/>
        <w:spacing w:before="0" w:after="0" w:line="360" w:lineRule="auto"/>
      </w:pPr>
      <w:r>
        <w:rPr>
          <w:rFonts w:ascii="Times New Roman" w:hAnsi="Times New Roman" w:cs="Times New Roman" w:eastAsia="Times New Roman"/>
          <w:sz w:val="28"/>
          <w:szCs w:val="28"/>
        </w:rPr>
        <w:t xml:space="preserve">Источник: составлено автором по данным [25, с. 1–3; 26, с. 2–3]</w:t>
      </w:r>
    </w:p>
    <w:p>
      <w:pPr>
        <w:jc w:val="both"/>
        <w:ind w:firstLine="709"/>
        <w:spacing w:before="0" w:after="0" w:line="360" w:lineRule="auto"/>
      </w:pPr>
      <w:r>
        <w:rPr>
          <w:rFonts w:ascii="Times New Roman" w:hAnsi="Times New Roman" w:cs="Times New Roman" w:eastAsia="Times New Roman"/>
          <w:sz w:val="28"/>
          <w:szCs w:val="28"/>
        </w:rPr>
        <w:t xml:space="preserve">Общая картина — рост процентной маржи и восстановление прибыли после провального 2024 года. Чистые процентные доходы выросли с 31,8 млрд рублей в 2023 году до 58,1 млрд рублей в 2025 году, то есть почти в 1,8 раза за два года [25, с. 2; 26, с. 2]. Графическое сопоставление этих величин дано на рисунке 2.1.2.</w:t>
      </w:r>
    </w:p>
    <w:p>
      <w:pPr>
        <w:spacing w:before="0" w:after="0" w:line="240" w:lineRule="auto"/>
        <w:ind w:firstLine="0"/>
        <w:jc w:val="left"/>
      </w:pPr>
      <w:r>
        <w:rPr>
          <w:rFonts w:ascii="Courier New" w:hAnsi="Courier New" w:cs="Courier New" w:eastAsia="Courier New"/>
          <w:sz w:val="20"/>
          <w:szCs w:val="20"/>
        </w:rPr>
        <w:t xml:space="preserve">Чистые процентные доходы (млн руб.)            Прибыль за период (млн руб.)</w:t>
      </w:r>
    </w:p>
    <w:p>
      <w:pPr>
        <w:spacing w:before="0" w:after="0" w:line="240" w:lineRule="auto"/>
        <w:ind w:firstLine="0"/>
        <w:jc w:val="left"/>
      </w:pPr>
      <w:r>
        <w:rPr>
          <w:rFonts w:ascii="Courier New" w:hAnsi="Courier New" w:cs="Courier New" w:eastAsia="Courier New"/>
          <w:sz w:val="20"/>
          <w:szCs w:val="20"/>
        </w:rPr>
        <w:t xml:space="preserve">2023  ████████████████  31 824                 2023  ████████████  14 195</w:t>
      </w:r>
    </w:p>
    <w:p>
      <w:pPr>
        <w:spacing w:before="0" w:after="0" w:line="240" w:lineRule="auto"/>
        <w:ind w:firstLine="0"/>
        <w:jc w:val="left"/>
      </w:pPr>
      <w:r>
        <w:rPr>
          <w:rFonts w:ascii="Courier New" w:hAnsi="Courier New" w:cs="Courier New" w:eastAsia="Courier New"/>
          <w:sz w:val="20"/>
          <w:szCs w:val="20"/>
        </w:rPr>
        <w:t xml:space="preserve">2024  ███████████████████████  46 590          2024  ██████  7 269</w:t>
      </w:r>
    </w:p>
    <w:p>
      <w:pPr>
        <w:spacing w:before="0" w:after="0" w:line="240" w:lineRule="auto"/>
        <w:ind w:firstLine="0"/>
        <w:jc w:val="left"/>
      </w:pPr>
      <w:r>
        <w:rPr>
          <w:rFonts w:ascii="Courier New" w:hAnsi="Courier New" w:cs="Courier New" w:eastAsia="Courier New"/>
          <w:sz w:val="20"/>
          <w:szCs w:val="20"/>
        </w:rPr>
        <w:t xml:space="preserve">2025  ████████████████████████████  58 135     2025  █████████████  15 708</w:t>
      </w:r>
    </w:p>
    <w:p>
      <w:pPr>
        <w:jc w:val="both"/>
        <w:ind w:firstLine="709"/>
        <w:spacing w:before="0" w:after="0" w:line="360" w:lineRule="auto"/>
      </w:pPr>
      <w:r>
        <w:rPr>
          <w:rFonts w:ascii="Times New Roman" w:hAnsi="Times New Roman" w:cs="Times New Roman" w:eastAsia="Times New Roman"/>
          <w:sz w:val="28"/>
          <w:szCs w:val="28"/>
        </w:rPr>
        <w:t xml:space="preserve">Источник: составлено автором по данным [25, с. 2; 26, с. 2]</w:t>
      </w:r>
    </w:p>
    <w:p>
      <w:pPr>
        <w:jc w:val="both"/>
        <w:ind w:firstLine="709"/>
        <w:spacing w:before="0" w:after="0" w:line="360" w:lineRule="auto"/>
      </w:pPr>
      <w:r>
        <w:rPr>
          <w:rFonts w:ascii="Times New Roman" w:hAnsi="Times New Roman" w:cs="Times New Roman" w:eastAsia="Times New Roman"/>
          <w:sz w:val="28"/>
          <w:szCs w:val="28"/>
        </w:rPr>
        <w:t xml:space="preserve">Рис. 2.1.2. Динамика чистых процентных доходов и прибыли группы банка «Ак Барс» за 2023–2025 гг.</w:t>
      </w:r>
    </w:p>
    <w:p>
      <w:pPr>
        <w:jc w:val="both"/>
        <w:ind w:firstLine="709"/>
        <w:spacing w:before="0" w:after="0" w:line="360" w:lineRule="auto"/>
      </w:pPr>
      <w:r>
        <w:rPr>
          <w:rFonts w:ascii="Times New Roman" w:hAnsi="Times New Roman" w:cs="Times New Roman" w:eastAsia="Times New Roman"/>
          <w:sz w:val="28"/>
          <w:szCs w:val="28"/>
        </w:rPr>
        <w:t xml:space="preserve">Совокупный капитал увеличился со 106,1 млрд рублей на конец 2023 года до 126,4 млрд рублей на конец 2025 года: банк наращивает собственные средства параллельно росту активов и не выплачивает дивиденды по итогам отчётных периодов [25, с. 3; 26, с. 3]. Свободные средства идут в развитие, а не в выплаты акционерам. Этот факт важен для запуска нового продукта: ресурсы для продвижения остаются внутри группы.</w:t>
      </w:r>
    </w:p>
    <w:p>
      <w:pPr>
        <w:jc w:val="both"/>
        <w:ind w:firstLine="709"/>
        <w:spacing w:before="0" w:after="0" w:line="360" w:lineRule="auto"/>
      </w:pPr>
      <w:r>
        <w:rPr>
          <w:rFonts w:ascii="Times New Roman" w:hAnsi="Times New Roman" w:cs="Times New Roman" w:eastAsia="Times New Roman"/>
          <w:sz w:val="28"/>
          <w:szCs w:val="28"/>
        </w:rPr>
        <w:t xml:space="preserve">Сегментная раскладка показывает, как именно группа зарабатывает. Операции организованы по пяти бизнес-сегментам: розничные банковские операции, корпоративные банковские операции, инвестиционные банковские операции, казначейские операции и прочие операции [25, с. 66]. Сводные показатели по сегментам за 2025 год собраны в таблице 2.1.2.</w:t>
      </w:r>
    </w:p>
    <w:p>
      <w:pPr>
        <w:jc w:val="both"/>
        <w:ind w:firstLine="709"/>
        <w:spacing w:before="0" w:after="0" w:line="360" w:lineRule="auto"/>
      </w:pPr>
      <w:r>
        <w:rPr>
          <w:rFonts w:ascii="Times New Roman" w:hAnsi="Times New Roman" w:cs="Times New Roman" w:eastAsia="Times New Roman"/>
          <w:sz w:val="28"/>
          <w:szCs w:val="28"/>
        </w:rPr>
        <w:t xml:space="preserve">Таблица 2.1.2</w:t>
      </w:r>
    </w:p>
    <w:p>
      <w:pPr>
        <w:jc w:val="both"/>
        <w:ind w:firstLine="709"/>
        <w:spacing w:before="0" w:after="0" w:line="360" w:lineRule="auto"/>
      </w:pPr>
      <w:r>
        <w:rPr>
          <w:rFonts w:ascii="Times New Roman" w:hAnsi="Times New Roman" w:cs="Times New Roman" w:eastAsia="Times New Roman"/>
          <w:sz w:val="28"/>
          <w:szCs w:val="28"/>
        </w:rPr>
        <w:t xml:space="preserve">Доходы от внешних клиентов и сегментная прибыль группы банка «Ак Барс» за 2025 год, млн руб.</w:t>
      </w: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409"/>
        <w:gridCol w:w="2409"/>
        <w:gridCol w:w="2409"/>
        <w:gridCol w:w="2409"/>
      </w:tblGrid>
      <w:tr>
        <w:trPr>
          <w:tblHeader/>
        </w:trPr>
        <w:tc>
          <w:tcPr>
            <w:tcW w:w="2409" w:type="dxa"/>
            <w:vAlign w:val="center"/>
          </w:tcPr>
          <w:p>
            <w:pPr>
              <w:spacing w:before="40" w:after="40" w:line="240" w:lineRule="auto"/>
              <w:ind w:firstLine="0"/>
              <w:jc w:val="center"/>
            </w:pPr>
            <w:r>
              <w:rPr>
                <w:b/>
                <w:bCs/>
                <w:rFonts w:ascii="Times New Roman" w:hAnsi="Times New Roman" w:cs="Times New Roman" w:eastAsia="Times New Roman"/>
                <w:sz w:val="24"/>
                <w:szCs w:val="24"/>
              </w:rPr>
              <w:t xml:space="preserve">Сегмент</w:t>
            </w:r>
          </w:p>
        </w:tc>
        <w:tc>
          <w:tcPr>
            <w:tcW w:w="2409" w:type="dxa"/>
            <w:vAlign w:val="center"/>
          </w:tcPr>
          <w:p>
            <w:pPr>
              <w:spacing w:before="40" w:after="40" w:line="240" w:lineRule="auto"/>
              <w:ind w:firstLine="0"/>
              <w:jc w:val="center"/>
            </w:pPr>
            <w:r>
              <w:rPr>
                <w:b/>
                <w:bCs/>
                <w:rFonts w:ascii="Times New Roman" w:hAnsi="Times New Roman" w:cs="Times New Roman" w:eastAsia="Times New Roman"/>
                <w:sz w:val="24"/>
                <w:szCs w:val="24"/>
              </w:rPr>
              <w:t xml:space="preserve">Доходы от внешних клиентов</w:t>
            </w:r>
          </w:p>
        </w:tc>
        <w:tc>
          <w:tcPr>
            <w:tcW w:w="2409" w:type="dxa"/>
            <w:vAlign w:val="center"/>
          </w:tcPr>
          <w:p>
            <w:pPr>
              <w:spacing w:before="40" w:after="40" w:line="240" w:lineRule="auto"/>
              <w:ind w:firstLine="0"/>
              <w:jc w:val="center"/>
            </w:pPr>
            <w:r>
              <w:rPr>
                <w:b/>
                <w:bCs/>
                <w:rFonts w:ascii="Times New Roman" w:hAnsi="Times New Roman" w:cs="Times New Roman" w:eastAsia="Times New Roman"/>
                <w:sz w:val="24"/>
                <w:szCs w:val="24"/>
              </w:rPr>
              <w:t xml:space="preserve">Прибыль (убыток) до налогообложения</w:t>
            </w:r>
          </w:p>
        </w:tc>
        <w:tc>
          <w:tcPr>
            <w:tcW w:w="2409" w:type="dxa"/>
            <w:vAlign w:val="center"/>
          </w:tcPr>
          <w:p>
            <w:pPr>
              <w:spacing w:before="40" w:after="40" w:line="240" w:lineRule="auto"/>
              <w:ind w:firstLine="0"/>
              <w:jc w:val="center"/>
            </w:pPr>
            <w:r>
              <w:rPr>
                <w:b/>
                <w:bCs/>
                <w:rFonts w:ascii="Times New Roman" w:hAnsi="Times New Roman" w:cs="Times New Roman" w:eastAsia="Times New Roman"/>
                <w:sz w:val="24"/>
                <w:szCs w:val="24"/>
              </w:rPr>
              <w:t xml:space="preserve">Активы по сегменту</w:t>
            </w:r>
          </w:p>
        </w:tc>
      </w:tr>
      <w:tr>
        <w:trPr/>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Розничные банковские операции</w:t>
            </w:r>
          </w:p>
        </w:tc>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32 251</w:t>
            </w:r>
          </w:p>
        </w:tc>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(364)</w:t>
            </w:r>
          </w:p>
        </w:tc>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168 122</w:t>
            </w:r>
          </w:p>
        </w:tc>
      </w:tr>
      <w:tr>
        <w:trPr/>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Корпоративные банковские операции</w:t>
            </w:r>
          </w:p>
        </w:tc>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41 139</w:t>
            </w:r>
          </w:p>
        </w:tc>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20 857</w:t>
            </w:r>
          </w:p>
        </w:tc>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221 581</w:t>
            </w:r>
          </w:p>
        </w:tc>
      </w:tr>
      <w:tr>
        <w:trPr/>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Инвестиционные банковские операции</w:t>
            </w:r>
          </w:p>
        </w:tc>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62 999</w:t>
            </w:r>
          </w:p>
        </w:tc>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4 301</w:t>
            </w:r>
          </w:p>
        </w:tc>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522 864</w:t>
            </w:r>
          </w:p>
        </w:tc>
      </w:tr>
      <w:tr>
        <w:trPr/>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Казначейские операции</w:t>
            </w:r>
          </w:p>
        </w:tc>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25 740</w:t>
            </w:r>
          </w:p>
        </w:tc>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3 120</w:t>
            </w:r>
          </w:p>
        </w:tc>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171 729</w:t>
            </w:r>
          </w:p>
        </w:tc>
      </w:tr>
      <w:tr>
        <w:trPr/>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Прочие операции</w:t>
            </w:r>
          </w:p>
        </w:tc>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9</w:t>
            </w:r>
          </w:p>
        </w:tc>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(4 581)</w:t>
            </w:r>
          </w:p>
        </w:tc>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58 915</w:t>
            </w:r>
          </w:p>
        </w:tc>
      </w:tr>
      <w:tr>
        <w:trPr/>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Итого</w:t>
            </w:r>
          </w:p>
        </w:tc>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162 138</w:t>
            </w:r>
          </w:p>
        </w:tc>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23 333</w:t>
            </w:r>
          </w:p>
        </w:tc>
        <w:tc>
          <w:tcPr>
            <w:tcW w:w="240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1 143 211</w:t>
            </w:r>
          </w:p>
        </w:tc>
      </w:tr>
    </w:tbl>
    <w:p>
      <w:pPr>
        <w:jc w:val="both"/>
        <w:ind w:firstLine="709"/>
        <w:spacing w:before="0" w:after="0" w:line="360" w:lineRule="auto"/>
      </w:pPr>
      <w:r>
        <w:rPr>
          <w:rFonts w:ascii="Times New Roman" w:hAnsi="Times New Roman" w:cs="Times New Roman" w:eastAsia="Times New Roman"/>
          <w:sz w:val="28"/>
          <w:szCs w:val="28"/>
        </w:rPr>
        <w:t xml:space="preserve">Источник: составлено автором по данным [25, с. 68]</w:t>
      </w:r>
    </w:p>
    <w:p>
      <w:pPr>
        <w:jc w:val="both"/>
        <w:ind w:firstLine="709"/>
        <w:spacing w:before="0" w:after="0" w:line="360" w:lineRule="auto"/>
      </w:pPr>
      <w:r>
        <w:rPr>
          <w:rFonts w:ascii="Times New Roman" w:hAnsi="Times New Roman" w:cs="Times New Roman" w:eastAsia="Times New Roman"/>
          <w:sz w:val="28"/>
          <w:szCs w:val="28"/>
        </w:rPr>
        <w:t xml:space="preserve">Главный финансовый результат приносят корпоративный и инвестиционный сегменты — на них приходится 25,2 млрд рублей сегментной прибыли до налогообложения из 23,3 млрд рублей итоговой [25, с. 68]. Розничный блок в 2025 году ушёл в небольшой минус, а казначейский поддерживал положительный результат за счёт операций с ликвидностью. Такая структура важна для продвижения Face2: основной коммерческий потенциал биометрии сосредоточен в B2B-сценариях для корпоративных и инвестиционных клиентов, а не в массовом ритейле, и собственная клиентская база группы в этих сегментах работает как готовый канал входа.</w:t>
      </w:r>
    </w:p>
    <w:p>
      <w:pPr>
        <w:jc w:val="both"/>
        <w:ind w:firstLine="709"/>
        <w:spacing w:before="0" w:after="0" w:line="360" w:lineRule="auto"/>
      </w:pPr>
      <w:r>
        <w:rPr>
          <w:rFonts w:ascii="Times New Roman" w:hAnsi="Times New Roman" w:cs="Times New Roman" w:eastAsia="Times New Roman"/>
          <w:sz w:val="28"/>
          <w:szCs w:val="28"/>
        </w:rPr>
        <w:t xml:space="preserve">Фундамент рыночной позиции банка задаёт стратегия. Действующая Стратегия развития Ак Барс Банка на 2022–2026 годы фиксирует три приоритета: эффективность, клиентоцентричность, гибкость [28, с. 16]. Эффективность подразумевает масштабирование бизнеса с устойчивой прибыльностью и контроль уровня риска. Клиентоцентричность — построение долгосрочных отношений и рост числа продуктов на одного клиента. Гибкость — скорость и качество процессов и способность быстро реагировать на изменения внешней среды. Под эти приоритеты банк разворачивает четыре направления трансформации: развитие продуктовых предложений и клиентских путей, организационную эволюцию, развитие ИТ-инфраструктуры и платформ в логике технологического суверенитета, а также управление рисками [28, с. 16]. Сама миссия сформулирована коротко — «Сегодня и всегда мы создаём возможности для достижения целей нашими клиентами и партнёрами» [28, с. 5].</w:t>
      </w:r>
    </w:p>
    <w:p>
      <w:pPr>
        <w:jc w:val="both"/>
        <w:ind w:firstLine="709"/>
        <w:spacing w:before="0" w:after="0" w:line="360" w:lineRule="auto"/>
      </w:pPr>
      <w:r>
        <w:rPr>
          <w:rFonts w:ascii="Times New Roman" w:hAnsi="Times New Roman" w:cs="Times New Roman" w:eastAsia="Times New Roman"/>
          <w:sz w:val="28"/>
          <w:szCs w:val="28"/>
        </w:rPr>
        <w:t xml:space="preserve">Биометрический продукт встаёт в этот стратегический контур естественно. Линия «технологический суверенитет» закрывается у Face2 через сертификацию ФСБ, ФСТЭК и попадание в реестр отечественного программного обеспечения [27]. Линия «клиентоцентричность» — через переход на сценарии оплаты и доступа без карт и документов. Линия «гибкость» — через возможность быстро запускать сервисы на одной платформе для разных сегментов B2B. Face2 — не точечный эксперимент, а реализация трёх приоритетов одновременно.</w:t>
      </w:r>
    </w:p>
    <w:p>
      <w:pPr>
        <w:jc w:val="both"/>
        <w:ind w:firstLine="709"/>
        <w:spacing w:before="0" w:after="0" w:line="360" w:lineRule="auto"/>
      </w:pPr>
      <w:r>
        <w:rPr>
          <w:rFonts w:ascii="Times New Roman" w:hAnsi="Times New Roman" w:cs="Times New Roman" w:eastAsia="Times New Roman"/>
          <w:sz w:val="28"/>
          <w:szCs w:val="28"/>
        </w:rPr>
        <w:t xml:space="preserve">Клиентская база и розничный портфель банка задают канал, через который продукт может быть распространён во внешний рынок. Сводные показатели за 2024 год даны в таблице 2.1.3.</w:t>
      </w:r>
    </w:p>
    <w:p>
      <w:pPr>
        <w:jc w:val="both"/>
        <w:ind w:firstLine="709"/>
        <w:spacing w:before="0" w:after="0" w:line="360" w:lineRule="auto"/>
      </w:pPr>
      <w:r>
        <w:rPr>
          <w:rFonts w:ascii="Times New Roman" w:hAnsi="Times New Roman" w:cs="Times New Roman" w:eastAsia="Times New Roman"/>
          <w:sz w:val="28"/>
          <w:szCs w:val="28"/>
        </w:rPr>
        <w:t xml:space="preserve">Таблица 2.1.3</w:t>
      </w:r>
    </w:p>
    <w:p>
      <w:pPr>
        <w:jc w:val="both"/>
        <w:ind w:firstLine="709"/>
        <w:spacing w:before="0" w:after="0" w:line="360" w:lineRule="auto"/>
      </w:pPr>
      <w:r>
        <w:rPr>
          <w:rFonts w:ascii="Times New Roman" w:hAnsi="Times New Roman" w:cs="Times New Roman" w:eastAsia="Times New Roman"/>
          <w:sz w:val="28"/>
          <w:szCs w:val="28"/>
        </w:rPr>
        <w:t xml:space="preserve">Клиентская база и продуктовые показатели Ак Барс Банка по итогам 2024 года</w:t>
      </w: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819"/>
        <w:gridCol w:w="4819"/>
      </w:tblGrid>
      <w:tr>
        <w:trPr>
          <w:tblHeader/>
        </w:trPr>
        <w:tc>
          <w:tcPr>
            <w:tcW w:w="4819" w:type="dxa"/>
            <w:vAlign w:val="center"/>
          </w:tcPr>
          <w:p>
            <w:pPr>
              <w:spacing w:before="40" w:after="40" w:line="240" w:lineRule="auto"/>
              <w:ind w:firstLine="0"/>
              <w:jc w:val="center"/>
            </w:pPr>
            <w:r>
              <w:rPr>
                <w:b/>
                <w:bCs/>
                <w:rFonts w:ascii="Times New Roman" w:hAnsi="Times New Roman" w:cs="Times New Roman" w:eastAsia="Times New Roman"/>
                <w:sz w:val="24"/>
                <w:szCs w:val="24"/>
              </w:rPr>
              <w:t xml:space="preserve">Показатель</w:t>
            </w:r>
          </w:p>
        </w:tc>
        <w:tc>
          <w:tcPr>
            <w:tcW w:w="4819" w:type="dxa"/>
            <w:vAlign w:val="center"/>
          </w:tcPr>
          <w:p>
            <w:pPr>
              <w:spacing w:before="40" w:after="40" w:line="240" w:lineRule="auto"/>
              <w:ind w:firstLine="0"/>
              <w:jc w:val="center"/>
            </w:pPr>
            <w:r>
              <w:rPr>
                <w:b/>
                <w:bCs/>
                <w:rFonts w:ascii="Times New Roman" w:hAnsi="Times New Roman" w:cs="Times New Roman" w:eastAsia="Times New Roman"/>
                <w:sz w:val="24"/>
                <w:szCs w:val="24"/>
              </w:rPr>
              <w:t xml:space="preserve">Значение на 01.01.2025</w:t>
            </w:r>
          </w:p>
        </w:tc>
      </w:tr>
      <w:tr>
        <w:trPr/>
        <w:tc>
          <w:tcPr>
            <w:tcW w:w="481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Розничные клиенты, тыс. чел.</w:t>
            </w:r>
          </w:p>
        </w:tc>
        <w:tc>
          <w:tcPr>
            <w:tcW w:w="481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934</w:t>
            </w:r>
          </w:p>
        </w:tc>
      </w:tr>
      <w:tr>
        <w:trPr/>
        <w:tc>
          <w:tcPr>
            <w:tcW w:w="481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Корпоративные клиенты, тыс.</w:t>
            </w:r>
          </w:p>
        </w:tc>
        <w:tc>
          <w:tcPr>
            <w:tcW w:w="481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33,9</w:t>
            </w:r>
          </w:p>
        </w:tc>
      </w:tr>
      <w:tr>
        <w:trPr/>
        <w:tc>
          <w:tcPr>
            <w:tcW w:w="481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Активные пользователи Ак Барс Онлайн, тыс.</w:t>
            </w:r>
          </w:p>
        </w:tc>
        <w:tc>
          <w:tcPr>
            <w:tcW w:w="481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930</w:t>
            </w:r>
          </w:p>
        </w:tc>
      </w:tr>
      <w:tr>
        <w:trPr/>
        <w:tc>
          <w:tcPr>
            <w:tcW w:w="481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Действующие банковские карты, тыс. шт.</w:t>
            </w:r>
          </w:p>
        </w:tc>
        <w:tc>
          <w:tcPr>
            <w:tcW w:w="481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2 265</w:t>
            </w:r>
          </w:p>
        </w:tc>
      </w:tr>
      <w:tr>
        <w:trPr/>
        <w:tc>
          <w:tcPr>
            <w:tcW w:w="481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Карты жителя Республики Татарстан (всего, включая Детскую карту), шт.</w:t>
            </w:r>
          </w:p>
        </w:tc>
        <w:tc>
          <w:tcPr>
            <w:tcW w:w="481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450 131</w:t>
            </w:r>
          </w:p>
        </w:tc>
      </w:tr>
      <w:tr>
        <w:trPr/>
        <w:tc>
          <w:tcPr>
            <w:tcW w:w="481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Объём транзакций через Ак Барс Онлайн за год, млн</w:t>
            </w:r>
          </w:p>
        </w:tc>
        <w:tc>
          <w:tcPr>
            <w:tcW w:w="481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12</w:t>
            </w:r>
          </w:p>
        </w:tc>
      </w:tr>
      <w:tr>
        <w:trPr/>
        <w:tc>
          <w:tcPr>
            <w:tcW w:w="481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Розничный кредитный портфель, млрд руб.</w:t>
            </w:r>
          </w:p>
        </w:tc>
        <w:tc>
          <w:tcPr>
            <w:tcW w:w="481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199</w:t>
            </w:r>
          </w:p>
        </w:tc>
      </w:tr>
      <w:tr>
        <w:trPr/>
        <w:tc>
          <w:tcPr>
            <w:tcW w:w="481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Корпоративный кредитный портфель, млрд руб.</w:t>
            </w:r>
          </w:p>
        </w:tc>
        <w:tc>
          <w:tcPr>
            <w:tcW w:w="481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203</w:t>
            </w:r>
          </w:p>
        </w:tc>
      </w:tr>
    </w:tbl>
    <w:p>
      <w:pPr>
        <w:jc w:val="both"/>
        <w:ind w:firstLine="709"/>
        <w:spacing w:before="0" w:after="0" w:line="360" w:lineRule="auto"/>
      </w:pPr>
      <w:r>
        <w:rPr>
          <w:rFonts w:ascii="Times New Roman" w:hAnsi="Times New Roman" w:cs="Times New Roman" w:eastAsia="Times New Roman"/>
          <w:sz w:val="28"/>
          <w:szCs w:val="28"/>
        </w:rPr>
        <w:t xml:space="preserve">Источник: составлено автором по данным [28, с. 17, 25, 28, 29, 33]</w:t>
      </w:r>
    </w:p>
    <w:p>
      <w:pPr>
        <w:jc w:val="both"/>
        <w:ind w:firstLine="709"/>
        <w:spacing w:before="0" w:after="0" w:line="360" w:lineRule="auto"/>
      </w:pPr>
      <w:r>
        <w:rPr>
          <w:rFonts w:ascii="Times New Roman" w:hAnsi="Times New Roman" w:cs="Times New Roman" w:eastAsia="Times New Roman"/>
          <w:sz w:val="28"/>
          <w:szCs w:val="28"/>
        </w:rPr>
        <w:t xml:space="preserve">Структура клиентской базы показывает, что банк уже работает одновременно с массовой розницей, корпоративным сегментом и социальной аудиторией Татарстана. Карта жителя Республики Татарстан охватывает 450 тыс. держателей, а только за 2024 год выдано 345 тыс. карт; среди держателей — 115 тыс. школьников, обороты по картам за школьное питание превысили 147,5 млн рублей [28, с. 29]. Такая встроенность банка в социальную инфраструктуру региона даёт Face2 готовую площадку для пилотов и распространения сценариев — от прохода в библиотеки до оплаты в школьных столовых.</w:t>
      </w:r>
    </w:p>
    <w:p>
      <w:pPr>
        <w:jc w:val="both"/>
        <w:ind w:firstLine="709"/>
        <w:spacing w:before="0" w:after="0" w:line="360" w:lineRule="auto"/>
      </w:pPr>
      <w:r>
        <w:rPr>
          <w:rFonts w:ascii="Times New Roman" w:hAnsi="Times New Roman" w:cs="Times New Roman" w:eastAsia="Times New Roman"/>
          <w:sz w:val="28"/>
          <w:szCs w:val="28"/>
        </w:rPr>
        <w:t xml:space="preserve">Цифровая зрелость банка делает биометрию частью продуктового ландшафта, а не экзотической надстройкой. Через мобильное приложение «Ак Барс Онлайн» за год прошло 12 млн транзакций, активная аудитория сервиса удержалась на уровне около 930 тыс. человек даже после удаления приложения из AppStore в начале 2024 года [28, с. 33]. Внутри приложения уже реализован функционал оплаты по биометрии [28, с. 33]. На портале государственных и муниципальных услуг Татарстана за год совершено 1,2 млн транзакций через Систему быстрых платежей при участии банка [28, с. 33]. Запущен биоэквайринг через СБП в Казанском метрополитене — проект банк ведёт совместно с Министерством цифрового развития, связи и массовых коммуникаций РФ, Министерством транспорта РФ, Центром биометрических технологий и Национальной системой платёжных карт [28, с. 30–31]. Параллельно идёт пилот биоэквайринга через СБП на POS-терминалах [28, с. 31]. Банк включён в реестр отечественного ПО Минцифры по системе ТЭКОМ — собственной платформе автоматических проверок и регистрации клиентов для торгового эквайринга [28, с. 31].</w:t>
      </w:r>
    </w:p>
    <w:p>
      <w:pPr>
        <w:jc w:val="both"/>
        <w:ind w:firstLine="709"/>
        <w:spacing w:before="0" w:after="0" w:line="360" w:lineRule="auto"/>
      </w:pPr>
      <w:r>
        <w:rPr>
          <w:rFonts w:ascii="Times New Roman" w:hAnsi="Times New Roman" w:cs="Times New Roman" w:eastAsia="Times New Roman"/>
          <w:sz w:val="28"/>
          <w:szCs w:val="28"/>
        </w:rPr>
        <w:t xml:space="preserve">Внешнюю оценку устойчивости банку дают рейтинговые агентства. Сводные действующие рейтинги собраны в таблице 2.1.4.</w:t>
      </w:r>
    </w:p>
    <w:p>
      <w:pPr>
        <w:jc w:val="both"/>
        <w:ind w:firstLine="709"/>
        <w:spacing w:before="0" w:after="0" w:line="360" w:lineRule="auto"/>
      </w:pPr>
      <w:r>
        <w:rPr>
          <w:rFonts w:ascii="Times New Roman" w:hAnsi="Times New Roman" w:cs="Times New Roman" w:eastAsia="Times New Roman"/>
          <w:sz w:val="28"/>
          <w:szCs w:val="28"/>
        </w:rPr>
        <w:t xml:space="preserve">Таблица 2.1.4</w:t>
      </w:r>
    </w:p>
    <w:p>
      <w:pPr>
        <w:jc w:val="both"/>
        <w:ind w:firstLine="709"/>
        <w:spacing w:before="0" w:after="0" w:line="360" w:lineRule="auto"/>
      </w:pPr>
      <w:r>
        <w:rPr>
          <w:rFonts w:ascii="Times New Roman" w:hAnsi="Times New Roman" w:cs="Times New Roman" w:eastAsia="Times New Roman"/>
          <w:sz w:val="28"/>
          <w:szCs w:val="28"/>
        </w:rPr>
        <w:t xml:space="preserve">Кредитные и ESG-рейтинги Ак Барс Банка по состоянию на конец 2024 года</w:t>
      </w: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213"/>
        <w:gridCol w:w="3213"/>
        <w:gridCol w:w="3213"/>
      </w:tblGrid>
      <w:tr>
        <w:trPr>
          <w:tblHeader/>
        </w:trPr>
        <w:tc>
          <w:tcPr>
            <w:tcW w:w="3213" w:type="dxa"/>
            <w:vAlign w:val="center"/>
          </w:tcPr>
          <w:p>
            <w:pPr>
              <w:spacing w:before="40" w:after="40" w:line="240" w:lineRule="auto"/>
              <w:ind w:firstLine="0"/>
              <w:jc w:val="center"/>
            </w:pPr>
            <w:r>
              <w:rPr>
                <w:b/>
                <w:bCs/>
                <w:rFonts w:ascii="Times New Roman" w:hAnsi="Times New Roman" w:cs="Times New Roman" w:eastAsia="Times New Roman"/>
                <w:sz w:val="24"/>
                <w:szCs w:val="24"/>
              </w:rPr>
              <w:t xml:space="preserve">Агентство</w:t>
            </w:r>
          </w:p>
        </w:tc>
        <w:tc>
          <w:tcPr>
            <w:tcW w:w="3213" w:type="dxa"/>
            <w:vAlign w:val="center"/>
          </w:tcPr>
          <w:p>
            <w:pPr>
              <w:spacing w:before="40" w:after="40" w:line="240" w:lineRule="auto"/>
              <w:ind w:firstLine="0"/>
              <w:jc w:val="center"/>
            </w:pPr>
            <w:r>
              <w:rPr>
                <w:b/>
                <w:bCs/>
                <w:rFonts w:ascii="Times New Roman" w:hAnsi="Times New Roman" w:cs="Times New Roman" w:eastAsia="Times New Roman"/>
                <w:sz w:val="24"/>
                <w:szCs w:val="24"/>
              </w:rPr>
              <w:t xml:space="preserve">Кредитный рейтинг</w:t>
            </w:r>
          </w:p>
        </w:tc>
        <w:tc>
          <w:tcPr>
            <w:tcW w:w="3213" w:type="dxa"/>
            <w:vAlign w:val="center"/>
          </w:tcPr>
          <w:p>
            <w:pPr>
              <w:spacing w:before="40" w:after="40" w:line="240" w:lineRule="auto"/>
              <w:ind w:firstLine="0"/>
              <w:jc w:val="center"/>
            </w:pPr>
            <w:r>
              <w:rPr>
                <w:b/>
                <w:bCs/>
                <w:rFonts w:ascii="Times New Roman" w:hAnsi="Times New Roman" w:cs="Times New Roman" w:eastAsia="Times New Roman"/>
                <w:sz w:val="24"/>
                <w:szCs w:val="24"/>
              </w:rPr>
              <w:t xml:space="preserve">ESG-рейтинг</w:t>
            </w:r>
          </w:p>
        </w:tc>
      </w:tr>
      <w:tr>
        <w:trPr/>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АКРА</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A(RU), стабильный</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w:t>
            </w:r>
          </w:p>
        </w:tc>
      </w:tr>
      <w:tr>
        <w:trPr/>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Эксперт РА</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ruA, стабильный (повышен в феврале 2024)</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ESG-III(b)</w:t>
            </w:r>
          </w:p>
        </w:tc>
      </w:tr>
      <w:tr>
        <w:trPr/>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НКР</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A.ru, позитивный</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ESG-A</w:t>
            </w:r>
          </w:p>
        </w:tc>
      </w:tr>
      <w:tr>
        <w:trPr/>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Банк России</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ESG-BBB, стабильный</w:t>
            </w:r>
          </w:p>
        </w:tc>
      </w:tr>
    </w:tbl>
    <w:p>
      <w:pPr>
        <w:jc w:val="both"/>
        <w:ind w:firstLine="709"/>
        <w:spacing w:before="0" w:after="0" w:line="360" w:lineRule="auto"/>
      </w:pPr>
      <w:r>
        <w:rPr>
          <w:rFonts w:ascii="Times New Roman" w:hAnsi="Times New Roman" w:cs="Times New Roman" w:eastAsia="Times New Roman"/>
          <w:sz w:val="28"/>
          <w:szCs w:val="28"/>
        </w:rPr>
        <w:t xml:space="preserve">Источник: составлено автором по данным [28, с. 4]</w:t>
      </w:r>
    </w:p>
    <w:p>
      <w:pPr>
        <w:jc w:val="both"/>
        <w:ind w:firstLine="709"/>
        <w:spacing w:before="0" w:after="0" w:line="360" w:lineRule="auto"/>
      </w:pPr>
      <w:r>
        <w:rPr>
          <w:rFonts w:ascii="Times New Roman" w:hAnsi="Times New Roman" w:cs="Times New Roman" w:eastAsia="Times New Roman"/>
          <w:sz w:val="28"/>
          <w:szCs w:val="28"/>
        </w:rPr>
        <w:t xml:space="preserve">Совокупность рейтингов «A» по национальной шкале и подтверждённого ESG-статуса формирует репутационный капитал, который банк переносит на дочерние продукты. Для B2B-заказчика Face2 это означает, что за биометрической системой стоит финансово устойчивый и аккредитованный по ESG банк, а не отдельный технологический стартап.</w:t>
      </w:r>
    </w:p>
    <w:p>
      <w:pPr>
        <w:jc w:val="both"/>
        <w:ind w:firstLine="709"/>
        <w:spacing w:before="0" w:after="0" w:line="360" w:lineRule="auto"/>
      </w:pPr>
      <w:r>
        <w:rPr>
          <w:rFonts w:ascii="Times New Roman" w:hAnsi="Times New Roman" w:cs="Times New Roman" w:eastAsia="Times New Roman"/>
          <w:sz w:val="28"/>
          <w:szCs w:val="28"/>
        </w:rPr>
        <w:t xml:space="preserve">Региональная сеть и численность персонала задают физические границы продукта. Банк держит 166 дополнительных офисов в Татарстане и других регионах России — на конец 2023 года их было 174 [26, с. 7]. Сокращение сети сопровождалось ростом штата: численность персонала увеличилась с 4 725 человек в 2023 году до 5 032 человек в 2024 году [26, с. 7]. Такой сдвиг означает, что банк концентрирует функции в более крупных и технологичных отделениях, а часть нагрузки перекладывает на цифровые каналы. Эта же сеть стала первой площадкой для тестирования и масштабирования биометрических решений Face2.</w:t>
      </w:r>
    </w:p>
    <w:p>
      <w:pPr>
        <w:jc w:val="both"/>
        <w:ind w:firstLine="709"/>
        <w:spacing w:before="0" w:after="0" w:line="360" w:lineRule="auto"/>
      </w:pPr>
      <w:r>
        <w:rPr>
          <w:rFonts w:ascii="Times New Roman" w:hAnsi="Times New Roman" w:cs="Times New Roman" w:eastAsia="Times New Roman"/>
          <w:sz w:val="28"/>
          <w:szCs w:val="28"/>
        </w:rPr>
        <w:t xml:space="preserve">Биометрия — одно из инновационных направлений, в котором финансовая база банка соединяется с собственной технологической разработкой. Face2 закрепляет это направление как самостоятельный продуктовый бренд, а не как внутренний ИТ-проект.</w:t>
      </w:r>
    </w:p>
    <w:p>
      <w:pPr>
        <w:jc w:val="both"/>
        <w:ind w:firstLine="709"/>
        <w:spacing w:before="0" w:after="0" w:line="360" w:lineRule="auto"/>
      </w:pPr>
      <w:r>
        <w:rPr>
          <w:rFonts w:ascii="Times New Roman" w:hAnsi="Times New Roman" w:cs="Times New Roman" w:eastAsia="Times New Roman"/>
          <w:sz w:val="28"/>
          <w:szCs w:val="28"/>
        </w:rPr>
        <w:t xml:space="preserve">Команда Face2 много лет экспериментировала с разными методами обработки изображений и сосредоточилась на компьютерном зрении [27]. Точкой старта стал тестовый биометрический проект 2019 года в офисах самого банка. Хронология развития проекта собрана в таблице 2.1.5.</w:t>
      </w:r>
    </w:p>
    <w:p>
      <w:pPr>
        <w:jc w:val="both"/>
        <w:ind w:firstLine="709"/>
        <w:spacing w:before="0" w:after="0" w:line="360" w:lineRule="auto"/>
      </w:pPr>
      <w:r>
        <w:rPr>
          <w:rFonts w:ascii="Times New Roman" w:hAnsi="Times New Roman" w:cs="Times New Roman" w:eastAsia="Times New Roman"/>
          <w:sz w:val="28"/>
          <w:szCs w:val="28"/>
        </w:rPr>
        <w:t xml:space="preserve">Таблица 2.1.5</w:t>
      </w:r>
    </w:p>
    <w:p>
      <w:pPr>
        <w:jc w:val="both"/>
        <w:ind w:firstLine="709"/>
        <w:spacing w:before="0" w:after="0" w:line="360" w:lineRule="auto"/>
      </w:pPr>
      <w:r>
        <w:rPr>
          <w:rFonts w:ascii="Times New Roman" w:hAnsi="Times New Roman" w:cs="Times New Roman" w:eastAsia="Times New Roman"/>
          <w:sz w:val="28"/>
          <w:szCs w:val="28"/>
        </w:rPr>
        <w:t xml:space="preserve">Хронология развития проекта Face2</w:t>
      </w: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819"/>
        <w:gridCol w:w="4819"/>
      </w:tblGrid>
      <w:tr>
        <w:trPr>
          <w:tblHeader/>
        </w:trPr>
        <w:tc>
          <w:tcPr>
            <w:tcW w:w="4819" w:type="dxa"/>
            <w:vAlign w:val="center"/>
          </w:tcPr>
          <w:p>
            <w:pPr>
              <w:spacing w:before="40" w:after="40" w:line="240" w:lineRule="auto"/>
              <w:ind w:firstLine="0"/>
              <w:jc w:val="center"/>
            </w:pPr>
            <w:r>
              <w:rPr>
                <w:b/>
                <w:bCs/>
                <w:rFonts w:ascii="Times New Roman" w:hAnsi="Times New Roman" w:cs="Times New Roman" w:eastAsia="Times New Roman"/>
                <w:sz w:val="24"/>
                <w:szCs w:val="24"/>
              </w:rPr>
              <w:t xml:space="preserve">Год</w:t>
            </w:r>
          </w:p>
        </w:tc>
        <w:tc>
          <w:tcPr>
            <w:tcW w:w="4819" w:type="dxa"/>
            <w:vAlign w:val="center"/>
          </w:tcPr>
          <w:p>
            <w:pPr>
              <w:spacing w:before="40" w:after="40" w:line="240" w:lineRule="auto"/>
              <w:ind w:firstLine="0"/>
              <w:jc w:val="center"/>
            </w:pPr>
            <w:r>
              <w:rPr>
                <w:b/>
                <w:bCs/>
                <w:rFonts w:ascii="Times New Roman" w:hAnsi="Times New Roman" w:cs="Times New Roman" w:eastAsia="Times New Roman"/>
                <w:sz w:val="24"/>
                <w:szCs w:val="24"/>
              </w:rPr>
              <w:t xml:space="preserve">Ключевое событие</w:t>
            </w:r>
          </w:p>
        </w:tc>
      </w:tr>
      <w:tr>
        <w:trPr/>
        <w:tc>
          <w:tcPr>
            <w:tcW w:w="481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2019</w:t>
            </w:r>
          </w:p>
        </w:tc>
        <w:tc>
          <w:tcPr>
            <w:tcW w:w="481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Тестовый биометрический проект в офисах Ак Барс Банка</w:t>
            </w:r>
          </w:p>
        </w:tc>
      </w:tr>
      <w:tr>
        <w:trPr/>
        <w:tc>
          <w:tcPr>
            <w:tcW w:w="481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2022</w:t>
            </w:r>
          </w:p>
        </w:tc>
        <w:tc>
          <w:tcPr>
            <w:tcW w:w="481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Создание бренда Face2; запуск сервисов доступа на территорию без карточек и выдачи книг в библиотеках без документов</w:t>
            </w:r>
          </w:p>
        </w:tc>
      </w:tr>
      <w:tr>
        <w:trPr/>
        <w:tc>
          <w:tcPr>
            <w:tcW w:w="481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2023</w:t>
            </w:r>
          </w:p>
        </w:tc>
        <w:tc>
          <w:tcPr>
            <w:tcW w:w="481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Создание коммерческой биометрической системы (КБС) и аккредитация Минцифры России (Решение № 4-А от 15.11.2023)</w:t>
            </w:r>
          </w:p>
        </w:tc>
      </w:tr>
      <w:tr>
        <w:trPr/>
        <w:tc>
          <w:tcPr>
            <w:tcW w:w="481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2024</w:t>
            </w:r>
          </w:p>
        </w:tc>
        <w:tc>
          <w:tcPr>
            <w:tcW w:w="481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Запуск оплаты по лицу, в том числе в Казанском метрополитене</w:t>
            </w:r>
          </w:p>
        </w:tc>
      </w:tr>
      <w:tr>
        <w:trPr/>
        <w:tc>
          <w:tcPr>
            <w:tcW w:w="481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2025</w:t>
            </w:r>
          </w:p>
        </w:tc>
        <w:tc>
          <w:tcPr>
            <w:tcW w:w="4819"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Запуск сервисов подтверждения возраста и регистрации в гостинице без паспорта</w:t>
            </w:r>
          </w:p>
        </w:tc>
      </w:tr>
    </w:tbl>
    <w:p>
      <w:pPr>
        <w:jc w:val="both"/>
        <w:ind w:firstLine="709"/>
        <w:spacing w:before="0" w:after="0" w:line="360" w:lineRule="auto"/>
      </w:pPr>
      <w:r>
        <w:rPr>
          <w:rFonts w:ascii="Times New Roman" w:hAnsi="Times New Roman" w:cs="Times New Roman" w:eastAsia="Times New Roman"/>
          <w:sz w:val="28"/>
          <w:szCs w:val="28"/>
        </w:rPr>
        <w:t xml:space="preserve">Источник: составлено автором по данным [27]</w:t>
      </w:r>
    </w:p>
    <w:p>
      <w:pPr>
        <w:jc w:val="both"/>
        <w:ind w:firstLine="709"/>
        <w:spacing w:before="0" w:after="0" w:line="360" w:lineRule="auto"/>
      </w:pPr>
      <w:r>
        <w:rPr>
          <w:rFonts w:ascii="Times New Roman" w:hAnsi="Times New Roman" w:cs="Times New Roman" w:eastAsia="Times New Roman"/>
          <w:sz w:val="28"/>
          <w:szCs w:val="28"/>
        </w:rPr>
        <w:t xml:space="preserve">Хронология показывает три фазы. Внутренний эксперимент 2019–2022 годов закладывал технологию и команду. Регуляторное оформление 2023 года давало юридическую оболочку и доступ к векторам ГИС ЕБС. Выход на массовые сценарии в 2024–2025 годах разворачивал продукт в транспорте, торговле и гостеприимстве. Каждая следующая фаза опирается на накопленную в предыдущей базу: сначала отладка на собственных сотрудниках, затем юридическая оболочка КБС, затем коммерческие сценарии для внешних заказчиков.</w:t>
      </w:r>
    </w:p>
    <w:p>
      <w:pPr>
        <w:jc w:val="both"/>
        <w:ind w:firstLine="709"/>
        <w:spacing w:before="0" w:after="0" w:line="360" w:lineRule="auto"/>
      </w:pPr>
      <w:r>
        <w:rPr>
          <w:rFonts w:ascii="Times New Roman" w:hAnsi="Times New Roman" w:cs="Times New Roman" w:eastAsia="Times New Roman"/>
          <w:sz w:val="28"/>
          <w:szCs w:val="28"/>
        </w:rPr>
        <w:t xml:space="preserve">Регуляторный контур Face2 определяет 572-ФЗ от 29 декабря 2022 года — закон отдаёт сбор биометрии лица только аккредитованным организациям и обязывает хранить векторы в Государственной информационной системе ЕБС [27]. Аутентификация по биометрии разрешена только аккредитованным организациям и только при согласии гражданина [27]. Решение Минцифры России № 4-А от 15 ноября 2023 года вписало банк в число первых в стране операторов КБС, которые могут оказывать услуги на основе векторов из ГИС ЕБС [27]. Этот статус — главная разделительная линия между Face2 и локальными биометрическими системами на рынке: локальные решения нарушают 572-ФЗ, не сертифицированы ФСБ России и не обеспечивают защиты биометрических данных [27].</w:t>
      </w:r>
    </w:p>
    <w:p>
      <w:pPr>
        <w:jc w:val="both"/>
        <w:ind w:firstLine="709"/>
        <w:spacing w:before="0" w:after="0" w:line="360" w:lineRule="auto"/>
      </w:pPr>
      <w:r>
        <w:rPr>
          <w:rFonts w:ascii="Times New Roman" w:hAnsi="Times New Roman" w:cs="Times New Roman" w:eastAsia="Times New Roman"/>
          <w:sz w:val="28"/>
          <w:szCs w:val="28"/>
        </w:rPr>
        <w:t xml:space="preserve">Технологическое ядро Face2 строится на компьютерном зрении и подчинено требованиям 572-ФЗ. Система Face2Pass прошла сертификацию ФСБ и ФСТЭК и попала в реестр отечественного программного обеспечения [27]. Заявленная точность распознавания — 99,5%, среднее время сканирования при благоприятных условиях — около двух секунд [27]. Архитектура работы с данными показана на рисунке 2.1.3.</w:t>
      </w:r>
    </w:p>
    <w:p>
      <w:pPr>
        <w:spacing w:before="0" w:after="0" w:line="240" w:lineRule="auto"/>
        <w:ind w:firstLine="0"/>
        <w:jc w:val="left"/>
      </w:pPr>
      <w:r>
        <w:rPr>
          <w:rFonts w:ascii="Courier New" w:hAnsi="Courier New" w:cs="Courier New" w:eastAsia="Courier New"/>
          <w:sz w:val="20"/>
          <w:szCs w:val="20"/>
        </w:rPr>
        <w:t xml:space="preserve">   ┌─────────┐    упрощённая    ┌──────────────────┐</w:t>
      </w:r>
    </w:p>
    <w:p>
      <w:pPr>
        <w:spacing w:before="0" w:after="0" w:line="240" w:lineRule="auto"/>
        <w:ind w:firstLine="0"/>
        <w:jc w:val="left"/>
      </w:pPr>
      <w:r>
        <w:rPr>
          <w:rFonts w:ascii="Courier New" w:hAnsi="Courier New" w:cs="Courier New" w:eastAsia="Courier New"/>
          <w:sz w:val="20"/>
          <w:szCs w:val="20"/>
        </w:rPr>
        <w:t xml:space="preserve">   │ Клиент  │ ───биометрия───▶│  ГИС ЕБС         │</w:t>
      </w:r>
    </w:p>
    <w:p>
      <w:pPr>
        <w:spacing w:before="0" w:after="0" w:line="240" w:lineRule="auto"/>
        <w:ind w:firstLine="0"/>
        <w:jc w:val="left"/>
      </w:pPr>
      <w:r>
        <w:rPr>
          <w:rFonts w:ascii="Courier New" w:hAnsi="Courier New" w:cs="Courier New" w:eastAsia="Courier New"/>
          <w:sz w:val="20"/>
          <w:szCs w:val="20"/>
        </w:rPr>
        <w:t xml:space="preserve">   │         │                  │  (Минцифры РФ)   │</w:t>
      </w:r>
    </w:p>
    <w:p>
      <w:pPr>
        <w:spacing w:before="0" w:after="0" w:line="240" w:lineRule="auto"/>
        <w:ind w:firstLine="0"/>
        <w:jc w:val="left"/>
      </w:pPr>
      <w:r>
        <w:rPr>
          <w:rFonts w:ascii="Courier New" w:hAnsi="Courier New" w:cs="Courier New" w:eastAsia="Courier New"/>
          <w:sz w:val="20"/>
          <w:szCs w:val="20"/>
        </w:rPr>
        <w:t xml:space="preserve">   └────┬────┘                  └────────┬─────────┘</w:t>
      </w:r>
    </w:p>
    <w:p>
      <w:pPr>
        <w:spacing w:before="0" w:after="0" w:line="240" w:lineRule="auto"/>
        <w:ind w:firstLine="0"/>
        <w:jc w:val="left"/>
      </w:pPr>
      <w:r>
        <w:rPr>
          <w:rFonts w:ascii="Courier New" w:hAnsi="Courier New" w:cs="Courier New" w:eastAsia="Courier New"/>
          <w:sz w:val="20"/>
          <w:szCs w:val="20"/>
        </w:rPr>
        <w:t xml:space="preserve">        │ согласие                       │ вектор</w:t>
      </w:r>
    </w:p>
    <w:p>
      <w:pPr>
        <w:spacing w:before="0" w:after="0" w:line="240" w:lineRule="auto"/>
        <w:ind w:firstLine="0"/>
        <w:jc w:val="left"/>
      </w:pPr>
      <w:r>
        <w:rPr>
          <w:rFonts w:ascii="Courier New" w:hAnsi="Courier New" w:cs="Courier New" w:eastAsia="Courier New"/>
          <w:sz w:val="20"/>
          <w:szCs w:val="20"/>
        </w:rPr>
        <w:t xml:space="preserve">        │ на КБС АББ                     ▼</w:t>
      </w:r>
    </w:p>
    <w:p>
      <w:pPr>
        <w:spacing w:before="0" w:after="0" w:line="240" w:lineRule="auto"/>
        <w:ind w:firstLine="0"/>
        <w:jc w:val="left"/>
      </w:pPr>
      <w:r>
        <w:rPr>
          <w:rFonts w:ascii="Courier New" w:hAnsi="Courier New" w:cs="Courier New" w:eastAsia="Courier New"/>
          <w:sz w:val="20"/>
          <w:szCs w:val="20"/>
        </w:rPr>
        <w:t xml:space="preserve">        │                       ┌──────────────────┐</w:t>
      </w:r>
    </w:p>
    <w:p>
      <w:pPr>
        <w:spacing w:before="0" w:after="0" w:line="240" w:lineRule="auto"/>
        <w:ind w:firstLine="0"/>
        <w:jc w:val="left"/>
      </w:pPr>
      <w:r>
        <w:rPr>
          <w:rFonts w:ascii="Courier New" w:hAnsi="Courier New" w:cs="Courier New" w:eastAsia="Courier New"/>
          <w:sz w:val="20"/>
          <w:szCs w:val="20"/>
        </w:rPr>
        <w:t xml:space="preserve">        └─────────────────────▶│ КБС Ак Барс Банк │</w:t>
      </w:r>
    </w:p>
    <w:p>
      <w:pPr>
        <w:spacing w:before="0" w:after="0" w:line="240" w:lineRule="auto"/>
        <w:ind w:firstLine="0"/>
        <w:jc w:val="left"/>
      </w:pPr>
      <w:r>
        <w:rPr>
          <w:rFonts w:ascii="Courier New" w:hAnsi="Courier New" w:cs="Courier New" w:eastAsia="Courier New"/>
          <w:sz w:val="20"/>
          <w:szCs w:val="20"/>
        </w:rPr>
        <w:t xml:space="preserve">                                │     (Face2)      │</w:t>
      </w:r>
    </w:p>
    <w:p>
      <w:pPr>
        <w:spacing w:before="0" w:after="0" w:line="240" w:lineRule="auto"/>
        <w:ind w:firstLine="0"/>
        <w:jc w:val="left"/>
      </w:pPr>
      <w:r>
        <w:rPr>
          <w:rFonts w:ascii="Courier New" w:hAnsi="Courier New" w:cs="Courier New" w:eastAsia="Courier New"/>
          <w:sz w:val="20"/>
          <w:szCs w:val="20"/>
        </w:rPr>
        <w:t xml:space="preserve">                                └────────┬─────────┘</w:t>
      </w:r>
    </w:p>
    <w:p>
      <w:pPr>
        <w:spacing w:before="0" w:after="0" w:line="240" w:lineRule="auto"/>
        <w:ind w:firstLine="0"/>
        <w:jc w:val="left"/>
      </w:pPr>
      <w:r>
        <w:rPr>
          <w:rFonts w:ascii="Courier New" w:hAnsi="Courier New" w:cs="Courier New" w:eastAsia="Courier New"/>
          <w:sz w:val="20"/>
          <w:szCs w:val="20"/>
        </w:rPr>
        <w:t xml:space="preserve">                                         │</w:t>
      </w:r>
    </w:p>
    <w:p>
      <w:pPr>
        <w:spacing w:before="0" w:after="0" w:line="240" w:lineRule="auto"/>
        <w:ind w:firstLine="0"/>
        <w:jc w:val="left"/>
      </w:pPr>
      <w:r>
        <w:rPr>
          <w:rFonts w:ascii="Courier New" w:hAnsi="Courier New" w:cs="Courier New" w:eastAsia="Courier New"/>
          <w:sz w:val="20"/>
          <w:szCs w:val="20"/>
        </w:rPr>
        <w:t xml:space="preserve">              ┌──────────────────────────┼──────────────────────────┐</w:t>
      </w:r>
    </w:p>
    <w:p>
      <w:pPr>
        <w:spacing w:before="0" w:after="0" w:line="240" w:lineRule="auto"/>
        <w:ind w:firstLine="0"/>
        <w:jc w:val="left"/>
      </w:pPr>
      <w:r>
        <w:rPr>
          <w:rFonts w:ascii="Courier New" w:hAnsi="Courier New" w:cs="Courier New" w:eastAsia="Courier New"/>
          <w:sz w:val="20"/>
          <w:szCs w:val="20"/>
        </w:rPr>
        <w:t xml:space="preserve">              ▼                          ▼                          ▼</w:t>
      </w:r>
    </w:p>
    <w:p>
      <w:pPr>
        <w:spacing w:before="0" w:after="0" w:line="240" w:lineRule="auto"/>
        <w:ind w:firstLine="0"/>
        <w:jc w:val="left"/>
      </w:pPr>
      <w:r>
        <w:rPr>
          <w:rFonts w:ascii="Courier New" w:hAnsi="Courier New" w:cs="Courier New" w:eastAsia="Courier New"/>
          <w:sz w:val="20"/>
          <w:szCs w:val="20"/>
        </w:rPr>
        <w:t xml:space="preserve">       Face2Pay                     Face2Pass                Face2Check-in</w:t>
      </w:r>
    </w:p>
    <w:p>
      <w:pPr>
        <w:spacing w:before="0" w:after="0" w:line="240" w:lineRule="auto"/>
        <w:ind w:firstLine="0"/>
        <w:jc w:val="left"/>
      </w:pPr>
      <w:r>
        <w:rPr>
          <w:rFonts w:ascii="Courier New" w:hAnsi="Courier New" w:cs="Courier New" w:eastAsia="Courier New"/>
          <w:sz w:val="20"/>
          <w:szCs w:val="20"/>
        </w:rPr>
        <w:t xml:space="preserve">       (оплата по лицу)            (контроль доступа)        (подтверждение возраста)</w:t>
      </w:r>
    </w:p>
    <w:p>
      <w:pPr>
        <w:jc w:val="both"/>
        <w:ind w:firstLine="709"/>
        <w:spacing w:before="0" w:after="0" w:line="360" w:lineRule="auto"/>
      </w:pPr>
      <w:r>
        <w:rPr>
          <w:rFonts w:ascii="Times New Roman" w:hAnsi="Times New Roman" w:cs="Times New Roman" w:eastAsia="Times New Roman"/>
          <w:sz w:val="28"/>
          <w:szCs w:val="28"/>
        </w:rPr>
        <w:t xml:space="preserve">Источник: составлено автором по данным [27]</w:t>
      </w:r>
    </w:p>
    <w:p>
      <w:pPr>
        <w:jc w:val="both"/>
        <w:ind w:firstLine="709"/>
        <w:spacing w:before="0" w:after="0" w:line="360" w:lineRule="auto"/>
      </w:pPr>
      <w:r>
        <w:rPr>
          <w:rFonts w:ascii="Times New Roman" w:hAnsi="Times New Roman" w:cs="Times New Roman" w:eastAsia="Times New Roman"/>
          <w:sz w:val="28"/>
          <w:szCs w:val="28"/>
        </w:rPr>
        <w:t xml:space="preserve">Рис. 2.1.3. Архитектура взаимодействия Face2 с ГИС ЕБС в контуре коммерческой биометрической системы</w:t>
      </w:r>
    </w:p>
    <w:p>
      <w:pPr>
        <w:jc w:val="both"/>
        <w:ind w:firstLine="709"/>
        <w:spacing w:before="0" w:after="0" w:line="360" w:lineRule="auto"/>
      </w:pPr>
      <w:r>
        <w:rPr>
          <w:rFonts w:ascii="Times New Roman" w:hAnsi="Times New Roman" w:cs="Times New Roman" w:eastAsia="Times New Roman"/>
          <w:sz w:val="28"/>
          <w:szCs w:val="28"/>
        </w:rPr>
        <w:t xml:space="preserve">Схема снимает один из ключевых барьеров доверия к биометрии: клиент сдаёт упрощённую биометрию через приложение «Госуслуги Биометрия», вектор хранится в государственной системе, а банк получает обезличенный вектор только по явному согласию пользователя [27]. Криптозащита и сертификация ФСБ закрывают риски утечки и подделки.</w:t>
      </w:r>
    </w:p>
    <w:p>
      <w:pPr>
        <w:jc w:val="both"/>
        <w:ind w:firstLine="709"/>
        <w:spacing w:before="0" w:after="0" w:line="360" w:lineRule="auto"/>
      </w:pPr>
      <w:r>
        <w:rPr>
          <w:rFonts w:ascii="Times New Roman" w:hAnsi="Times New Roman" w:cs="Times New Roman" w:eastAsia="Times New Roman"/>
          <w:sz w:val="28"/>
          <w:szCs w:val="28"/>
        </w:rPr>
        <w:t xml:space="preserve">Пользовательский путь подключения к Face2 укладывается в четыре шага: установка приложения «Госуслуги Биометрия», сдача упрощённой биометрии через приложение, согласие на использование биометрического вектора КБС Ак Барс Банка, проход в офис или оплата по лицу [27]. Каждый шаг — за пределами контура самого заказчика, что снимает с клиентского бизнеса нагрузку по сбору и хранению чувствительных данных. Со стороны заказчика для запуска требуется только турникет, совместимый с биотерминалами, стабильное интернет-соединение со скоростью не менее 10 Мбит/с и непрерывностью работы канала не менее 95%, а также доступ к базовой СКУД-системе [27]. Низкий порог входа по инфраструктуре — один из ключевых аргументов в продвижении.</w:t>
      </w:r>
    </w:p>
    <w:p>
      <w:pPr>
        <w:jc w:val="both"/>
        <w:ind w:firstLine="709"/>
        <w:spacing w:before="0" w:after="0" w:line="360" w:lineRule="auto"/>
      </w:pPr>
      <w:r>
        <w:rPr>
          <w:rFonts w:ascii="Times New Roman" w:hAnsi="Times New Roman" w:cs="Times New Roman" w:eastAsia="Times New Roman"/>
          <w:sz w:val="28"/>
          <w:szCs w:val="28"/>
        </w:rPr>
        <w:t xml:space="preserve">Линейка Face2 охватывает несколько крупных направлений и собирается вокруг базовой системы КБС. Состав продуктов и целевая аудитория показаны в таблице 2.1.6.</w:t>
      </w:r>
    </w:p>
    <w:p>
      <w:pPr>
        <w:jc w:val="both"/>
        <w:ind w:firstLine="709"/>
        <w:spacing w:before="0" w:after="0" w:line="360" w:lineRule="auto"/>
      </w:pPr>
      <w:r>
        <w:rPr>
          <w:rFonts w:ascii="Times New Roman" w:hAnsi="Times New Roman" w:cs="Times New Roman" w:eastAsia="Times New Roman"/>
          <w:sz w:val="28"/>
          <w:szCs w:val="28"/>
        </w:rPr>
        <w:t xml:space="preserve">Таблица 2.1.6</w:t>
      </w:r>
    </w:p>
    <w:p>
      <w:pPr>
        <w:jc w:val="both"/>
        <w:ind w:firstLine="709"/>
        <w:spacing w:before="0" w:after="0" w:line="360" w:lineRule="auto"/>
      </w:pPr>
      <w:r>
        <w:rPr>
          <w:rFonts w:ascii="Times New Roman" w:hAnsi="Times New Roman" w:cs="Times New Roman" w:eastAsia="Times New Roman"/>
          <w:sz w:val="28"/>
          <w:szCs w:val="28"/>
        </w:rPr>
        <w:t xml:space="preserve">Линейка продуктов Face2 и целевые рыночные сегменты</w:t>
      </w: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213"/>
        <w:gridCol w:w="3213"/>
        <w:gridCol w:w="3213"/>
      </w:tblGrid>
      <w:tr>
        <w:trPr>
          <w:tblHeader/>
        </w:trPr>
        <w:tc>
          <w:tcPr>
            <w:tcW w:w="3213" w:type="dxa"/>
            <w:vAlign w:val="center"/>
          </w:tcPr>
          <w:p>
            <w:pPr>
              <w:spacing w:before="40" w:after="40" w:line="240" w:lineRule="auto"/>
              <w:ind w:firstLine="0"/>
              <w:jc w:val="center"/>
            </w:pPr>
            <w:r>
              <w:rPr>
                <w:b/>
                <w:bCs/>
                <w:rFonts w:ascii="Times New Roman" w:hAnsi="Times New Roman" w:cs="Times New Roman" w:eastAsia="Times New Roman"/>
                <w:sz w:val="24"/>
                <w:szCs w:val="24"/>
              </w:rPr>
              <w:t xml:space="preserve">Продукт</w:t>
            </w:r>
          </w:p>
        </w:tc>
        <w:tc>
          <w:tcPr>
            <w:tcW w:w="3213" w:type="dxa"/>
            <w:vAlign w:val="center"/>
          </w:tcPr>
          <w:p>
            <w:pPr>
              <w:spacing w:before="40" w:after="40" w:line="240" w:lineRule="auto"/>
              <w:ind w:firstLine="0"/>
              <w:jc w:val="center"/>
            </w:pPr>
            <w:r>
              <w:rPr>
                <w:b/>
                <w:bCs/>
                <w:rFonts w:ascii="Times New Roman" w:hAnsi="Times New Roman" w:cs="Times New Roman" w:eastAsia="Times New Roman"/>
                <w:sz w:val="24"/>
                <w:szCs w:val="24"/>
              </w:rPr>
              <w:t xml:space="preserve">Решаемая задача</w:t>
            </w:r>
          </w:p>
        </w:tc>
        <w:tc>
          <w:tcPr>
            <w:tcW w:w="3213" w:type="dxa"/>
            <w:vAlign w:val="center"/>
          </w:tcPr>
          <w:p>
            <w:pPr>
              <w:spacing w:before="40" w:after="40" w:line="240" w:lineRule="auto"/>
              <w:ind w:firstLine="0"/>
              <w:jc w:val="center"/>
            </w:pPr>
            <w:r>
              <w:rPr>
                <w:b/>
                <w:bCs/>
                <w:rFonts w:ascii="Times New Roman" w:hAnsi="Times New Roman" w:cs="Times New Roman" w:eastAsia="Times New Roman"/>
                <w:sz w:val="24"/>
                <w:szCs w:val="24"/>
              </w:rPr>
              <w:t xml:space="preserve">Целевые сегменты</w:t>
            </w:r>
          </w:p>
        </w:tc>
      </w:tr>
      <w:tr>
        <w:trPr/>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Face2Pay (биоэквайринг)</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SDK захвата кадров лица, проверка живости, транзакционная модель</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Банки, МФО, ритейл, вендинговые сети, маркетплейсы, вендоры оборудования самообслуживания</w:t>
            </w:r>
          </w:p>
        </w:tc>
      </w:tr>
      <w:tr>
        <w:trPr/>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Face2Check-in</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Подтверждение возраста и личности на чувствительных площадках</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Аэропорты, спортивные объекты, критически важные промышленные предприятия</w:t>
            </w:r>
          </w:p>
        </w:tc>
      </w:tr>
      <w:tr>
        <w:trPr/>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Face2Pass + Face2Pass.Terminal</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СКУД на основе распознавания лиц для режимных объектов</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Заводы, бизнес с собственными офисами и складами, ВУЗы, площадки массовых мероприятий</w:t>
            </w:r>
          </w:p>
        </w:tc>
      </w:tr>
      <w:tr>
        <w:trPr/>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КБС под ключ</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Внедрение полной коммерческой биометрической системы во внешней организации</w:t>
            </w:r>
          </w:p>
        </w:tc>
        <w:tc>
          <w:tcPr>
            <w:tcW w:w="3213" w:type="dxa"/>
            <w:vAlign w:val="center"/>
          </w:tcPr>
          <w:p>
            <w:pPr>
              <w:spacing w:before="40" w:after="40" w:line="240" w:lineRule="auto"/>
              <w:ind w:firstLine="0"/>
              <w:jc w:val="left"/>
            </w:pPr>
            <w:r>
              <w:rPr>
                <w:rFonts w:ascii="Times New Roman" w:hAnsi="Times New Roman" w:cs="Times New Roman" w:eastAsia="Times New Roman"/>
                <w:sz w:val="24"/>
                <w:szCs w:val="24"/>
              </w:rPr>
              <w:t xml:space="preserve">Банки, государственные организации, крупные корпорации федерального уровня</w:t>
            </w:r>
          </w:p>
        </w:tc>
      </w:tr>
    </w:tbl>
    <w:p>
      <w:pPr>
        <w:jc w:val="both"/>
        <w:ind w:firstLine="709"/>
        <w:spacing w:before="0" w:after="0" w:line="360" w:lineRule="auto"/>
      </w:pPr>
      <w:r>
        <w:rPr>
          <w:rFonts w:ascii="Times New Roman" w:hAnsi="Times New Roman" w:cs="Times New Roman" w:eastAsia="Times New Roman"/>
          <w:sz w:val="28"/>
          <w:szCs w:val="28"/>
        </w:rPr>
        <w:t xml:space="preserve">Источник: составлено автором по данным [27]</w:t>
      </w:r>
    </w:p>
    <w:p>
      <w:pPr>
        <w:jc w:val="both"/>
        <w:ind w:firstLine="709"/>
        <w:spacing w:before="0" w:after="0" w:line="360" w:lineRule="auto"/>
      </w:pPr>
      <w:r>
        <w:rPr>
          <w:rFonts w:ascii="Times New Roman" w:hAnsi="Times New Roman" w:cs="Times New Roman" w:eastAsia="Times New Roman"/>
          <w:sz w:val="28"/>
          <w:szCs w:val="28"/>
        </w:rPr>
        <w:t xml:space="preserve">Раскладка позволяет банку работать сразу в нескольких сегментах B2B и не привязываться к одному типу заказчика. Один и тот же программный фундамент закрывает задачи и платежей, и контроля доступа, и подтверждения возраста.</w:t>
      </w:r>
    </w:p>
    <w:p>
      <w:pPr>
        <w:jc w:val="both"/>
        <w:ind w:firstLine="709"/>
        <w:spacing w:before="0" w:after="0" w:line="360" w:lineRule="auto"/>
      </w:pPr>
      <w:r>
        <w:rPr>
          <w:rFonts w:ascii="Times New Roman" w:hAnsi="Times New Roman" w:cs="Times New Roman" w:eastAsia="Times New Roman"/>
          <w:sz w:val="28"/>
          <w:szCs w:val="28"/>
        </w:rPr>
        <w:t xml:space="preserve">Помимо распознавания лиц Face2Pass расширяется в сторону видеоаналитики режимных объектов: обнаружение драк, упавших людей, оружия и подозрительных предметов, распознавание автомобильных номеров на парковках, подсчёт людей в очереди и в торговом зале [27]. Дополнительные сценарии помогают продавать систему вместе с услугой контроля доступа и снижают порог входа для заказчика, у которого видеоаналитика и СКУД покупаются одним пакетом.</w:t>
      </w:r>
    </w:p>
    <w:p>
      <w:pPr>
        <w:jc w:val="both"/>
        <w:ind w:firstLine="709"/>
        <w:spacing w:before="0" w:after="0" w:line="360" w:lineRule="auto"/>
      </w:pPr>
      <w:r>
        <w:rPr>
          <w:rFonts w:ascii="Times New Roman" w:hAnsi="Times New Roman" w:cs="Times New Roman" w:eastAsia="Times New Roman"/>
          <w:sz w:val="28"/>
          <w:szCs w:val="28"/>
        </w:rPr>
        <w:t xml:space="preserve">Внешние партнёрства и пилотные внедрения 2024 года показывают, что Face2 уже вышел за пределы внутреннего контура группы. Биоэквайринг в Казанском метрополитене реализован совместно с Минцифры России, Минтрансом России, Центром биометрических технологий и Национальной системой платёжных карт [28, с. 30–31]. Проект «Электронный читательский билет» позволяет посещать Национальную библиотеку Республики Татарстан по биометрии, а сдать биометрию можно прямо в мобильном приложении «Карта жителя Республики Татарстан» [28, с. 29]. Биоэквайринг через СБП на POS-терминалах развивается как отдельная пилотная линия [28, с. 31]. Совокупность партнёров федерального уровня и социальных сценариев в Татарстане формирует первую референтную базу для масштабирования продукта на другие регионы.</w:t>
      </w:r>
    </w:p>
    <w:p>
      <w:pPr>
        <w:jc w:val="both"/>
        <w:ind w:firstLine="709"/>
        <w:spacing w:before="0" w:after="0" w:line="360" w:lineRule="auto"/>
      </w:pPr>
      <w:r>
        <w:rPr>
          <w:rFonts w:ascii="Times New Roman" w:hAnsi="Times New Roman" w:cs="Times New Roman" w:eastAsia="Times New Roman"/>
          <w:sz w:val="28"/>
          <w:szCs w:val="28"/>
        </w:rPr>
        <w:t xml:space="preserve">Опорной площадкой для отладки продукта остаётся сам банк. Сервисом прохода по биометрии пользуются больше пяти тысяч сотрудников, во всех офисах и отделениях установлено около двухсот биотерминалов, через них же ведётся учёт рабочего времени [27]. Внутренняя инсталляция работает постоянно и даёт команде площадку для проверки решения в реальной нагрузке. Накопленный там опыт банк переносит во внешние коммерческие проекты: масштаб клиентских внедрений колеблется от двухсот до пятнадцати тысяч биометрических векторов на одну инсталляцию [27].</w:t>
      </w:r>
    </w:p>
    <w:p>
      <w:pPr>
        <w:jc w:val="both"/>
        <w:ind w:firstLine="709"/>
        <w:spacing w:before="0" w:after="0" w:line="360" w:lineRule="auto"/>
      </w:pPr>
      <w:r>
        <w:rPr>
          <w:rFonts w:ascii="Times New Roman" w:hAnsi="Times New Roman" w:cs="Times New Roman" w:eastAsia="Times New Roman"/>
          <w:sz w:val="28"/>
          <w:szCs w:val="28"/>
        </w:rPr>
        <w:t xml:space="preserve">Регуляторная среда вокруг продукта ужесточается. Федеральные законы № 420-ФЗ и № 421-ФЗ от 30 ноября 2024 года ввели крупные административные штрафы и уголовную ответственность за неправомерное обращение с биометрическими персональными данными [27]. Незаконное использование, передача, сбор или хранение компьютерной информации с биометрическими данными карается лишением свободы до пяти лет, а административный штраф за неправомерную передачу таких данных оператором достигает 20 млн рублей и при повторе доходит до 1–3% годового дохода компании [27]. Усиление наказаний делает аккредитацию КБС и сертификацию ФСБ конкурентным преимуществом, а не формальностью.</w:t>
      </w:r>
    </w:p>
    <w:p>
      <w:pPr>
        <w:jc w:val="both"/>
        <w:ind w:firstLine="709"/>
        <w:spacing w:before="0" w:after="0" w:line="360" w:lineRule="auto"/>
      </w:pPr>
      <w:r>
        <w:rPr>
          <w:rFonts w:ascii="Times New Roman" w:hAnsi="Times New Roman" w:cs="Times New Roman" w:eastAsia="Times New Roman"/>
          <w:sz w:val="28"/>
          <w:szCs w:val="28"/>
        </w:rPr>
        <w:t xml:space="preserve">Получившаяся характеристика складывается из двух уровней. На верхнем — крупный региональный банк со штаб-квартирой в Казани, концентрированной акционерной базой, рейтингами «A» по национальной шкале, утверждённой стратегией с тремя приоритетами «эффективность — клиентоцентричность — гибкость», клиентской базой почти в миллион физических лиц и развитой цифровой инфраструктурой. На нижнем — собственный биометрический продукт с государственной аккредитацией, сертификацией ФСБ, отлаженной внутренней инсталляцией, понятной продуктовой линейкой для четырёх целевых сегментов B2B и первой коммерческой референтной базой в виде проектов с Минцифры, Минтрансом и НСПК. Эти исходные данные задают точку старта для дальнейшего анализа: дальше нужно понять, в каком конкурентном окружении Face2 выходит на рынок, какие игроки уже работают в этой нише и какие ограничения сдерживают спрос на коммерческую биометрию.</w:t>
      </w:r>
    </w:p>
    <w:p>
      <w:pPr>
        <w:pBdr>
          <w:bottom w:val="single" w:sz="6" w:space="1" w:color="808080"/>
        </w:pBdr>
        <w:spacing w:before="120" w:after="120"/>
        <w:ind w:firstLine="0"/>
      </w:pPr>
    </w:p>
    <w:p>
      <w:pPr>
        <w:pStyle w:val="Heading2"/>
        <w:keepNext/>
        <w:keepLines/>
        <w:spacing w:before="360" w:after="180" w:line="360" w:lineRule="auto"/>
        <w:jc w:val="left"/>
        <w:ind w:firstLine="0"/>
        <w:outlineLvl w:val="1"/>
      </w:pPr>
      <w:r>
        <w:rPr>
          <w:b/>
          <w:bCs/>
          <w:rFonts w:ascii="Times New Roman" w:hAnsi="Times New Roman" w:cs="Times New Roman" w:eastAsia="Times New Roman"/>
          <w:sz w:val="30"/>
          <w:szCs w:val="30"/>
        </w:rPr>
        <w:t xml:space="preserve">Замечания по соответствию Положению о ВКР (для последующей правки)</w:t>
      </w:r>
    </w:p>
    <w:p>
      <w:pPr>
        <w:jc w:val="both"/>
        <w:ind w:firstLine="709"/>
        <w:spacing w:before="0" w:after="0" w:line="360" w:lineRule="auto"/>
      </w:pPr>
      <w:r>
        <w:rPr>
          <w:rFonts w:ascii="Times New Roman" w:hAnsi="Times New Roman" w:cs="Times New Roman" w:eastAsia="Times New Roman"/>
          <w:sz w:val="28"/>
          <w:szCs w:val="28"/>
        </w:rPr>
        <w:t xml:space="preserve">Применённые в этой версии правки:</w:t>
      </w:r>
    </w:p>
    <w:p>
      <w:pPr>
        <w:jc w:val="both"/>
        <w:ind w:firstLine="709"/>
        <w:spacing w:before="0" w:after="0" w:line="360" w:lineRule="auto"/>
      </w:pPr>
      <w:r>
        <w:rPr>
          <w:rFonts w:ascii="Times New Roman" w:hAnsi="Times New Roman" w:cs="Times New Roman" w:eastAsia="Times New Roman"/>
          <w:sz w:val="28"/>
          <w:szCs w:val="28"/>
        </w:rPr>
        <w:t xml:space="preserve">1. Таблицы перенумерованы в формат </w:t>
      </w:r>
      <w:r>
        <w:rPr>
          <w:rFonts w:ascii="Courier New" w:hAnsi="Courier New" w:cs="Courier New" w:eastAsia="Courier New"/>
          <w:sz w:val="28"/>
          <w:szCs w:val="28"/>
        </w:rPr>
        <w:t xml:space="preserve">глава.параграф.порядковый</w:t>
      </w:r>
      <w:r>
        <w:rPr>
          <w:rFonts w:ascii="Times New Roman" w:hAnsi="Times New Roman" w:cs="Times New Roman" w:eastAsia="Times New Roman"/>
          <w:sz w:val="28"/>
          <w:szCs w:val="28"/>
        </w:rPr>
        <w:t xml:space="preserve">: Таблица 2.1.1 — 2.1.6. 2. Рисунки переоформлены в формате «Рис. N.N.N. Название» — точка после номера, без точки в конце названия. 3. Источник у каждого рисунка вынесен над подписью. 4. Шапка таблицы разнесена на две строки: «Таблица N.N.N» (для правого выравнивания в Word) и название (для центрирования в Word). 5. К ссылкам на годовые отчёты [25] и [26] проставлены страницы по структуре исходных PDF: с. 1 — отчёт о финансовом положении, с. 2 — отчёт о прибыли или убытке, с. 3 — отчёт об изменениях в капитале, с. 6–7 — Примечание 2 (Введение, описание Группы), с. 66–68 — Примечание 25 (Сегментный анализ). 6. Параграф расширен за счёт включения данных из источника [28] (Годовой отчёт Ак Барс Банка за 2024 год): акционерная структура и уставный капитал, стратегия 2022–2026 и три приоритета развития, миссия банка, клиентская база и розничный/корпоративный портфель, цифровая трансформация, внешние биометрические партнёрства (Минцифры, Минтранс, НСПК, Национальная библиотека Татарстана), кредитные и ESG-рейтинги. Добавлены Таблицы 2.1.3 (клиентская база) и 2.1.4 (рейтинги).</w:t>
      </w:r>
    </w:p>
    <w:p>
      <w:pPr>
        <w:jc w:val="both"/>
        <w:ind w:firstLine="709"/>
        <w:spacing w:before="0" w:after="0" w:line="360" w:lineRule="auto"/>
      </w:pPr>
      <w:r>
        <w:rPr>
          <w:rFonts w:ascii="Times New Roman" w:hAnsi="Times New Roman" w:cs="Times New Roman" w:eastAsia="Times New Roman"/>
          <w:sz w:val="28"/>
          <w:szCs w:val="28"/>
        </w:rPr>
        <w:t xml:space="preserve">Что остаётся сделать при финальной вёрстке в Word:</w:t>
      </w:r>
    </w:p>
    <w:p>
      <w:pPr>
        <w:jc w:val="both"/>
        <w:ind w:firstLine="709"/>
        <w:spacing w:before="0" w:after="0" w:line="360" w:lineRule="auto"/>
      </w:pPr>
      <w:r>
        <w:rPr>
          <w:rFonts w:ascii="Times New Roman" w:hAnsi="Times New Roman" w:cs="Times New Roman" w:eastAsia="Times New Roman"/>
          <w:sz w:val="28"/>
          <w:szCs w:val="28"/>
        </w:rPr>
        <w:t xml:space="preserve">1. Применить шрифт Times New Roman 14 пт, междустрочный интервал 1,5, отступ первой строки 1,25 см, поля 30/10/20/20 мм. 2. Шрифт в таблицах — TNR 12 пт с одинарным интервалом. 3. Заменить ASCII-схемы (рис. 2.1.1, 2.1.3) на векторную графику; гистограмму (рис. 2.1.2) пересобрать в Excel. 4. Если параграф писался с помощью СГИИ — добавить сноску по п. 5 Положения с указанием границ, цели, программного средства и даты использования. Доля сгенерированного текста по работе в целом — не более 20%.</w:t>
      </w:r>
    </w:p>
    <w:sectPr>
      <w:pgSz w:w="11906" w:h="16838"/>
      <w:pgMar w:top="1134" w:right="567" w:bottom="1134" w:left="1701" w:header="708" w:footer="708" w:gutter="0"/>
      <w:cols w:space="708"/>
      <w:docGrid w:linePitch="360"/>
    </w:sectPr>
  </w:body>
</w:document>
</file>

<file path=word/fontTable.xml><?xml version="1.0" encoding="utf-8"?>
<w:fonts xmlns:w="http://schemas.openxmlformats.org/wordprocessingml/2006/main">
  <w:font w:name="Times New Roman">
    <w:panose1 w:val="02020603050405020304"/>
    <w:charset w:val="CC"/>
    <w:family w:val="roman"/>
    <w:pitch w:val="variable"/>
  </w:font>
  <w:font w:name="Courier New">
    <w:panose1 w:val="02070309020205020404"/>
    <w:charset w:val="CC"/>
    <w:family w:val="modern"/>
    <w:pitch w:val="fixed"/>
  </w:font>
</w:fonts>
</file>

<file path=word/settings.xml><?xml version="1.0" encoding="utf-8"?>
<w:settings xmlns:w="http://schemas.openxmlformats.org/wordprocessingml/2006/main">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
  <w:themeFontLang w:val="ru-RU"/>
</w:settings>
</file>

<file path=word/styles.xml><?xml version="1.0" encoding="utf-8"?>
<w:styles xmlns:w="http://schemas.openxmlformats.org/wordprocessingml/2006/main">
  <w:docDefaults>
    <w:rPrDefault>
      <w:rPr>
        <w:rFonts w:ascii="Times New Roman" w:hAnsi="Times New Roman" w:cs="Times New Roman" w:eastAsia="Times New Roman"/>
        <w:sz w:val="28"/>
        <w:szCs w:val="28"/>
        <w:lang w:val="ru-RU" w:eastAsia="ru-RU" w:bidi="ar-SA"/>
      </w:rPr>
    </w:rPrDefault>
    <w:pPrDefault>
      <w:pPr>
        <w:spacing w:line="360" w:lineRule="auto"/>
        <w:jc w:val="both"/>
      </w:pPr>
    </w:pPrDefault>
  </w:docDefaults>
  <w:style w:type="paragraph" w:default="1" w:styleId="Normal">
    <w:name w:val="Normal"/>
    <w:qFormat/>
    <w:pPr>
      <w:spacing w:line="360" w:lineRule="auto"/>
      <w:ind w:firstLine="709"/>
      <w:jc w:val="both"/>
    </w:pPr>
    <w:rPr>
      <w:rFonts w:ascii="Times New Roman" w:hAnsi="Times New Roman" w:cs="Times New Roman"/>
      <w:sz w:val="28"/>
      <w:szCs w:val="28"/>
    </w:rPr>
  </w:style>
  <w:style w:type="paragraph" w:styleId="Heading1">
    <w:name w:val="heading 1"/>
    <w:basedOn w:val="Normal"/>
    <w:next w:val="Normal"/>
    <w:qFormat/>
    <w:pPr>
      <w:keepNext/>
      <w:spacing w:before="360" w:after="180" w:line="360" w:lineRule="auto"/>
      <w:ind w:firstLine="0"/>
      <w:jc w:val="center"/>
      <w:outlineLvl w:val="0"/>
    </w:pPr>
    <w:rPr>
      <w:b/>
      <w:bCs/>
      <w:sz w:val="32"/>
      <w:szCs w:val="32"/>
    </w:rPr>
  </w:style>
  <w:style w:type="paragraph" w:styleId="Heading2">
    <w:name w:val="heading 2"/>
    <w:basedOn w:val="Normal"/>
    <w:next w:val="Normal"/>
    <w:qFormat/>
    <w:pPr>
      <w:keepNext/>
      <w:spacing w:before="240" w:after="120" w:line="360" w:lineRule="auto"/>
      <w:ind w:firstLine="0"/>
      <w:jc w:val="left"/>
      <w:outlineLvl w:val="1"/>
    </w:pPr>
    <w:rPr>
      <w:b/>
      <w:bCs/>
      <w:sz w:val="30"/>
      <w:szCs w:val="30"/>
    </w:rPr>
  </w:style>
  <w:style w:type="paragraph" w:styleId="Heading3">
    <w:name w:val="heading 3"/>
    <w:basedOn w:val="Normal"/>
    <w:next w:val="Normal"/>
    <w:qFormat/>
    <w:pPr>
      <w:keepNext/>
      <w:spacing w:before="240" w:after="120" w:line="360" w:lineRule="auto"/>
      <w:ind w:firstLine="0"/>
      <w:jc w:val="left"/>
      <w:outlineLvl w:val="2"/>
    </w:pPr>
    <w:rPr>
      <w:b/>
      <w:bCs/>
      <w:sz w:val="28"/>
      <w:szCs w:val="2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ntTable" Target="fontTable.xml"/>
</Relationships>

</file>

<file path=docProps/app.xml><?xml version="1.0" encoding="utf-8"?>
<Properties xmlns="http://schemas.openxmlformats.org/officeDocument/2006/extended-properties">
  <Application>md_to_docx (Kiro)</Application>
</Properties>
</file>

<file path=docProps/core.xml><?xml version="1.0" encoding="utf-8"?>
<cp:coreProperties xmlns:cp="http://schemas.openxmlformats.org/package/2006/metadata/core-properties" xmlns:dc="http://purl.org/dc/elements/1.1/" xmlns:dcterms="http://purl.org/dc/terms/" xmlns:xsi="http://www.w3.org/2001/XMLSchema-instance">
  <dc:title>ВКР ГОТОВОЕ</dc:title>
  <dc:creator>Гайфуллина Эльвина Илфатовна</dc:creator>
  <cp:lastModifiedBy>Kiro</cp:lastModifiedBy>
</cp:coreProperties>
</file>