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нового продукта Ак Барс Банка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Формирование целей и направлений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стратегии и комплекса мероприятий по продвижению</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и рисков реализации стратегии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[15,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[17, с. 48]. Российская школа продолжает эту линию, увязывая инновационную активность с конкурентоспособностью предприятия и национальной экономики [22, с. 14; 24,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[15,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[6,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132; 17,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[15, с. 165–169; 24,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165–169; 24,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[3, с. 29; 8,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[15, с. 178; 23,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[6,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178; 22, с. 78; 23,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[22,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[24,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[10, с. 6; 23,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[15, с. 201; 24,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201; 24,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[15,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[12,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[4, с. 38; 7, с. 91; 8,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[3,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[7,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[7,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[4, с. 41; 9,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[4, с. 47; 8, с. 108; 9,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[10, с. 4; 23,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[6,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[24,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23, с. 5]. В учебных материалах по экономике инноваций отмечается, что при продвижении инноваций компании могут сталкиваться с рядом проблем [15,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[11, с. 67; 19,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[11,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[10, с. 5; 19,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[17,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[17, с. 567; 19,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[10, с. 7; 23,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7; 17, с. 567; 19, с. 198;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[4, с. 48; 8,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[12, с. 87; 17,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[17, с. 314; 19,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314; 19,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[11,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[17,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[19,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[17,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[14, с. 42; 19,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[4, с. 49; 8,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[17, с. 354; 19,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[12,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354; 19,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[4, с. 50; 8,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[17, с. 472; 18,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[10,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[17,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[12, с. 64; 13,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23,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64; 13,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[12, с. 78; 13,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[12, с. 102; 13,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[12, с. 134; 13,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102–135; 13,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[24, с. 161; 14,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23,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[10,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[17, с. 392; 19,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[17,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[8,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[10, с. 9; 23,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[4,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[11, с. 198; 17,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[11,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[12, с. 156; 17,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[13,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198–202; 12, с. 156; 17,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[4, с. 53; 8,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[10, с. 10; 20, с. 13; 23,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1.2 показал, какие инструменты составляют арсенал продвижения инновационного продукта в общем виде: интегрированная стратегия, модель STP, расширенный комплекс маркетинга 7P, маркетинговая воронка с этапом доверия, цифровые каналы, программы для ранних последователей, ценовые и партнёрские стратегии. Биометрические технологии в банковском секторе требуют не нового набора инструментов, а особой их конфигурации: смещения акцентов в воронке, перераспределения веса между элементами 7P, изменения логики каналов и сообщений. Настоящий параграф фиксирует, какие особенности биометрии задают это смещение, какие барьеры приходится преодолевать продвижению и при каких условиях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рисунку вен ладони, особенностям походки [3, с. 29; 8, с. 100]. В банковской сфере она решает связанный набор задач: безопасную идентификацию и аутентификацию клиентов при дистанционном обслуживании, противодействие мошенничеству, упрощение доступа к продуктам и снижение операционных издержек [4, с. 38; 8, с. 104; 9, с. 115]. Технологии распознавания лица бесконтактны, быстры и интегрируются с распространёнными устройствами — это делает их одним из приоритетных направлений банковской цифровизации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[7,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[7,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 с. 31; 4, с. 39; 8,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[4, с. 43; 9,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41–47; 8, с. 106–110; 9, с. 113–119; 17, с. 354; 23,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45; 7, с. 93; 8,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[4, с. 48; 8,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[11, с. 124; 17,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[4, с. 50; 8,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[12, с. 64; 20, с. 11; 23,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[12, с. 102–135; 24,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[10, с. 8; 12, с. 124; 23,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[4,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с качественно новыми характеристиками, отличающийся от традиционного товара повышенным уровнем неопределённости рыночного успеха и необходимостью изменения поведенческих паттернов потребителя. Эти признаки задают специфику его продвижения: помимо стандартных задач информирования и стимулирования спроса требуется образовательная коммуникация, демонстрация ценности и работа с воспринимаемыми рисками.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банковского сектора образуют отдельный подкласс с повышенными требованиями к защите данных, нормативно-правовому соответствию и доверию пользователей. Биометрические системы — крайний случай в этом подклассе: они сочетают высокую технологическую сложность, работу с особо чувствительными персональными данными, жёсткий нормативно-правовой контур (572-ФЗ, аккредитация, сертификация ФСБ и ФСТЭК) и значительные психологические барьеры в восприятии. По совокупности этих характеристик биометрия относится к высокотехнологичным инновационным продуктам повышенного риска, и её продвижение не сводится к стандартному маркетингу: требуется особая стратегия, в которой обычные функции маркетинга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с разделением аудитории на B2B-, B2G- и B2C-сегменты, расширенный комплекс маркетинга 7P с особым весом элементов People, Process и Physical evidence, маркетинговую воронку с обязательным этапом формирования доверия, цифровые каналы и образовательно-демонстрационные форматы. Теория диффузии инноваций Э. Роджерса задаёт логику последовательной работы с разными группами аудитории: новаторы и ранние последователи становятся источниками доказательной базы для более консервативных сегментов. В банковской биометрии эти универсальные инструменты не отменяются, а перенастраиваются под пять групп барьеров принятия (психологических, когнитивных, поведенческих, организационных, регуляторно-репутационных) и опираются на четыре условия успешного продвижения — правовое, социально-психологическое, технологическое и экономическое; продвижение начинает работать только после того, как эти условия закрыты институционально.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Сформулированные теоретические положения создают аналитическую рамку для последующих глав. В главе 2 разрабатывается стратегия продвижения Face2 Ак Барс Банка с учётом всех перечисленных особенностей биометрии как высокотехнологичного инновационного продукта повышенного риска: характеристика банка и продукта, анализ конкурентной среды и текущего продвижения. В главе 3 эта рамка переводится в конкретный комплекс маркетинговых мероприятий по продвижению биометрической системы.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стратегии продвижения нового продукта начинается с разбора объекта, а не с разбора рынка. Без точного описания компании, её ресурсной базы и самого продукта оценка каналов, аудитории и рыночной позиции теряет основу. Поэтому первый шаг — характеристика Ак Барс Банка как разработчика Face2 и самого биометрического сервиса как объекта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 юридическим адресом в Казани, улица Декабристов, дом 1 [26, с. 7]. Банк работает по генеральной банковской лицензии Центрального банка Российской Федерации с 1993 года и входит в государственную систему страхования вкладов физических лиц [26, с. 6]. Государственная страховка покрывает выплаты по вкладам в пределах 1,4 млн рублей, а в особых обстоятельствах — до 10 млн рублей [26, с. 6]. Основной профиль группы — коммерческие и розничные банковские операции на территории России [26, с. 6]. Республика Татарстан — основной регион присутствия банка, и доля местных поставщиков в общем бюджете закупок на конец 2024 года составила не менее 60% [28, с. 67].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самого банка в группу входят инвестиционные компании, лизинговая компания, страховые организации и негосударственный пенсионный фонд [26, с. 7]. Такая конструкция позволяет банку выходить за пределы классического кредитования и расчётов и собирать вокруг себя смежные финансовые сервисы — от пенсионных накоплений и страхования до лизинга оборудования. Состав группы показан на рисунке 2.1.1: банк объединяет вокруг головной кредитной организации инвестиционный, страховой и пенсионный блоки в единое юридически связанное целое.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Группа банка «Ак Барс»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Инвести-     Лизинговая   Страховые    Негосударственный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ционные      компания     компании     пенсионный фонд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(головной)    компании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Структура группы банка «Ак Барс» по составу участников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Финансовый масштаб группы характеризует её как крупного регионального игрока с устойчивой федеральной инфраструктурой. Совокупные активы выросли почти на четверть за один год — с 946,9 млрд рублей на конец 2024 года до 1 157,3 млрд рублей на конец 2025 года [25, с. 1]. Прибыль за 2025 год вернулась к двузначным значениям и достигла 15,7 млрд рублей после слабого 2024 года, когда на финансовый результат давили резервы по кредитным убыткам и переоценка активов [25, с. 2]. По собственной отчётности банка по российским стандартам бухгалтерского учёта чистая прибыль за 2024 год составила 15,4 млрд рублей и более чем в два раза превысила результат 2023 года; рентабельность капитала достигла 15,4%, рентабельность активов — 1,7%, отношение операционных расходов к доходам — 37,8% [28, с. 16–17]. Сводная динамика основных консолидированных показателей собрана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Общая картина — рост процентной маржи и восстановление прибыли после провального 2024 года. Чистые процентные доходы выросли с 31,8 млрд рублей в 2023 году до 58,1 млрд рублей в 2025 году, то есть почти в 1,8 раза за два года [25, с. 2; 26, с. 2]. Совокупный капитал увеличился со 106,1 млрд рублей на конец 2023 года до 126,4 млрд рублей на конец 2025 года: банк наращивает собственные средства параллельно росту активов и не выплачивает дивиденды по итогам отчётных периодов [25, с. 3; 26, с. 3]. Свободные средства идут в развитие, а не в выплаты акционерам. Этот факт важен для запуска нового продукта: ресурсы для продвижения остаются внутри группы.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раскладка операций группы по пяти направлениям — розничные, корпоративные, инвестиционные и казначейские банковские операции, а также прочие операции — концентрирует основной финансовый результат в корпоративном и инвестиционном сегментах [25, с. 66, 68]. Это важно для продвижения Face2: основной коммерческий потенциал биометрии сосредоточен в B2B-сценариях для корпоративных и инвестиционных клиентов, и собственная клиентская база группы в этих сегментах работает как готовый канал входа.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Фундамент рыночной позиции банка задаёт стратегия. Действующая Стратегия развития Ак Барс Банка на 2022–2026 годы фиксирует три приоритета: эффективность, клиентоцентричность, гибкость [28, с. 16]. Эффективность подразумевает масштабирование бизнеса с устойчивой прибыльностью и контроль уровня риска. Клиентоцентричность — построение долгосрочных отношений и рост числа продуктов на одного клиента. Гибкость — скорость и качество процессов и способность быстро реагировать на изменения внешней среды. Под эти приоритеты банк разворачивает четыре направления трансформации: развитие продуктовых предложений и клиентских путей, организационную эволюцию, развитие ИТ-инфраструктуры и платформ в логике технологического суверенитета, а также управление рисками [28, с. 16]. Сама миссия сформулирована коротко — «Сегодня и всегда мы создаём возможности для достижения целей нашими клиентами и партнёрами» [28,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Биометрический продукт встаёт в этот стратегический контур естественно. Линия «технологический суверенитет» закрывается у Face2 через сертификацию ФСБ, ФСТЭК и попадание в реестр отечественного программного обеспечения [27]. Линия «клиентоцентричность» — через переход на сценарии оплаты и доступа без карт и документов. Линия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розничный портфель банка задают канал, через который продукт может быть распространён во внешний рынок. Сводные показатели за 2024 год даны в таблице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клиентской базы показывает, что банк уже работает одновременно с массовой розницей, корпоративным сегментом и социальной аудиторией Татарстана. Карта жителя Республики Татарстан охватывает 450 тыс. держателей, а только за 2024 год выдано 345 тыс. карт; среди держателей — 115 тыс. школьников, обороты по картам за школьное питание превысили 147,5 млн рублей [28, с. 29]. Такая встроенность банка в социальную инфраструктуру региона даёт Face2 готовую площадку для пилотов и распространения сценариев — от прохода в библиотеки до оплаты в школьных столовых.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Цифровая зрелость банка делает биометрию частью продуктового ландшафта, а не экзотической надстройкой. Через мобильное приложение «Ак Барс Онлайн» за год прошло 12 млн транзакций, активная аудитория сервиса удержалась на уровне около 930 тыс. человек даже после удаления приложения из AppStore в начале 2024 года [28, с. 33]. Внутри приложения уже реализован функционал оплаты по биометрии [28, с. 33]. На портале государственных и муниципальных услуг Татарстана за год совершено 1,2 млн транзакций через Систему быстрых платежей при участии банка [28, с. 33]. Запущен биоэквайринг через СБП в Казанском метрополитене — проект банк ведёт совместно с Министерством цифрового развития, связи и массовых коммуникаций РФ, Министерством транспорта РФ, Центром биометрических технологий и Национальной системой платёжных карт [28, с. 30–31]. Параллельно идёт пилот биоэквайринга через СБП на POS-терминалах [28, с. 31]. Банк включён в реестр отечественного ПО Минцифры по системе ТЭКОМ — собственной платформе автоматических проверок и регистрации клиентов для торгового эквайринга [28, с. 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Внешнюю оценку устойчивости банку дают рейтинговые агентства. Сводные действующие рейтинги собраны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Кредитные и ESG-рейтинги Ак Барс Банка по состоянию на конец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8"/>
        <w:gridCol w:w="4819"/>
        <w:gridCol w:w="2650"/>
      </w:tblGrid>
      <w:tr>
        <w:trPr>
          <w:tblHeader/>
          <w:cantSplit/>
        </w:trPr>
        <w:tc>
          <w:tcPr>
            <w:tcW w:w="21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Агентство</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Кредитный рейтинг</w:t>
            </w:r>
          </w:p>
        </w:tc>
        <w:tc>
          <w:tcPr>
            <w:tcW w:w="26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ESG-рейтинг</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стабильный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 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ruA, стабильный (повышен в феврале 2024)</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ESG-III(b)</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НКР</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позитивный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ESG-A</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 России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ESG-BBB, стабильный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рейтингов «A» по национальной шкале и подтверждённого ESG-статуса формирует репутационный капитал, который банк переносит на дочерние продукты. Для B2B-заказчика Face2 это означает, что за биометрической системой стоит финансово устойчивый и аккредитованный по ESG банк, а не отдельный технологический стартап. Сеть из 166 дополнительных офисов в Татарстане и других регионах России [26, с. 7] стала первой площадкой для тестирования и масштабирования биометрических решений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одно из инновационных направлений, в котором финансовая база банка соединяется с собственной технологической разработкой. Face2 закрепляет это направление как самостоятельный продуктовый бренд, а не как внутренний ИТ-проект.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[27]. Точкой старта стал тестовый биометрический проект 2019 года в офисах самого банка. Хронология развития проекта собрана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показывает три фазы. Внутренний эксперимент 2019–2022 годов закладывал технологию и команду. Регуляторное оформление 2023 года давало юридическую оболочку и доступ к векторам ГИС ЕБС. Выход на массовые сценарии в 2024–2025 годах разворачивал продукт в транспорте, торговле и гостеприимстве. Каждая следующая фаза опирается на накопленную в предыдущей базу: сначала отладка на собственных сотрудниках, затем юридическая оболочка КБС, затем коммерческие сценарии для внешних заказчиков.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 закон отдаёт сбор биометрии лица только аккредитованным организациям и обязывает хранить векторы в Государственной информационной системе ЕБС [27]. Аутентификация по биометрии разрешена только аккредитованным организациям и только при согласии гражданина [27]. Решение Минцифры России № 4-А от 15 ноября 2023 года вписало банк в число первых в стране операторов КБС, которые могут оказывать услуги на основе векторов из ГИС ЕБС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2.1.2.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охватывает несколько крупных направлений и собирается вокруг базовой системы КБС, при этом продажи распадаются на два экономически разных уровня. Первый уровень — поставка полного контура коммерческой биометрической системы аккредитованной организации-оператору биометрии (банку-партнёру или государственной структуре, имеющей право регистрировать биометрические векторы в ЕБС): заказчику передаётся полный программный стек Face2 — модули «КБС API», «Face2Pay (Биоэквайринг)», «Проверка живости: пассивный liveness» и «Face2SDK» — с обязательными интеграциями ЕСИА, ЕБС, СМЭВ и КриптоПро DSS, разворачиваемыми у поставщика услуг через инсталлятор Helm или Ansible на серверах приложений и БД в защищённом контуре [47; 48]. На этом уровне сам заказчик должен быть зарегистрирован в ЕСИА как юридическое лицо и аккредитован для предоставления услуг с использованием биометрических данных, что отсекает от уровня 1 любые организации без профильного регуляторного статуса [47]. Второй уровень — подключение конечного объекта (магазина, турникета, бизнес-центра, спортивной арены, точки продажи алкоголя) к КБС, размещённой у Ак Барс Банка: заказчик не получает аккредитацию и не разворачивает у себя контур биометрии, а пользуется им как сервисом, платя по транзакционной или абонементной модели за число операций или количество подключённых точек, а в качестве клиентского ПО используется готовый Face2SDK или биотерминал [27; 48]. Состав продуктов и целевые сегменты с разнесением по этим двум уровням показаны в таблице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(банки, госструктуры, корпорации федерального масштаба), второй — массу типовых подключений конечных объектов с быстрой выручкой по транзакционной или абонементной схеме. Такая раскладка позволяет банку работать сразу в нескольких сегментах B2B и B2G и не привязываться к одному типу заказчика, но требует разной маркетинговой логики для каждого уровня: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распознавания лиц Face2Pass расширяется в сторону видеоаналитики режимных объектов: обнаружение драк, упавших людей, оружия и подозрительных предметов, распознавание автомобильных номеров на парковках, подсчёт людей в очереди и в торговом зале [27]. Дополнительные сценарии помогают продавать систему вместе с услугой контроля доступа и снижают порог входа для заказчика, у которого видеоаналитика и СКУД покупаются одним пакетом.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Национальной системой платёжных карт [28, с. 30–31]. Проект «Электронный читательский билет» позволяет посещать Национальную библиотеку Республики Татарстан по биометрии, а сдать биометрию можно прямо в мобильном приложении «Карта жителя Республики Татарстан» [28, с. 29]. Биоэквайринг через СБП на POS-терминалах развивается как отдельная пилотная линия [28, с. 31].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Опорной площадкой для отладки продукта остаётся сам банк. Сервисом прохода по биометрии пользуются больше пяти тысяч сотрудников, во всех офисах и отделениях установлено около двухсот биотерминалов, через них же ведётся учёт рабочего времени [27]. Внутренняя инсталляция работает постоянно и даёт команде площадку для проверки решения в реальной нагрузке. Накопленный там опыт банк переносит во внешние коммерческие проекты: масштаб клиентских внедрений колеблется от двухсот до пятнадцати тысяч биометрических векторов на одну инсталляцию [27]. Нормативные особенности обращения с биометрическими персональными данными — состав 572-ФЗ, ужесточение ответственности по 420-ФЗ и 421-ФЗ от 30.11.2024, штрафы и уголовная ответственность — детально разобраны в подразделе 2.2 «Регуляторный и инфраструктурный контур рынка» и здесь не повторяются.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со штаб-квартирой в Казани, концентрированной акционерной базой, рейтингами «A» по национальной шкале, утверждённой стратегией с тремя приоритетами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продуктовой линейкой для четырёх целевых сегментов B2B и первой коммерческой референтной базой в виде проектов с Минцифры, Минтрансом и НСПК. Эти исходные данные задают точку старта для дальнейшего анализа: дальше нужно понять, в каком конкурентном окружении Face2 выходит на рынок, какие игроки уже работают в этой нише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Чтобы стратегия продвижения опиралась не только на внутренние характеристики продукта, но и на внешний контекст, в этом параграфе решаются четыре связанные задачи. Сначала фиксируется масштаб и фаза российского рынка биометрии — без этого невозможно оценить, насколько ёмкое окружение, в которое выходит Face2. Затем разбирается сегментная структура рынка и регуляторно-инфраструктурный контур, формирующий правила игры для всех участников. На полученной фактической базе строится сводный PESTEL-анализ макросреды, переводящий разрозненные внешние факторы в управленческий вход для стратегии продвижения. На этой основе строится карта конкурентов, дополняется анализом пяти конкурентных сил М. Портера и переводится в сравнительный анализ Face2 с ключевыми игроками — банками-разработчиками биометрических сервисов и технологическими вендорами. Финальная часть формулирует конкурентную позицию Face2 и пробелы, на которые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сформировалась в три этапа. В 2017 году был принят Федеральный закон от 31 декабря 2017 года № 482-ФЗ, закрепивший возможность проведения удалённой идентификации, в первом квартале 2018 года Банком России и «Ростелекомом» создана Единая биометрическая система, а 30 июня 2018 года механизм удалённой идентификации запущен в коммерческую эксплуатацию [34]. На 1 января 2021 года услуга сбора биометрических данных предоставлялась более чем в 13,3 тыс. структурных подразделений банков [34]. Конец 2021 года — точка институционального перехода: ЕБС получила статус государственной информационной системы, к ней подключились все банки, а оператором ЕБС было определено АО «Центр биометрических технологий» [38; 42]. С 1 января 2023 года вступил в силу Федеральный закон от 29 декабря 2022 года № 572-ФЗ, который зафиксировал обязательное хранение биометрических данных только в ГИС ЕБС и разрешил аутентификацию по биометрии только аккредитованным организациям при письменном согласии гражданина [33].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разворачивает динамику более детально. Во II квартале 2025 года биоэквайрингом воспользовались около 60 млн раз, оплатив товары и услуги на сумму около 45 млрд рублей; число операций в 1,5 раза превысило показатель I квартала 2025 года и в 11 раз — показатель II квартала 2024 года [43]. Средний чек биометрической операции составил 770 рублей в апреле — июне 2025 года против 774 рублей кварталом ранее [43]. Сопоставление с QR-эквайрингом за тот же период (около 990 млн операций на сумму более 1,3 трлн рублей при темпах +25% по числу и +16% по сумме [43]) даёт ключевой вывод: биоэквайринг растёт по темпам быстрее (+50% против +25%), но в 16 раз отстаёт по абсолютному масштабу количества операций — оба канала встраиваются в общий тренд бесконтактной розницы и делят между собой нишу «оплата без карты», не вытесняя друг друга. Сводные показатели динамики российского рынка биометрических платежей собраны в таблице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[32].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[34; 38].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Эту оценку прямо фиксирует генеральный директор VisionLabs Дмитрий Марков в публичных комментариях деловой прессе: «В России действует одно из самых жёстких законодательств в этой сфере»; в отличие от других стран, в России каждый сервис должен получать индивидуальное согласие гражданина на использование его биометрических данных [38].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[33].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банков и иных подключённых организаций [34]. Важная особенность — добровольность и бесплатность регистрации для гражданина, что одновременно открывает доступ к рынку широкого круга пользователей и ограничивает инструменты массового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административные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организация без аккредитации и сертификации не может легально работать с биометрией, а у уже аккредитованных игроков риски от потери аккредитации становятся сопоставимы с риском потери лицензии. Барьер работает в обе стороны: он защищает аккредитованных операторов от выхода на рынок неаккредитованных конкурентов и одновременно увеличивает их собственные операционные требования.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Под уровень федерального закона подведён слой подзаконных актов Банка России, конкретизирующих требования к работе коммерческих биометрических систем. Поставщик услуг, разворачивающий КБС, должен одновременно соответствовать трём документам Банка России: Указанию от 25 сентября 2023 года № 6541-У, Методическим рекомендациям от 20 декабря 2023 года № 18-МР и Методическим рекомендациям от 23 декабря 2023 года № 19-МР [44; 45; 46]. Этот блок прямо зафиксирован в требованиях к поставщику услуг в руководстве по развёртыванию системы Face2 как обязательный наряду с 572-ФЗ [47]. На уровне технической реализации указанные акты переводятся в конкретный набор интеграций и инфраструктурных условий: регистрация поставщика в ЕСИА как юридического лица, подключение к ЕБС через защищённый канал «ТИБ ЕБС», регистрация в СМЭВ через личный кабинет участника взаимодействия (ЛКУВ), выпуск сертификата цифровой подписи — для интеграционной среды через ЛКУВ, для продуктовой среды через аккредитованные удостоверяющие центры, и хранение закрытой части сертификата во внешней системе типа КриптоПро DSS, развёрнутой в одном защищённом контуре с самой биометрической системой [47]. Совместное действие 572-ФЗ, законов об ужесточении ответственности от 30.11.2024 и подзаконного блока Банка России формирует пятиуровневую регуляторную конструкцию: федеральный закон, подзаконные акты Банка России, ведомственные сертификации ФСБ и ФСТЭК, реестр отечественного ПО, отраслевая аккредитация Минцифры. Каждый уровень повышает капиталоёмкость входа на рынок и удлиняет горизонт подготовки нового игрока.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биометрической идентификации количественно ограничен. По данным Банка России на 4 мая 2026 года, в перечень банков, соответствующих требованиям п. 5.7 ст. 7 Федерального закона № 115-ФЗ — то есть банков, имеющих право проводить идентификацию клиента в государственных информационных системах, включая ЕБС, — входят 194 кредитные организации; ПАО «АК БАРС» БАНК в этом перечне числится под номером 101 [36]. Это значит, что менее 194 банков на всю страну могут работать с биометрической инфраструктурой как операторы, и Ак Барс Банк входит в эту группу.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Историческая глубина участия банка в биометрической инфраструктуре отдельно повышает его регуляторный капитал. Подключение Ак Барс Банка к Единой биометрической системе было реализовано в декабре 2017 — мае 2018 года и официально объявлено 10 июля 2018 года; первое отделение приёма биометрии открылось в Казани на ул. Декабристов, 1, и банк стал первым в Приволжском федеральном округе, начавшим собирать биометрические данные для ЕБС [40]. Между подключением к инфраструктуре в 2018 году и публичным запуском продуктовой линейки Face2 в 2024 году прошло шесть лет — этот период использовался банком для отладки внутренних процессов работы с биометрией, накопления клиентской базы зарегистрированных в ЕБС пользователей и подготовки собственной коммерческой биометрической системы (КБС). Аккредитация Минцифры России решением № 4-А от 15 ноября 2023 года поставила банк в число первых аккредитованных операторов КБС в стране [27]. Совокупность этих институциональных позиций — статус банка-оператора по № 115-ФЗ, аккредитация КБС, сертификация ФСБ и ФСТЭК, нахождение в реестре отечественного ПО — образует регуляторный фундамент, на который опирается весь дальнейший анализ конкурентной среды.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отсутствие публичной независимой верификации точности (NIST FRTE) и отдельного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выводит три устойчивых наблюдения. Первое — три фактора из шести (P, T, L) работают для Face2 преимущественно в плюс: государственный курс на технологический суверенитет в комплекте с жёсткой регуляторной рамкой создаёт защищённый рынок аккредитованных операторов, в который Face2 уже встроен по статусу банка и аккредитации Минцифры, а зрелость алгоритмов распознавания лица обеспечивает технологическую состоятельность продукта. Второе — экономический и социальный факторы (E, S) двойственны: динамика рынка положительна, но ценовое преимущество биоэквайринга играет вторичную роль в целевом для Face2 сегменте B2B/B2G, а массовая привычка к оплате лицом сосуществует с устойчивым психологическим барьером недоверия, требующим переноса акцента в коммуникации с информирования на демонстрацию мер защиты данных. Третье — правовой фактор (L) одновременно открывает рынок и закрывает каналы стимулирования: жёсткая рамка устраняет конкурентов без аккредитации, но запрещает массовые акции по сдаче биометрии и переводит продвижение в формат экспертного контента, пилотных проектов и B2B-референсов; экологический фактор (E) самостоятельного маркетингового плеча не даёт и работает фоном через ESG-статус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этих наблюдений складывается макрорамка для последующего конкурентного анализа. Регуляторно-политический фактор работает как фильтр входа на рынок и оставляет в качестве реальных конкурентов Face2 ограниченный круг аккредитованных операторов и банков-операторов биометрии; экономический и технологический факторы задают планку масштаба и качества; социальный и правовой факторы определяют допустимые и недопустимые инструменты продвижения. Именно эта макрорамка формирует трёхслойную структуру конкурентной среды, разбираемую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трёхслойная структура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биометрических технологий организован в три различающихся по типу деятельности слоя. Каждый слой отвечает на свой тип спроса, использует свою бизнес-модель и предъявляет свой набор формальных аккредитаций. Структура конкурентной среды показана на рисунке 2.2.1.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Российский рынок биометрии (B2B/B2C)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Слой 1.         │  │ Слой 2.         │         │ Слой 3.            │   │ Государственная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  │ Технологические │         │ Производители      │   │ инфраструктура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разработчики    │  │ вендоры         │         │ полного цикла СКУД │   │ (АО «ЦБТ»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собственных     │  │ алгоритмов      │         │ (ПО + оборудование │   │ оператор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биосервисов     │  │ и платформ      │         │ + сервис)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Сбербанк         VisionLabs                    OVISION                      ЕБС / ЕСИА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NtechLab                      BioSmart                     (574-ФЗ, 572-ФЗ)</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(Face2)         Tevian                        и др.</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32; 37; 38; 39;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2.2.1. Структура конкурентной среды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слой — банки-разработчики собственных биометрических сервисов, для которых биометрия одновременно работает внутренним средством обслуживания клиентов и самостоятельным коммерческим продуктом. Главный представитель слоя — ПАО Сбербанк с сервисом «Оплата улыбкой» (СберPay Smile), второй — ПАО «АК БАРС» БАНК с линейкой Face2. Второй слой — технологические вендоры, разрабатывающие алгоритмы и платформы распознавания и продающие их корпоративным и государственным заказчикам. Лидер слоя — VisionLabs, входящий с декабря 2021 года в структуру ПАО МТС, второй крупный игрок — NtechLab, разработчик системы FindFace [37; 38]. Третий слой — производители полного цикла СКУД, объединяющие в одном предложении программное обеспечение, собственное оборудование (терминалы, считыватели), интеграцию и сервисное сопровождение. Представители — OVISION (Ханты-Мансийск) и BioSmart (Прософт-Биометрикс) [39].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при оказании услуг [34; 38]. Сводные характеристики основных игроков рынка собраны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игроки российского рынка биометрии и их позиционирование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2"/>
        <w:gridCol w:w="1295"/>
        <w:gridCol w:w="2429"/>
        <w:gridCol w:w="2429"/>
        <w:gridCol w:w="2429"/>
      </w:tblGrid>
      <w:tr>
        <w:trPr>
          <w:tblHeader/>
          <w:cantSplit/>
        </w:trPr>
        <w:tc>
          <w:tcPr>
            <w:tcW w:w="1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Игрок</w:t>
            </w:r>
          </w:p>
        </w:tc>
        <w:tc>
          <w:tcPr>
            <w:tcW w:w="12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Ключевая дифференциация</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Масштаб</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B2C-эквайринг, B2B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Самая широкая инфраструктура биоэквайринга; собственная биометрическая база</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700+ тыс. терминалов, 30 млн зарегистрированных, 116 млрд руб. оборота за 2025 г. [32]</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(Face2)</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 (КБС, Face2Pass), B2C (Face2Pay, Face2Check-in)</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(одна из первых); вертикаль под банковский сценарий</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собственной сети; пилоты в Казанском метро, библиотеках, гостиницах [27; 28, с. 30–31]</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(финансы, телеком, транспорт, промышленность,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партнёрства с ЦБТ, ЦРТ, ITV; присутствие в 38 странах</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 млн камер с ПО, 500+ проектов, 9 представительств [37]</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NtechLab</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B2G (безопасный город), транспорт, авиация,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FindFace; международный экспорт; присутствие в 24 регионах РФ через партнёров</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РФ и за рубежом [38]</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 СКУД</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(СКУД, КБС, учёт времени)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 OGATE; полный пакет статусов (Минцифры, Минпромторг, реестр ПО, СКЗИ)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РЖД, Мосэнергосбыте, Правительстве Тульской области [39]</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в таблице 2.2.4 показывает три ключевых наблюдения. Первое: Face2 не конкурирует на одном поле сразу со всеми игроками — у каждого из них своя сильная сторона и свой типовой клиент. Второе: Сбер занимает доминирующую позицию в массовом B2C-биоэквайринге, и прямая лобовая конкуренция с ним по критерию масштаба нерациональна. Третье: на рынке параллельно работают два разных типа поставщиков биометрии для B2B-клиента — банк-разработчик с банковской экосистемой (Face2) и производитель полного цикла с собственным железом (OVISION); они закрывают разные потребности заказчика и могут как конкурировать, так и сотрудничать.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Анализ пяти конкурентных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Трёхслойная карта конкурентов фиксирует, кто работает на рынке и в каких слоях. Чтобы оценить, насколько привлекателен этот рынок для Face2 и какие силы определяют интенсивность конкуренции внутри него, целесообразно дополнить структурную карту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Применительно к российскому рынку биометрии такая рамка позволяет перевести разрозненные наблюдения о регуляторе, инфраструктуре, технологических вендорах и крупных заказчиках в единую структурную модель и подготовить базу для последующего сравнительного анализа Face2 и ключевых конкурентов. Сводная оценка с детализацией факторов и влияния на Face2 приведена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33; 36; 44; 45; 46].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[34; 42]. Тарифы и регламент работы с ЕБС задаются 572-ФЗ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[43].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[32; 37; 39]. Девятикратный рост платежей и пятикратный рост оборота снижают остроту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анализа в таблице 2.2.5 складывается единая структурная картина. Две силы — угроза новых участников и рыночная сила поставщиков (в части алгоритмов) — оказывают на Face2 ослабленное давление: жёсткая регуляторная рамка отсекает несертифицированных игроков от рынка биометрии физических лиц через ЕБС, а собственная алгоритмическая база банка снимает зависимость от внешних технологических вендоров [27; 33; 36]. Две силы — рыночная сила покупателей и угроза товаров-заменителей — действуют умеренно и расщепляются по сегментам: в технологическом слое они высоки, а в нише «банк + ЕБС» снижаются за счёт недоступности эквивалентов у вендоров [38; 43]. Внутриотраслевая конкуренция в обозримом периоде остаётся средне-высокой, но смягчается двумя факторами — многослойностью рынка, при которой лидеры разных слоёв не пересекаются по типовому клиенту, и кратным ростом спроса, который позволяет нескольким игрокам одновременно расширять долю без прямого вытеснения друг друга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Совокупное наблюдение по пяти силам — российский рынок биометрии относится к структурно привлекательным отраслям с высокими барьерами входа и умеренной интенсивностью внутреннего соперничества в разрезе отдельных слоёв. Управленческое следствие для стратегии продвижения Face2 двоякое. Во-первых, анализ подтверждает рациональность опоры на регуляторный капитал и банковскую экосистему как на основу позиционирования: именно эти две позиции одновременно работают барьером входа для новых игроков и фактором снижения силы покупателей в целевом сегменте. Во-вторых, две силы задают пробелы, которые требуют отдельного учёта в стратегии продвижения главы 3: средняя сила поставщиков в части аппаратного стека предполагает либо партнёрское закрепление за производителем терминалов, либо переход к собственному производству; угроза субститутов в массовом эквайринге означает, что прямая лобовая конкуренция с QR-эквайрингом по числу операций бесперспективна, и Face2 должен опираться на сценарии, где QR ограничен законом или неудобен для пользователя. Эти выводы предметно конкретизируются в следующем подразделе на уровне сравнения Face2 с ключевыми игроками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[36]</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нет</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[28,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2.2.6 фиксирует четыре чётко различимые позиции на рынке. Сбер закрывает массовый B2C-биоэквайринг масштабом и инфраструктурой; конкуренция с ним по размеру парка терминалов и числу пользователей в обозримом горизонте маркетинговыми средствами недостижима. VisionLabs закрывает технологический слой — алгоритмы, платформы, форм-факторы (мобильное, web, киоск, видеопоток) — и сильнее всех конкурентов по независимой верификации точности через NIST FRTE и iBeta. OVISION закрывает рынок полного цикла СКУД — собственное оборудование плюс программное ядро плюс полный набор формальных регуляторных статусов — и силён в государственном сегменте за счёт референсов федерального уровня (РЖД, Мосэнергосбыт, Правительство Тульской области). Face2 не входит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распределяются неравномерно. К преимуществам относятся пять позиций. Первая — статус банка-оператора по № 115-ФЗ, дающий право регистрации биометрических векторов граждан в ЕБС: ни VisionLabs, ни OVISION, ни иные технологические вендоры этого права не имеют, и для них единственный путь работы с биометрией физических лиц — через банк-партнёра. Вторая — аккредитация Минцифры как оператора КБС, полученная одной из первых в стране (Решение № 4-А от 15 ноября 2023 года), что после ужесточения ответственности по 420-ФЗ и 421-ФЗ становится особенно ценным барьером входа [27]. Третья — институциональный стаж работы с ЕБС с июля 2018 года и положение первого банка ПФО, подключённого к этой инфраструктуре, что снимает риск восприятия Face2 как «нового и непроверенного» сервиса [40]. Четвёртая — банковская экосистема: 934 тыс. розничных клиентов, 33,9 тыс. корпоративных клиентов, 930 тыс. пользователей мобильного приложения, 450 тыс. держателей Карты жителя Республики Татарстан, рейтинги «A» по национальной шкале и подтверждённый ESG-статус [28, с. 17, 33]. Пятая — продуктовая вертикаль под банковский сценарий: один программный фундамент закрывает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Первый — отсутствие независимой международной верификации точности алгоритмов в формате NIST FRTE, iBeta или CVPR, тогда как VisionLabs строит на ней значимую часть позиционирования [37]. Второй — отсутствие собственного производства биометрических терминалов и, как следствие, частичная зависимость от партнёрского оборудования, тогда как OVISION предлагает полный аппаратный стек одного производителя со всеми формальными статусами (Минпромторг, реестр радиоэлектронной продукции, СКЗИ) [39]. Третий — локальный масштаб: ядро текущей коммерческой базы Face2 — Татарстан и федеральные пилоты, тогда как Сбер работает по всей стране, а VisionLabs — в 38 странах. Четвёртый — отсутствие в публичной продуктовой линейке отдельного решения по детекции дипфейков, которое уже представлено и у VisionLabs (Deepfake Detection), и у OVISION (антиспуфинг и детекция дипфейков), и в виде многоконтурной защиты у Сбера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Ключевые факторы успеха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2.2.6 и анализ преимуществ и пробелов Face2 фиксируют, по каким параметрам игроки различаются, но не отвечают на вопрос, какие из этих параметров критичны для победы в отрасли, а какие — второстепенны. Этот разрыв снимает понятие ключевых факторов успеха (КФУ) — управляемых ресурсов, компетенций и характеристик продукта, владение которыми обеспечивает устойчивое конкурентное преимущество в данной отрасли и без которых даже технологически сильное решение не выходит на коммерческий контур заказчика [1, с. 39; 9, с. 112]. КФУ выполняют две функции: они задают общий измерительный стандарт для всех игроков отрасли и одновременно формируют список критериев, по которым строится последующая балльная оценка.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российского рынка биометрии выводится из трёх источников, проработанных в предыдущих подразделах. Регуляторный и инфраструктурный контур (572-ФЗ, аккредитация Минцифры, статус по № 115-ФЗ, ужесточение ответственности по 420-ФЗ и 421-ФЗ) задаёт обязательный нижний порог формальных статусов: без них работа с биометрией физических лиц закрыта законом [27; 33; 36]. PESTEL-анализ макросреды (таблица 2.2.3) выделяет четыре устойчивых драйвера спроса — рост биометрических платежей, расширение базы пользователей ЕБС, поколенческое принятие технологии и государственный курс на технологический суверенитет — и три устойчивых ограничителя — психологический барьер доверия, регуляторно-репутационный риск и угрозу подделки идентичности через дипфейки [38; 42; 43]. Анализ пяти сил Портера (таблица 2.2.5) переводит эти факторы в структурную рамку: барьеры входа, рыночная сила поставщиков, рыночная сила покупателей, угроза заменителей и внутриотраслевая конкуренция [1, с. 39]. Сравнительный анализ Face2 и ключевых конкурентов (таблица 2.2.6) фиксирует, по каким именно характеристикам игроки реально различаются на рынке. Совмещение трёх источников даёт восемь КФУ, собранных в таблице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факторы успеха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45"/>
        <w:gridCol w:w="3174"/>
        <w:gridCol w:w="3174"/>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26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Ключевой фактор успеха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 вывода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Регуляторно-правовой капитал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по правилам КБС, статус оператора по 572-ФЗ, право регистрации БПд граждан в ЕБС по № 115-ФЗ, сертификация ФСБ и ФСТЭК. После 420-ФЗ и 421-ФЗ работа без формальных статусов закрыта законом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(L), пять сил Портера (барьеры входа),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Технологическая зрелость алгоритмов</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 99%, время сканирования ≈ 2 с, устойчивость к нагрузке — обязательный технический минимум для допуска к корпоративному и государственному заказчику</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база точности</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снимающая информационную асимметрию между заказчиком и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полнота под B2B/B2G</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Готовые сценарии биоэквайринга, контроля доступа, возрастной верификации и КБС под ключ; способность закрыть смежные задачи одним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структура рынка,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Присутствие в регионах целевого спроса, проекты федерального уровня и крупные коммерческие внедрения как репутационный фильтр</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(S),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Экосистемная интеграция</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Собственная клиентская база, мобильное приложение, СБП, региональная карта, партнёрства с регулятором, транспортным оператором и НСПК; превращение биометрии в массовый канал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в нише «банк + ЕБС»),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аппаратного стека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биотерминалов или эксклюзивное партнёрство со всеми регуляторными статусами (Минпромторг, реестр радиоэлектронной продукции, СКЗИ); снижает риск срыва поставок</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поставщиков),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антиспуфинг, детекция дипфейков, AI-фрод. После роста ИИ-атак 2024–2025 гг. — обязательное условие для крупного заказчика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пять сил Портера (заменители через подделку), сравнительная матрица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9, с. 112; 27; 28, с. 17, 33; 32; 33;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восемь КФУ распадаются на три группы. Регуляторно-инфраструктурные факторы (КФУ 1 и 6) определяют сам факт допуска игрока к рынку биометрии физических лиц через ЕБС и работают барьером входа. Продуктово-технологические факторы (КФУ 2, 3, 4 и 8) формируют функциональное ядро решения и определяют содержательную конкуренцию внутри допущенных игроков. Ресурсно-операционные факторы (КФУ 5 и 7) определяют способность масштабировать решение и удерживать издержки. Распределение Face2 по этим факторам: сильные позиции — КФУ 1 и 6 (полный регуляторный пул и банковская экосистема — клиентская база, СБП, Карта жителя РТ, партнёрства с Минцифры/Минтрансом/НСПК); средние — КФУ 2 и 4 (заявленные 99,5% точности и около 2 секунд сканирования; четыре сценария Face2Pay/Pass/Check-in/КБС); слабые — КФУ 3, 5, 7 и 8 (нет независимой международной верификации точности, ядро коммерческой базы — Татарстан, нет собственного производства терминалов, нет отдельного решения по детекции дипфейков) [27; 28, с. 17, 30–31, 33; 32; 37; 39]. Это распределение служит фактической базой для балльной экспертной оценки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в таблице 2.2.7 фиксирует, что именно влияет на успех на российском рынке биометрии, но не даёт численного итога для управленческого решения. 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Балльная экспертная оценка с весовыми коэффициентами учитывает эту разницу и переводит сравнение в формат, пригодный для последующего обоснования выбора целевого сегмента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оценочных пунктов соответствуют восьми КФУ из таблицы 2.2.7 и переведены в шкалу от 1 до 5 баллов. Шкала строится по содержательному принципу: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соответственно),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минимального веса 0,05. При универсальных весах (равных или близких к равным) суммарное лидерство получает VisionLabs за счёт независимой верификации в международных рейтингах [37], однако такая конфигурация не отражает реальные приоритеты целевого заказчика Face2. Сегментный расчёт собран в таблице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[32].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28, с. 17, 33; 36].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по правилам КБС, и до банков, имеющих право регистрации векторов в ЕБС [33; 27; 36]; именно внутри этого ограниченного поля и формируется собственный конкурентный сегмент Face2 — B2B и B2G-заказчики со сценариями, в которых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на массовом B2C-биоэквайринге, с VisionLabs — по верификации алгоритмов через NIST FRTE и международному охвату, с OVISION — по аппаратному стеку, но в собственном сегменте получает преимущества, которых нет ни у одного из конкурентов одновременно: статус банка-оператора по № 115-ФЗ под № 101 в перечне Банка России, аккредитация КБС № 4-А от 15.11.2023, шестилетний стаж работы с ЕБС, банковская экосистема (934 тыс. розничных клиентов, 930 тыс. в АБО, 450 тыс. Карт жителя РТ), рейтинги «A» и ESG-A, а также первая референтная база федерального уровня в виде проектов с Минцифры, Минтрансом, ЦБТ и НСПК [27; 28, с. 4, 17, 30–31, 33; 36; 37; 39]. Эта позиция содержит и ограничения: локальный географический охват по сравнению со Сбером и VisionLabs, отсутствие публичной независимой верификации точности и собственного решения по детекции дипфейков. Драйверы спроса работают в пользу Face2 одновременно по нескольким направлениям — ужесточение ответственности по 420-ФЗ и 421-ФЗ вытесняет неаккредитованные локальные решения, девятикратный годовой рост числа биометрических платежей и 10+ млн зарегистрированных в ЕБС создают эффект повседневности и снимают часть барьера доверия [27; 38]; барьеры спроса (психологический, организационный, регуляторно-репутационный) подробно разобраны в параграфе 1.3 и здесь не повторяются. Управленческое следствие для главы 3: дальнейший анализ должен сосредоточиться не на технологических доработках, а на маркетинговых инструментах — на том,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закрылся фиксацией конкурентной позиции Face2 как банковского сервисного игрока с правом регистрации биометрических данных граждан в ЕБС, локальным масштабом коммерческого присутствия и недостаточно публичной доказательной базой точности. Управленческая повестка для настоящего параграфа сформулирована там же: проверить, насколько текущая практика продвижения Face2 соответствует уже занятой банком конкурентной нише, какие каналы коммуникации задействованы, какие сегменты клиентов охвачены и где находятся пробелы. Решение этой задачи строится не на новом теоретическом инструментарии, а на наложении уже введённого инструментария на эмпирику. Если 2.2 описывал, </w:t>
      </w:r>
      <w:r>
        <w:rPr>
          <w:rFonts w:ascii="Times New Roman" w:hAnsi="Times New Roman" w:cs="Times New Roman" w:eastAsia="Times New Roman"/>
          <w:i/>
          <w:iCs/>
          <w:color w:val="000000"/>
          <w:sz w:val="28"/>
          <w:szCs w:val="28"/>
          <w:lang w:val="ru-RU"/>
        </w:rPr>
        <w:t xml:space="preserve">где</w:t>
      </w:r>
      <w:r>
        <w:rPr>
          <w:rFonts w:ascii="Times New Roman" w:hAnsi="Times New Roman" w:cs="Times New Roman" w:eastAsia="Times New Roman"/>
          <w:color w:val="000000"/>
          <w:sz w:val="28"/>
          <w:szCs w:val="28"/>
          <w:lang w:val="ru-RU"/>
        </w:rPr>
        <w:t xml:space="preserve"> стоит Face2 на рынке, то 2.3 описывает, </w:t>
      </w:r>
      <w:r>
        <w:rPr>
          <w:rFonts w:ascii="Times New Roman" w:hAnsi="Times New Roman" w:cs="Times New Roman" w:eastAsia="Times New Roman"/>
          <w:i/>
          <w:iCs/>
          <w:color w:val="000000"/>
          <w:sz w:val="28"/>
          <w:szCs w:val="28"/>
          <w:lang w:val="ru-RU"/>
        </w:rPr>
        <w:t xml:space="preserve">как</w:t>
      </w:r>
      <w:r>
        <w:rPr>
          <w:rFonts w:ascii="Times New Roman" w:hAnsi="Times New Roman" w:cs="Times New Roman" w:eastAsia="Times New Roman"/>
          <w:color w:val="000000"/>
          <w:sz w:val="28"/>
          <w:szCs w:val="28"/>
          <w:lang w:val="ru-RU"/>
        </w:rPr>
        <w:t xml:space="preserve"> он туда обращается.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 анализа. Текущее продвижение Face2 рассматривается через четыре аналитические рамки, последовательно введённые в параграфах 1.2 и 1.3. Первая рамка — модель STP — задаёт сегментацию аудитории, выбор приоритетных сегментов и позиционирование. Вторая — расширенный комплекс маркетинга 7P — оценивает все семь элементов маркетинг-микса с особым весом People, Process и Physical evidence для биометрии. Третья — маркетинговая воронка с обязательным этапом «Доверие» — показывает, на каких этапах продвижения Face2 концентрирует усилия. Четвёртая — карта каналов из таблицы 1.2.5 в её биометрической конфигурации из параграфа 1.3 — фиксирует фактическую раскладку каналов. Эмпирическая база параграфа: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а также рыночный фон по данным Банка России и деловой прессы [32; 38]. Часть открытых данных по продвижению — соцмедиа-активность под отдельным брендом Face2, программы FINOPOLIS, региональные публикации в «Реальном времени» и «Бизнес-Online» — на момент сборки параграфа недоступна и в текст вошла как описание отсутствия соответствующего контура коммуникации, а не как количественная оценка.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5"/>
        <w:gridCol w:w="1845"/>
        <w:gridCol w:w="3075"/>
        <w:gridCol w:w="820"/>
        <w:gridCol w:w="1640"/>
      </w:tblGrid>
      <w:tr>
        <w:trPr>
          <w:tblHeader/>
          <w:cantSplit/>
        </w:trPr>
        <w:tc>
          <w:tcPr>
            <w:tcW w:w="22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 рынка (по табл. 2.2.2)</w:t>
            </w:r>
          </w:p>
        </w:tc>
        <w:tc>
          <w:tcPr>
            <w:tcW w:w="18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 линейки</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Реальная коммуникативная активность Face2</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16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активности</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а массовый B2C-сегмент охвачен только через банковскую экосистему в пределах Татарстана: мобильное приложение Ак Барс Онлайн с 930 тыс. активных пользователей и 12 млн транзакций за 2024 год, мобильное приложение «Карта жителя РТ» с более чем 100 тыс. пользователей и портал государственных услуг РТ через СБП с 1,2 млн транзакций за тот же год [28, с. 17, 28–29, 33]. Эта концентрация одновременно использует региональное преимущество (банк опирается на естественное доверие к региональному институту в Татарстане)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 ноября 2023 года, сертификация ФСБ и ФСТЭК, реестр отечественного программного обеспечения [27]. Архитектурная безопасность: хранение биометрических векторов в ГИС ЕБС, криптозащита, опора на государственную инфраструктуру, а не на собственную базу данных [27]. Технологичность: заявленная точность распознавания 99,5%, среднее время сканирования около двух секунд при благоприятных условиях [27]. Противопоставление: «локальные биометрии нарушают 572-ФЗ, не сертифицированы ФСБ и не обеспечивают защиты биометрических данных»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на 04 мая 2026 года [28, с. 4; 36]. Содержательно это позиционирование точно соответствует конкурентной нише, выявленной в параграфе 2.2 как пересечение трёх условий — банковской экосистемы, права работать с биометрией физических лиц через ЕБС и продуктовой линейки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и продолжает строиться продвижение, зафиксирована в публичном комментарии руководителя проектного офиса инновационного развития АББ Дамира Галиева в TAdviser от 10 июля 2018 года. Тогда банк ожидал «роста интереса клиентов по мере развития сервиса, в первую очередь среди любителей инноваций», а массовый спрос рассчитывал получить «по мере планомерного перевода государственных услуг в систему ЕСИА» [40]. По существу это гипотеза органического спроса: банк не вкладывается в активное формирование рынка, а ждёт, когда регулятор и инфраструктура сформируют его сами. К 2024–2026 годам эта гипотеза рынком уже не подтверждается. Количество биометрических платежей в России за 9 месяцев 2025 года выросло в 9 раз к аналогичному периоду 2024 года, до 145,9 млн операций; денежный оборот — почти в 5 раз, до 112,5 млрд рублей; в ЕБС зарегистрированы более 10 млн пользователей [38]. Это рынок не зреющего, а уже зрелого спроса с активной конкурентной борьбой за долю, и пассивная стратегия органического притяжения проигрывает активной стратегии Сбера, нарастившего парк терминалов до 700 тыс. и оборот до 116 млрд рублей за 2025 год [32]. Несоответствие между фазой рынка и исходной маркетинговой гипотезой банка — фундаментальная характеристика текущего продвижения Face2, к которой возвращают и последующие подразделы.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7"/>
        <w:gridCol w:w="2207"/>
        <w:gridCol w:w="2207"/>
        <w:gridCol w:w="809"/>
        <w:gridCol w:w="2207"/>
      </w:tblGrid>
      <w:tr>
        <w:trPr>
          <w:tblHeader/>
          <w:cantSplit/>
        </w:trPr>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из табл. 1.2.5</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Метрика / факт</w:t>
            </w:r>
          </w:p>
        </w:tc>
        <w:tc>
          <w:tcPr>
            <w:tcW w:w="8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28–31;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29–31,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Состав сайта проверяется автором; формы заявки, ROI-калькулятора, витрины кейсов в открытых данных не зафиксировано</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не верифицирована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Уточняется автором при финальной вёрстке</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[37], OVISION публикует кейсы РЖД, Мосэнергосбыта, Правительства Тульской области [39]</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37; 39]</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В первой группе — внутренний контур банка (5 000+ сотрудников × 200 биотерминалов как естественный «полигон» отладки клиентского опыта и одновременно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 ни VisionLabs, ни OVISION такой комбинации не подтверждают [37; 39]); демонстрационные каналы внутри Татарстана как постоянно действующие точки потребительского контакта с продуктом. Это сильный push-контур.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группе — корпоративный сайт продукта и сайт банка, прямые продажи через одного контактного менеджера, точечные публикации в деловых СМИ и неоформленное участие в отраслевых форумах. Эти каналы работают, но их интенсивность значительно ниже, чем у конкурентов. Канал прямых продаж работает по классической B2B-модели через одного контактного менеджера [27], что эффективно при активном исходящем поиске клиентов, но не утилизирует входящий интерес массовой аудитории.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группе — отсутствие отдельного бренда Face2 в социальных сетях и фрагментарность экспертного контента. В открытых данных годового отчёта АББ за 2024 год работа с социальными сетями описана как канал работы с обращениями розничных клиентов в целом по банку [28, с. 33], но систематических активностей под брендом Face2 — отдельного Telegram-канала, тематического раздела в YouTube, регулярных публикаций под единым хэштегом — публично не зафиксировано. Сравнительная база: VisionLabs ведёт корпоративный блог на Habr с регулярными техническими публикациями [37]; OVISION публикует кейсы внедрений в РЖД, Мосэнергосбыте, Правительстве Тульской области [39]; Сбер транслирует свою биометрию в массовых СМИ как «оплата улыбкой» с понятным потребительским названием [32]. У Face2 этот слой отсутствует.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8"/>
        <w:gridCol w:w="2628"/>
        <w:gridCol w:w="2628"/>
        <w:gridCol w:w="963"/>
        <w:gridCol w:w="2628"/>
      </w:tblGrid>
      <w:tr>
        <w:trPr>
          <w:tblHeader/>
          <w:cantSplit/>
        </w:trPr>
        <w:tc>
          <w:tcPr>
            <w:tcW w:w="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должно быть для биометрии (по 1.3)</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9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 / пробел</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[32; 37; 39]</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28–33]</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30–31]</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[40]</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4; 36;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нет независимой международной верификации точности (NIST FRTE, iBeta, CVPR), которой пользуется VisionLabs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по № 115-ФЗ [36], шестилетний стаж в ЕБС с 10 июля 2018 года [40]) выводит Face2 в группу из менее чем двухсот банков страны, имеющих все необходимые формальные статусы для работы с биометрией физических лиц. Тем не менее этот регуляторный капитал транслируется в коммуникации преимущественно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People в Face2 представлен одним публичным контактом продаж [27] и точечно — упоминанием руководителя проектного офиса инновационного развития АББ в публикации TAdviser 2018 года [40]. Линейка экспертных спикеров — главный CISO банка, юрист по 572-ФЗ, продакт-менеджер биометрии, представитель команды разработки — публично не оформлена. У VisionLabs, напротив, корпоративный блог на Habr ведут несколько технических экспертов, и каждое публичное выступление топ-менеджмента работает как Physical evidence для следующего корпоративного клиента [37]. Это пробел People — третий.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Process у Face2 проработан содержательно, но узко: четырёхшаговый пользовательский путь подключения (установка приложения «Госуслуги Биометрия» → сдача упрощённой биометрии → согласие на использование вектора КБС АББ → вход в офис или оплата) описан в корпоративных материалах [27], но не упакован в массовое объяснение для внешнего читателя сайта или СМИ. Заказчик В2В получает требования к инфраструктуре (турникет, совместимый с биотерминалами, интернет-канал не менее 10 Мбит/с с непрерывностью не менее 95%, доступ к базовой СКУД-системе [27]), но не получает наглядного бизнес-кейса с расчётом окупаемости.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Promotion реализуется через точечные релизы и отдельные пилотные запуски без регулярного контент-конвейера. Элемент Price — наименее проработанный — публично не раскрывается совсем. Продуктовая линейка (Product) выглядит сильно по охвату сценариев, за единственным существенным исключением: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Это четвёртый зафиксированный пробел — доказательный (вместе с отсутствием независимой международной верификации точности, отдельно отмеченным в параграфе 2.2).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этой эталонной воронки с фактической раскладкой активностей Face2 дано в таблице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Воронка продвижения Face2 — плотность активностей по этапам</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1"/>
        <w:gridCol w:w="3285"/>
        <w:gridCol w:w="1095"/>
        <w:gridCol w:w="3285"/>
      </w:tblGrid>
      <w:tr>
        <w:trPr>
          <w:tblHeader/>
          <w:cantSplit/>
        </w:trPr>
        <w:tc>
          <w:tcPr>
            <w:tcW w:w="19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 (по табл. 1.2.4 и 1.3)</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есть у Face2</w:t>
            </w:r>
          </w:p>
        </w:tc>
        <w:tc>
          <w:tcPr>
            <w:tcW w:w="1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Плотность активностей</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пресс-релизы; пилот в Казанском метрополитене с участием четырёх федеральных партнёров; упоминания в материале «Ведомостей» о биометрии 2026 года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 [38]</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без редакционной программы</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описание продукта в корпоративных материалах банка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без CTA-механики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(ключевой этап для биометрии)</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статус оператора по № 115-ФЗ под № 101, аккредитации ФСБ и ФСТЭК, схема «ГИС ЕБС → КБС → продукт», стаж работы с ЕБС с 10.07.2018</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36; 40]</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по содержанию, низкая по охвату — доказательная база подаётся языком специалистов</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(5 000+ сотрудников); 200 биотерминалов в офисах; публичные пилоты в метро, Национальной библиотеке РТ, биоэквайринг через АБО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28–33]</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для B2B и для жителей РТ; нулевая за пределами РТ</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коммерческие внедрения масштабом 200/500/5 000/15 000 биометрических векторов на инсталляцию</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публичные референсы не оформлены в кейс-стади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системной программы работы с референс-клиентами Face2 (отзывы, NPS, кейсы, повторные продажи дополнительных модулей) в открытых источниках не зафиксировано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38;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этапам воронки в таблице 2.3.4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 Маркетинг здесь не «отстаёт» от продукта, а воспроизводит структуру коммерческой работы один в один. Чтобы изменить распределение продаж, нужно сначала изменить архитектуру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верификации точности (NIST FRTE, iBeta, CVPR)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Сильные стороны продвижения сосредоточены в инфраструктурном и партнёрском слоях. Полный пул Physical evidence (полный набор регуляторных статусов, шестилетний стаж в ЕБС, рейтинги «A» и ESG-A банка), беспрецедентная для рынка референсная база партнёрств федерального уровня в одном проекте, внутренняя демозона как естественный «полигон» отладки клиентского опыта, встроенность в Карту жителя Республики Татарстан — каждое из этих преимуществ по отдельности встречается у разных конкурентов, но именно их совокупность характерна только для Face2 на текущем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Слабые стороны симметричны сильным: всё, что сильно в push-контуре, слабо в pull-контуре. Локальный географический охват СМИ, отсутствие отдельного бренда в социальных сетях, отсутствие регулярного контент-конвейера, отсутствие независимой верификации точности, отсутствие публикуемых тарифов и конверсионной механики на сайте, минимальная публичная экспертная команда — это не отдельные проблемы, а единый кластер недозагрузки массовых маркетинговых инструментов. К нему добавляется фундаментальная слабость — необновлённость исходной маркетинговой гипотезы 2018 года об органическом спросе в условиях рынка, прошедшего точку массовой коммерциализации.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Возможности рынка работают в пользу Face2 одновременно по трём направлениям. Девятикратный годовой рост числа биометрических платежей и пятикратный рост оборота создают эффект повседневности, при котором сценарии оплаты лицом, прохода и заселения становятся для пользователя привычными — это снижает барьер доверия в новых сегментах [38]. Ужесточение ответственности за неправомерное обращение с биометрией после 420-ФЗ и 421-ФЗ повышает ценность аккредитованных операторов как класса и одновременно увеличивает регуляторные риски для не имеющих аккредитации игроков [27]. Накопление 10 млн+ пользователей в ЕБС к началу 2026 года формирует готовую клиентскую базу, не требующую повторной сдачи биометрии, и удешевляет для Face2 каждый последующий маркетинговый рубль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Угрозы продвижения распределены по трём осям: масштабная — Сбер с 700 тыс. терминалов, 30 млн зарегистрированных и 116 млрд рублей оборота за 2025 год доминирует в B2C-биоэквайринге [32]; технологическая — VisionLabs удерживает отрыв по независимой верификации точности через NIST FRTE и работает в 38 странах [37]; продуктовая — OVISION закрывает рынок полного цикла СКУД с собственным аппаратом и федеральными референсами [39]. Дополнительная общая угроза — репутационные риски утечек у любого аккредитованного оператора биометрии, способные ударить по доверию ко всему классу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продвижение Face2 находится в диспозиции, при которой сильные стороны не масштабируются, а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48"/>
        <w:gridCol w:w="3747"/>
        <w:gridCol w:w="1748"/>
        <w:gridCol w:w="17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Пробел</w:t>
            </w:r>
          </w:p>
        </w:tc>
        <w:tc>
          <w:tcPr>
            <w:tcW w:w="37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пробелов</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международной верификации точности (NIST FRTE, iBeta, CVPR)</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являются независимыми. Они образуют связанный кластер вокруг одной общей характеристики — преимущественно push-ориентированного продвижения банковского сервисного игрока с локальной коммерческой базой, опирающегося на устаревшую гипотезу органического спроса. Канальный пробел (1), географический пробел (8) и сегментный пробел (3) — это пробелы охвата. Контентный пробел (2), доказательный пробел (4) и People-пробел (5) — это пробелы аргументации. Конверсионный пробел (6) и лояльностный пробел (7) — это пробелы инфраструктуры воронки. Управленческая повестка главы 3 распадается на три параллельных направления — расширение охвата, усиление аргументации, достройка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 уже занятой конкурентной нишей определяет приоритеты. Регуляторное преимущество, банковская экосистема и шестилетний стаж в ЕБС — те ресурсы, которые в продвижении не нужно создавать, а нужно только активизировать. Это означает, что разрабатываемая стратегия продвижения Face2 не должна строиться в логике догоняющего марша к Сберу или верификационного состязания с VisionLabs — обе эти траектории требуют ресурсов, которых у банка нет в нужных объёмах. Стратегия должна строиться в логике конвертации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 рамка задаёт переход к главе 3. В параграфе 3.1 управленческая повестка восьми пробелов переводится в цели и задачи стратегии продвижения, формируется приоритизация целевых сегментов и обновляется позиционирование. В параграфе 3.2 на этой основе разрабатывается комплекс маркетинговых мероприятий — стратегические направления, отраслевые офферы для приоритетных сегментов, каналы продвижения, контентная и PR-стратегия, дорожная карта реализации. В параграфе 3.3 предложенная стратегия проверяется на эффективность через KPI, экономический эффект, оценку рисков и организационный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