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fontTable.xml" ContentType="application/vnd.openxmlformats-officedocument.wordprocessingml.fontTable+xml"/>
  <Override PartName="/word/numbering.xml" ContentType="application/vnd.openxmlformats-officedocument.wordprocessingml.numbering+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
</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wps="http://schemas.microsoft.com/office/word/2010/wordprocessingShape" xmlns:wpc="http://schemas.microsoft.com/office/word/2010/wordprocessingCanvas" xmlns:wpg="http://schemas.microsoft.com/office/word/2010/wordprocessingGroup" xmlns:mc="http://schemas.openxmlformats.org/markup-compatibility/2006">
  <w:body>
    <w:p>
      <w:pPr>
        <w:keepNext/>
        <w:keepLines/>
        <w:spacing w:before="240" w:after="120" w:line="36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8"/>
          <w:szCs w:val="28"/>
          <w:lang w:val="ru-RU"/>
        </w:rPr>
        <w:t xml:space="preserve">ВКР ГОТОВОЕ</w:t>
      </w:r>
    </w:p>
    <w:p>
      <w:pPr>
        <w:spacing w:before="60" w:after="60" w:line="360" w:lineRule="auto"/>
        <w:ind w:left="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Тема: «Разработка стратегии продвижения инновационного продукта Face2 Ак Барс Банка»</w:t>
      </w:r>
    </w:p>
    <w:p>
      <w:pPr>
        <w:spacing w:before="60" w:after="60" w:line="360" w:lineRule="auto"/>
        <w:ind w:left="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
      </w:r>
    </w:p>
    <w:p>
      <w:pPr>
        <w:spacing w:before="60" w:after="60" w:line="360" w:lineRule="auto"/>
        <w:ind w:left="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Документ собирает готовые фрагменты ВКР по мере их написания. Источники — по списку </w:t>
      </w:r>
      <w:r>
        <w:rPr>
          <w:rFonts w:ascii="Courier New" w:hAnsi="Courier New" w:cs="Courier New" w:eastAsia="Courier New"/>
          <w:color w:val="000000"/>
          <w:sz w:val="28"/>
          <w:szCs w:val="28"/>
          <w:lang w:val="ru-RU"/>
        </w:rPr>
        <w:t xml:space="preserve">источники/sources_VKR.md</w:t>
      </w:r>
      <w:r>
        <w:rPr>
          <w:rFonts w:ascii="Times New Roman" w:hAnsi="Times New Roman" w:cs="Times New Roman" w:eastAsia="Times New Roman"/>
          <w:color w:val="000000"/>
          <w:sz w:val="28"/>
          <w:szCs w:val="28"/>
          <w:lang w:val="ru-RU"/>
        </w:rPr>
        <w:t xml:space="preserve">.</w:t>
      </w:r>
    </w:p>
    <w:p>
      <w:pPr>
        <w:spacing w:before="0" w:after="0" w:line="240" w:lineRule="auto"/>
        <w:jc w:val="both"/>
        <w:rPr>
          <w:rFonts w:ascii="Times New Roman" w:hAnsi="Times New Roman" w:cs="Times New Roman" w:eastAsia="Times New Roman"/>
          <w:sz w:val="28"/>
          <w:szCs w:val="28"/>
          <w:lang w:val="ru-RU"/>
        </w:rPr>
      </w:pPr>
    </w:p>
    <w:p>
      <w:pPr>
        <w:keepNext/>
        <w:keepLines/>
        <w:spacing w:before="200" w:after="120" w:line="36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8"/>
          <w:szCs w:val="28"/>
          <w:lang w:val="ru-RU"/>
        </w:rPr>
        <w:t xml:space="preserve">Структура работы</w:t>
      </w:r>
    </w:p>
    <w:p>
      <w:pPr>
        <w:spacing w:before="0" w:after="0" w:line="360" w:lineRule="auto"/>
        <w:ind w:left="425"/>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 </w:t>
      </w:r>
      <w:r>
        <w:rPr>
          <w:rFonts w:ascii="Times New Roman" w:hAnsi="Times New Roman" w:cs="Times New Roman" w:eastAsia="Times New Roman"/>
          <w:color w:val="000000"/>
          <w:sz w:val="28"/>
          <w:szCs w:val="28"/>
          <w:lang w:val="ru-RU"/>
        </w:rPr>
        <w:t xml:space="preserve">Введение</w:t>
      </w:r>
    </w:p>
    <w:p>
      <w:pPr>
        <w:spacing w:before="0" w:after="0" w:line="360" w:lineRule="auto"/>
        <w:ind w:left="425"/>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 </w:t>
      </w:r>
      <w:r>
        <w:rPr>
          <w:rFonts w:ascii="Times New Roman" w:hAnsi="Times New Roman" w:cs="Times New Roman" w:eastAsia="Times New Roman"/>
          <w:color w:val="000000"/>
          <w:sz w:val="28"/>
          <w:szCs w:val="28"/>
          <w:lang w:val="ru-RU"/>
        </w:rPr>
        <w:t xml:space="preserve">Глава 1. Теоретические основы стратегического продвижения инновационных продуктов</w:t>
      </w:r>
    </w:p>
    <w:p>
      <w:pPr>
        <w:spacing w:before="0" w:after="0" w:line="360" w:lineRule="auto"/>
        <w:ind w:left="425"/>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 </w:t>
      </w:r>
      <w:r>
        <w:rPr>
          <w:rFonts w:ascii="Times New Roman" w:hAnsi="Times New Roman" w:cs="Times New Roman" w:eastAsia="Times New Roman"/>
          <w:color w:val="000000"/>
          <w:sz w:val="28"/>
          <w:szCs w:val="28"/>
          <w:lang w:val="ru-RU"/>
        </w:rPr>
        <w:t xml:space="preserve">1.1. Сущность и особенности инновационных продуктов</w:t>
      </w:r>
    </w:p>
    <w:p>
      <w:pPr>
        <w:spacing w:before="0" w:after="0" w:line="360" w:lineRule="auto"/>
        <w:ind w:left="425"/>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 </w:t>
      </w:r>
      <w:r>
        <w:rPr>
          <w:rFonts w:ascii="Times New Roman" w:hAnsi="Times New Roman" w:cs="Times New Roman" w:eastAsia="Times New Roman"/>
          <w:color w:val="000000"/>
          <w:sz w:val="28"/>
          <w:szCs w:val="28"/>
          <w:lang w:val="ru-RU"/>
        </w:rPr>
        <w:t xml:space="preserve">1.2. Маркетинговые стратегии продвижения</w:t>
      </w:r>
    </w:p>
    <w:p>
      <w:pPr>
        <w:spacing w:before="0" w:after="0" w:line="360" w:lineRule="auto"/>
        <w:ind w:left="425"/>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 </w:t>
      </w:r>
      <w:r>
        <w:rPr>
          <w:rFonts w:ascii="Times New Roman" w:hAnsi="Times New Roman" w:cs="Times New Roman" w:eastAsia="Times New Roman"/>
          <w:color w:val="000000"/>
          <w:sz w:val="28"/>
          <w:szCs w:val="28"/>
          <w:lang w:val="ru-RU"/>
        </w:rPr>
        <w:t xml:space="preserve">1.3. Особенности продвижения биометрических технологий</w:t>
      </w:r>
    </w:p>
    <w:p>
      <w:pPr>
        <w:spacing w:before="0" w:after="0" w:line="360" w:lineRule="auto"/>
        <w:ind w:left="425"/>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 </w:t>
      </w:r>
      <w:r>
        <w:rPr>
          <w:rFonts w:ascii="Times New Roman" w:hAnsi="Times New Roman" w:cs="Times New Roman" w:eastAsia="Times New Roman"/>
          <w:color w:val="000000"/>
          <w:sz w:val="28"/>
          <w:szCs w:val="28"/>
          <w:lang w:val="ru-RU"/>
        </w:rPr>
        <w:t xml:space="preserve">Вывод по главе 1</w:t>
      </w:r>
    </w:p>
    <w:p>
      <w:pPr>
        <w:spacing w:before="0" w:after="0" w:line="360" w:lineRule="auto"/>
        <w:ind w:left="425"/>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 </w:t>
      </w:r>
      <w:r>
        <w:rPr>
          <w:rFonts w:ascii="Times New Roman" w:hAnsi="Times New Roman" w:cs="Times New Roman" w:eastAsia="Times New Roman"/>
          <w:color w:val="000000"/>
          <w:sz w:val="28"/>
          <w:szCs w:val="28"/>
          <w:lang w:val="ru-RU"/>
        </w:rPr>
        <w:t xml:space="preserve">Глава 2. Анализ деятельности Ак Барс Банка в контексте разработки стратегии продвижения инновационного продукта</w:t>
      </w:r>
    </w:p>
    <w:p>
      <w:pPr>
        <w:spacing w:before="0" w:after="0" w:line="360" w:lineRule="auto"/>
        <w:ind w:left="425"/>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 </w:t>
      </w:r>
      <w:r>
        <w:rPr>
          <w:rFonts w:ascii="Times New Roman" w:hAnsi="Times New Roman" w:cs="Times New Roman" w:eastAsia="Times New Roman"/>
          <w:color w:val="000000"/>
          <w:sz w:val="28"/>
          <w:szCs w:val="28"/>
          <w:lang w:val="ru-RU"/>
        </w:rPr>
        <w:t xml:space="preserve">2.1. Характеристика Ак Барс Банка и продукта Face2</w:t>
      </w:r>
    </w:p>
    <w:p>
      <w:pPr>
        <w:spacing w:before="0" w:after="0" w:line="360" w:lineRule="auto"/>
        <w:ind w:left="425"/>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 </w:t>
      </w:r>
      <w:r>
        <w:rPr>
          <w:rFonts w:ascii="Times New Roman" w:hAnsi="Times New Roman" w:cs="Times New Roman" w:eastAsia="Times New Roman"/>
          <w:color w:val="000000"/>
          <w:sz w:val="28"/>
          <w:szCs w:val="28"/>
          <w:lang w:val="ru-RU"/>
        </w:rPr>
        <w:t xml:space="preserve">2.2. Анализ рынка биометрии и конкурентной среды</w:t>
      </w:r>
    </w:p>
    <w:p>
      <w:pPr>
        <w:spacing w:before="0" w:after="0" w:line="360" w:lineRule="auto"/>
        <w:ind w:left="425"/>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 </w:t>
      </w:r>
      <w:r>
        <w:rPr>
          <w:rFonts w:ascii="Times New Roman" w:hAnsi="Times New Roman" w:cs="Times New Roman" w:eastAsia="Times New Roman"/>
          <w:color w:val="000000"/>
          <w:sz w:val="28"/>
          <w:szCs w:val="28"/>
          <w:lang w:val="ru-RU"/>
        </w:rPr>
        <w:t xml:space="preserve">2.3. Анализ текущего продвижения продукта и его позиции на рынке</w:t>
      </w:r>
    </w:p>
    <w:p>
      <w:pPr>
        <w:spacing w:before="0" w:after="0" w:line="360" w:lineRule="auto"/>
        <w:ind w:left="425"/>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 </w:t>
      </w:r>
      <w:r>
        <w:rPr>
          <w:rFonts w:ascii="Times New Roman" w:hAnsi="Times New Roman" w:cs="Times New Roman" w:eastAsia="Times New Roman"/>
          <w:color w:val="000000"/>
          <w:sz w:val="28"/>
          <w:szCs w:val="28"/>
          <w:lang w:val="ru-RU"/>
        </w:rPr>
        <w:t xml:space="preserve">Вывод по главе 2</w:t>
      </w:r>
    </w:p>
    <w:p>
      <w:pPr>
        <w:spacing w:before="0" w:after="0" w:line="360" w:lineRule="auto"/>
        <w:ind w:left="425"/>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 </w:t>
      </w:r>
      <w:r>
        <w:rPr>
          <w:rFonts w:ascii="Times New Roman" w:hAnsi="Times New Roman" w:cs="Times New Roman" w:eastAsia="Times New Roman"/>
          <w:color w:val="000000"/>
          <w:sz w:val="28"/>
          <w:szCs w:val="28"/>
          <w:lang w:val="ru-RU"/>
        </w:rPr>
        <w:t xml:space="preserve">Глава 3. Разработка стратегии продвижения инновационного продукта Face2</w:t>
      </w:r>
    </w:p>
    <w:p>
      <w:pPr>
        <w:spacing w:before="0" w:after="0" w:line="360" w:lineRule="auto"/>
        <w:ind w:left="425"/>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 </w:t>
      </w:r>
      <w:r>
        <w:rPr>
          <w:rFonts w:ascii="Times New Roman" w:hAnsi="Times New Roman" w:cs="Times New Roman" w:eastAsia="Times New Roman"/>
          <w:color w:val="000000"/>
          <w:sz w:val="28"/>
          <w:szCs w:val="28"/>
          <w:lang w:val="ru-RU"/>
        </w:rPr>
        <w:t xml:space="preserve">3.1. Обоснование стратегии продвижения продукта Face2</w:t>
      </w:r>
    </w:p>
    <w:p>
      <w:pPr>
        <w:spacing w:before="0" w:after="0" w:line="360" w:lineRule="auto"/>
        <w:ind w:left="425"/>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 </w:t>
      </w:r>
      <w:r>
        <w:rPr>
          <w:rFonts w:ascii="Times New Roman" w:hAnsi="Times New Roman" w:cs="Times New Roman" w:eastAsia="Times New Roman"/>
          <w:color w:val="000000"/>
          <w:sz w:val="28"/>
          <w:szCs w:val="28"/>
          <w:lang w:val="ru-RU"/>
        </w:rPr>
        <w:t xml:space="preserve">3.2. Разработка комплекса маркетинговых мероприятий по продвижению Face2</w:t>
      </w:r>
    </w:p>
    <w:p>
      <w:pPr>
        <w:spacing w:before="0" w:after="0" w:line="360" w:lineRule="auto"/>
        <w:ind w:left="425"/>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 </w:t>
      </w:r>
      <w:r>
        <w:rPr>
          <w:rFonts w:ascii="Times New Roman" w:hAnsi="Times New Roman" w:cs="Times New Roman" w:eastAsia="Times New Roman"/>
          <w:color w:val="000000"/>
          <w:sz w:val="28"/>
          <w:szCs w:val="28"/>
          <w:lang w:val="ru-RU"/>
        </w:rPr>
        <w:t xml:space="preserve">3.3. Оценка эффективности предложенной стратегии продвижения Face2</w:t>
      </w:r>
    </w:p>
    <w:p>
      <w:pPr>
        <w:spacing w:before="0" w:after="0" w:line="360" w:lineRule="auto"/>
        <w:ind w:left="425"/>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 </w:t>
      </w:r>
      <w:r>
        <w:rPr>
          <w:rFonts w:ascii="Times New Roman" w:hAnsi="Times New Roman" w:cs="Times New Roman" w:eastAsia="Times New Roman"/>
          <w:color w:val="000000"/>
          <w:sz w:val="28"/>
          <w:szCs w:val="28"/>
          <w:lang w:val="ru-RU"/>
        </w:rPr>
        <w:t xml:space="preserve">Вывод по главе 3</w:t>
      </w:r>
    </w:p>
    <w:p>
      <w:pPr>
        <w:spacing w:before="0" w:after="0" w:line="360" w:lineRule="auto"/>
        <w:ind w:left="425"/>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 </w:t>
      </w:r>
      <w:r>
        <w:rPr>
          <w:rFonts w:ascii="Times New Roman" w:hAnsi="Times New Roman" w:cs="Times New Roman" w:eastAsia="Times New Roman"/>
          <w:color w:val="000000"/>
          <w:sz w:val="28"/>
          <w:szCs w:val="28"/>
          <w:lang w:val="ru-RU"/>
        </w:rPr>
        <w:t xml:space="preserve">Заключение</w:t>
      </w:r>
    </w:p>
    <w:p>
      <w:pPr>
        <w:spacing w:before="0" w:after="0" w:line="360" w:lineRule="auto"/>
        <w:ind w:left="425"/>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 </w:t>
      </w:r>
      <w:r>
        <w:rPr>
          <w:rFonts w:ascii="Times New Roman" w:hAnsi="Times New Roman" w:cs="Times New Roman" w:eastAsia="Times New Roman"/>
          <w:color w:val="000000"/>
          <w:sz w:val="28"/>
          <w:szCs w:val="28"/>
          <w:lang w:val="ru-RU"/>
        </w:rPr>
        <w:t xml:space="preserve">Список использованных источников</w:t>
      </w:r>
    </w:p>
    <w:p>
      <w:pPr>
        <w:spacing w:before="0" w:after="0" w:line="240" w:lineRule="auto"/>
        <w:jc w:val="both"/>
        <w:rPr>
          <w:rFonts w:ascii="Times New Roman" w:hAnsi="Times New Roman" w:cs="Times New Roman" w:eastAsia="Times New Roman"/>
          <w:sz w:val="28"/>
          <w:szCs w:val="28"/>
          <w:lang w:val="ru-RU"/>
        </w:rPr>
      </w:pPr>
    </w:p>
    <w:p>
      <w:pPr>
        <w:spacing w:before="60" w:after="60" w:line="360" w:lineRule="auto"/>
        <w:ind w:left="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Рабочее замечание по оформлению (для последующей вёрстки в Word).</w:t>
      </w:r>
    </w:p>
    <w:p>
      <w:pPr>
        <w:spacing w:before="60" w:after="60" w:line="360" w:lineRule="auto"/>
        <w:ind w:left="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Шапки таблиц записаны в две строки: первая — «Таблица N.N.N» (в Word выравнивается по правому краю), вторая — название таблицы (центрируется). Подписи рисунков — «Рис. N.N.N. Название» (точка после номера, без точки в конце), строка «Источник:» — над подписью. Шрифт основного текста — Times New Roman 14 пт, междустрочный интервал 1,5; в таблицах допустимо TNR 12 пт с одинарным интервалом. ASCII-схемы заменяются на векторную графику, гистограмма — на диаграмму в Excel.</w:t>
      </w:r>
    </w:p>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jc w:val="both"/>
        <w:rPr>
          <w:rFonts w:ascii="Times New Roman" w:hAnsi="Times New Roman" w:cs="Times New Roman" w:eastAsia="Times New Roman"/>
          <w:sz w:val="28"/>
          <w:szCs w:val="28"/>
          <w:lang w:val="ru-RU"/>
        </w:rPr>
      </w:pPr>
      <w:r>
        <w:br w:type="page"/>
      </w:r>
    </w:p>
    <w:p>
      <w:pPr>
        <w:keepNext/>
        <w:keepLines/>
        <w:spacing w:before="240" w:after="120" w:line="36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8"/>
          <w:szCs w:val="28"/>
          <w:lang w:val="ru-RU"/>
        </w:rPr>
        <w:t xml:space="preserve">ВВЕДЕНИЕ</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Актуальность темы выпускной квалификационной работы обусловлена переходом российского рынка биометрических технологий в стадию массовой коммерциализации при одновременном ужесточении регуляторного контура обработки биометрических персональных данных. По данным Банка России, за девять месяцев 2025 года в Российской Федерации совершено 145,9 млн биометрических платежей с оборотом 112,5 млрд рублей, а число зарегистрированных в Единой биометрической системе пользователей превысило десять миллионов. Федеральный закон от 29 декабря 2022 года № 572-ФЗ ограничил круг участников рынка аккредитованными операторами коммерческих биометрических систем, а федеральные законы № 420-ФЗ и № 421-ФЗ от 30 ноября 2024 года повысили ответственность за нарушения в сфере биометрии. В этих условиях для ПАО «Ак Барс Банк», получившего статус оператора КБС в 2023 году, разработка стратегии продвижения биометрического продукта Face2 становится самостоятельной управленческой задачей, решение которой определяет возможности масштабирования продукта на федеральный рынок.</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Степень разработанности проблемы характеризуется неравномерностью научного освоения смежных областей. Теоретические основы маркетинга инноваций и стратегического управления продвижением новых продуктов раскрыты в работах Ф. Котлера, Й. Шумпетера, Э. Роджерса, Г. Л. Багиева, Р. А. Фатхутдинова, П. Н. Завлина, А. А. Трифиловой. Вопросы банковского маркетинга и цифровой трансформации финансовых организаций представлены в современных публикациях по финансовому сектору. Вместе с тем продвижение биометрических технологий рассматривается преимущественно в правовом и техническом аспектах, тогда как комплексные маркетинговые модели, учитывающие двухуровневую структуру продаж, привязку к государственной инфраструктуре ЕБС и необходимость преодоления психологических барьеров аудитории, остаются недостаточно проработанными.</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Целью выпускной квалификационной работы является разработка стратегии продвижения инновационного биометрического продукта Face2 ПАО «Ак Барс Банк» на основе анализа теоретических подходов к маркетингу инноваций, состояния российского рынка биометрии и конкурентной позиции продукта.</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Для достижения поставленной цели сформулированы следующие задачи:</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 раскрыть сущность инновационных продуктов и систематизировать маркетинговые стратегии их продвижения;</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 выявить специфику продвижения биометрических технологий в банковском секторе;</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 дать организационно-экономическую характеристику ПАО «Ак Барс Банк» и продукта Face2;</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 проанализировать российский рынок биометрии, конкурентную среду и определить позицию Face2;</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 оценить текущее состояние продвижения продукта и выявить пробелы;</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 разработать комплекс мероприятий стратегии продвижения Face2 и обосновать её эффективность.</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Объектом исследования выступает ПАО «Ак Барс Банк» как разработчик и оператор коммерческой биометрической системы Face2.</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Предметом исследования являются управленческие и маркетинговые отношения, возникающие в процессе формирования и реализации стратегии продвижения биометрического продукта на российском рынке.</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Методологическую основу исследования составил системный подход, дополненный общенаучными методами анализа, синтеза и сравнения, а также методами стратегического и маркетингового анализа: PESTEL-анализом, SWOT-анализом, моделью пяти сил М. Портера, концепцией STP, моделью 7P, сравнительной балльной экспертной оценкой, графическим и табличным методами представления данных. Информационной базой исследования послужили годовая отчётность ПАО «Ак Барс Банк» за 2023–2025 годы, статистические материалы Банка России, нормативно-правовые акты Российской Федерации, публикации Минцифры России и АО «Центр биометрических технологий», а также специализированные научные и отраслевые источники.</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Теоретическая значимость работы заключается в адаптации классических маркетинговых моделей к специфике биометрических продуктов, функционирующих в условиях государственного регулирования обработки персональных данных. Практическая значимость состоит в возможности применения разработанной стратегии и комплекса мероприятий в деятельности ПАО «Ак Барс Банк» для масштабирования продукта Face2 за пределы Республики Татарстан, активизации банковской экосистемы как канала продвижения и достройки конверсионной инфраструктуры; предложенные решения применимы и другими аккредитованными операторами коммерческих биометрических систем.</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Структура выпускной квалификационной работы определяется логикой решения поставленных задач и включает введение, три главы, заключение и список использованных источников. В первой главе раскрываются теоретические основы стратегического продвижения инновационных продуктов. Во второй главе проводится анализ деятельности ПАО «Ак Барс Банк», российского рынка биометрии и текущего продвижения продукта Face2. В третьей главе разрабатывается стратегия продвижения Face2 и оценивается её эффективность.</w:t>
      </w:r>
    </w:p>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jc w:val="both"/>
        <w:rPr>
          <w:rFonts w:ascii="Times New Roman" w:hAnsi="Times New Roman" w:cs="Times New Roman" w:eastAsia="Times New Roman"/>
          <w:sz w:val="28"/>
          <w:szCs w:val="28"/>
          <w:lang w:val="ru-RU"/>
        </w:rPr>
      </w:pPr>
      <w:r>
        <w:br w:type="page"/>
      </w:r>
    </w:p>
    <w:p>
      <w:pPr>
        <w:keepNext/>
        <w:keepLines/>
        <w:spacing w:before="240" w:after="120" w:line="36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8"/>
          <w:szCs w:val="28"/>
          <w:lang w:val="ru-RU"/>
        </w:rPr>
        <w:t xml:space="preserve">1. ТЕОРЕТИЧЕСКИЕ ОСНОВЫ СТРАТЕГИЧЕСКОГО ПРОДВИЖЕНИЯ ИННОВАЦИОННЫХ ПРОДУКТОВ</w:t>
      </w:r>
    </w:p>
    <w:p>
      <w:pPr>
        <w:keepNext/>
        <w:keepLines/>
        <w:spacing w:before="240" w:after="120" w:line="36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8"/>
          <w:szCs w:val="28"/>
          <w:lang w:val="ru-RU"/>
        </w:rPr>
        <w:t xml:space="preserve">1.1. СУЩНОСТЬ И ОСОБЕННОСТИ ИННОВАЦИОННЫХ ПРОДУКТОВ</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Инновационный продукт — это результат научно-технической и интеллектуальной деятельности, обладающий качественно новыми характеристиками и предназначенный для удовлетворения существующих или формирования новых потребностей рынка. Основоположник теории инноваций Й. Шумпетер определял инновацию как коммерциализацию новых комбинаций производственных факторов [12, с. 33]. В маркетинговой трактовке Ф. Котлера к инновационным относятся товары и услуги с новыми или существенно улучшенными характеристиками, обеспечивающими дополнительную ценность для потребителя [8, с. 48]. Российская школа продолжает эту линию, увязывая инновационную активность с конкурентоспособностью предприятия и национальной экономики [13, с. 14; 14, с. 9].</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Инновационный продукт отличается от традиционного товара набором взаимосвязанных признаков: новизной, технологичностью, способностью создавать ценность для потребителя, конкурентоспособностью и повышенным уровнем риска [12, с. 132; 20, с. 5]. Чем выше степень новизны и технологической сложности, тем большее значение приобретают разъяснение преимуществ, снижение неопределённости и формирование доверия [22, с. 51; 20, с. 9]. Эти признаки обобщены на рисунке 1.1.1.</w:t>
      </w:r>
    </w:p>
    <w:p>
      <w:pPr>
        <w:keepLines/>
        <w:spacing w:before="0" w:after="0" w:line="240" w:lineRule="auto"/>
        <w:jc w:val="left"/>
        <w:rPr>
          <w:rFonts w:ascii="Times New Roman" w:hAnsi="Times New Roman" w:cs="Times New Roman" w:eastAsia="Times New Roman"/>
          <w:sz w:val="28"/>
          <w:szCs w:val="28"/>
          <w:lang w:val="ru-RU"/>
        </w:rPr>
      </w:pPr>
      <w:r>
        <w:rPr>
          <w:rFonts w:ascii="Courier New" w:hAnsi="Courier New" w:cs="Courier New" w:eastAsia="Courier New"/>
          <w:color w:val="000000"/>
          <w:sz w:val="18"/>
          <w:szCs w:val="18"/>
          <w:lang w:val="ru-RU"/>
        </w:rPr>
        <w:t xml:space="preserve">            ┌─────────────────────────────────────────┐</w:t>
      </w:r>
    </w:p>
    <w:p>
      <w:pPr>
        <w:keepLines/>
        <w:spacing w:before="0" w:after="0" w:line="240" w:lineRule="auto"/>
        <w:jc w:val="left"/>
        <w:rPr>
          <w:rFonts w:ascii="Times New Roman" w:hAnsi="Times New Roman" w:cs="Times New Roman" w:eastAsia="Times New Roman"/>
          <w:sz w:val="28"/>
          <w:szCs w:val="28"/>
          <w:lang w:val="ru-RU"/>
        </w:rPr>
      </w:pPr>
      <w:r>
        <w:rPr>
          <w:rFonts w:ascii="Courier New" w:hAnsi="Courier New" w:cs="Courier New" w:eastAsia="Courier New"/>
          <w:color w:val="000000"/>
          <w:sz w:val="18"/>
          <w:szCs w:val="18"/>
          <w:lang w:val="ru-RU"/>
        </w:rPr>
        <w:t xml:space="preserve">            │  Признаки инновационного продукта        │</w:t>
      </w:r>
    </w:p>
    <w:p>
      <w:pPr>
        <w:keepLines/>
        <w:spacing w:before="0" w:after="0" w:line="240" w:lineRule="auto"/>
        <w:jc w:val="left"/>
        <w:rPr>
          <w:rFonts w:ascii="Times New Roman" w:hAnsi="Times New Roman" w:cs="Times New Roman" w:eastAsia="Times New Roman"/>
          <w:sz w:val="28"/>
          <w:szCs w:val="28"/>
          <w:lang w:val="ru-RU"/>
        </w:rPr>
      </w:pPr>
      <w:r>
        <w:rPr>
          <w:rFonts w:ascii="Courier New" w:hAnsi="Courier New" w:cs="Courier New" w:eastAsia="Courier New"/>
          <w:color w:val="000000"/>
          <w:sz w:val="18"/>
          <w:szCs w:val="18"/>
          <w:lang w:val="ru-RU"/>
        </w:rPr>
        <w:t xml:space="preserve">            └────────────────┬────────────────────────┘</w:t>
      </w:r>
    </w:p>
    <w:p>
      <w:pPr>
        <w:keepLines/>
        <w:spacing w:before="0" w:after="0" w:line="240" w:lineRule="auto"/>
        <w:jc w:val="left"/>
        <w:rPr>
          <w:rFonts w:ascii="Times New Roman" w:hAnsi="Times New Roman" w:cs="Times New Roman" w:eastAsia="Times New Roman"/>
          <w:sz w:val="28"/>
          <w:szCs w:val="28"/>
          <w:lang w:val="ru-RU"/>
        </w:rPr>
      </w:pPr>
      <w:r>
        <w:rPr>
          <w:rFonts w:ascii="Courier New" w:hAnsi="Courier New" w:cs="Courier New" w:eastAsia="Courier New"/>
          <w:color w:val="000000"/>
          <w:sz w:val="18"/>
          <w:szCs w:val="18"/>
          <w:lang w:val="ru-RU"/>
        </w:rPr>
        <w:t xml:space="preserve">                             │</w:t>
      </w:r>
    </w:p>
    <w:p>
      <w:pPr>
        <w:keepLines/>
        <w:spacing w:before="0" w:after="0" w:line="240" w:lineRule="auto"/>
        <w:jc w:val="left"/>
        <w:rPr>
          <w:rFonts w:ascii="Times New Roman" w:hAnsi="Times New Roman" w:cs="Times New Roman" w:eastAsia="Times New Roman"/>
          <w:sz w:val="28"/>
          <w:szCs w:val="28"/>
          <w:lang w:val="ru-RU"/>
        </w:rPr>
      </w:pPr>
      <w:r>
        <w:rPr>
          <w:rFonts w:ascii="Courier New" w:hAnsi="Courier New" w:cs="Courier New" w:eastAsia="Courier New"/>
          <w:color w:val="000000"/>
          <w:sz w:val="18"/>
          <w:szCs w:val="18"/>
          <w:lang w:val="ru-RU"/>
        </w:rPr>
        <w:t xml:space="preserve">   ┌──────────┬──────────────┼──────────────┬───────────────┐</w:t>
      </w:r>
    </w:p>
    <w:p>
      <w:pPr>
        <w:keepLines/>
        <w:spacing w:before="0" w:after="0" w:line="240" w:lineRule="auto"/>
        <w:jc w:val="left"/>
        <w:rPr>
          <w:rFonts w:ascii="Times New Roman" w:hAnsi="Times New Roman" w:cs="Times New Roman" w:eastAsia="Times New Roman"/>
          <w:sz w:val="28"/>
          <w:szCs w:val="28"/>
          <w:lang w:val="ru-RU"/>
        </w:rPr>
      </w:pPr>
      <w:r>
        <w:rPr>
          <w:rFonts w:ascii="Courier New" w:hAnsi="Courier New" w:cs="Courier New" w:eastAsia="Courier New"/>
          <w:color w:val="000000"/>
          <w:sz w:val="18"/>
          <w:szCs w:val="18"/>
          <w:lang w:val="ru-RU"/>
        </w:rPr>
        <w:t xml:space="preserve">   ▼          ▼              ▼              ▼               ▼</w:t>
      </w:r>
    </w:p>
    <w:p>
      <w:pPr>
        <w:keepLines/>
        <w:spacing w:before="0" w:after="0" w:line="240" w:lineRule="auto"/>
        <w:jc w:val="left"/>
        <w:rPr>
          <w:rFonts w:ascii="Times New Roman" w:hAnsi="Times New Roman" w:cs="Times New Roman" w:eastAsia="Times New Roman"/>
          <w:sz w:val="28"/>
          <w:szCs w:val="28"/>
          <w:lang w:val="ru-RU"/>
        </w:rPr>
      </w:pPr>
      <w:r>
        <w:rPr>
          <w:rFonts w:ascii="Courier New" w:hAnsi="Courier New" w:cs="Courier New" w:eastAsia="Courier New"/>
          <w:color w:val="000000"/>
          <w:sz w:val="18"/>
          <w:szCs w:val="18"/>
          <w:lang w:val="ru-RU"/>
        </w:rPr>
        <w:t xml:space="preserve"> Новизна  Технологич-   Ценность для   Конкуренто-     Повышенный</w:t>
      </w:r>
    </w:p>
    <w:p>
      <w:pPr>
        <w:keepLines/>
        <w:spacing w:before="0" w:after="0" w:line="240" w:lineRule="auto"/>
        <w:jc w:val="left"/>
        <w:rPr>
          <w:rFonts w:ascii="Times New Roman" w:hAnsi="Times New Roman" w:cs="Times New Roman" w:eastAsia="Times New Roman"/>
          <w:sz w:val="28"/>
          <w:szCs w:val="28"/>
          <w:lang w:val="ru-RU"/>
        </w:rPr>
      </w:pPr>
      <w:r>
        <w:rPr>
          <w:rFonts w:ascii="Courier New" w:hAnsi="Courier New" w:cs="Courier New" w:eastAsia="Courier New"/>
          <w:color w:val="000000"/>
          <w:sz w:val="18"/>
          <w:szCs w:val="18"/>
          <w:lang w:val="ru-RU"/>
        </w:rPr>
        <w:t xml:space="preserve">          ность         потребителя    способность     уровень риска</w:t>
      </w:r>
    </w:p>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по данным [12, с. 132; 8, с. 48; 20, с. 5]</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Рис. 1.1.1. Основные характеристики инновационного продукта</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Совокупность этих пяти признаков задаёт границу между инновационным и традиционным продуктом и одновременно определяет управленческую сложность его вывода на рынок: чем сильнее выражен каждый из признаков, тем больше ресурсов требуется на продвижение и тем выше цена ошибки маркетинговых решений.</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Для систематизации инновационных продуктов используется ряд классификационных признаков. По объекту изменений различают продуктовые, процессные, маркетинговые и организационные инновации; по степени новизны — радикальные и инкрементальные [12, с. 165–169; 14, с. 41]. Сводная классификация дана в таблице 1.1.1.</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1.1.1</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Классификация инновационных продуктов</w:t>
      </w:r>
    </w:p>
    <w:tbl>
      <w:tblPr>
        <w:tblW w:w="9637"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160"/>
        <w:gridCol w:w="2492"/>
        <w:gridCol w:w="4985"/>
      </w:tblGrid>
      <w:tr>
        <w:trPr>
          <w:tblHeader/>
          <w:cantSplit/>
        </w:trPr>
        <w:tc>
          <w:tcPr>
            <w:tcW w:w="2160"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Критерий классификации</w:t>
            </w:r>
          </w:p>
        </w:tc>
        <w:tc>
          <w:tcPr>
            <w:tcW w:w="2492"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Вид инновации</w:t>
            </w:r>
          </w:p>
        </w:tc>
        <w:tc>
          <w:tcPr>
            <w:tcW w:w="4985"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Содержание</w:t>
            </w:r>
          </w:p>
        </w:tc>
      </w:tr>
      <w:tr>
        <w:trPr>
          <w:cantSplit/>
        </w:trPr>
        <w:tc>
          <w:tcPr>
            <w:tcW w:w="216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 объекту изменений</w:t>
            </w:r>
          </w:p>
        </w:tc>
        <w:tc>
          <w:tcPr>
            <w:tcW w:w="249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Продуктовые</w:t>
            </w:r>
          </w:p>
        </w:tc>
        <w:tc>
          <w:tcPr>
            <w:tcW w:w="498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Создание нового или существенно улучшенного товара или услуги</w:t>
            </w:r>
          </w:p>
        </w:tc>
      </w:tr>
      <w:tr>
        <w:trPr>
          <w:cantSplit/>
        </w:trPr>
        <w:tc>
          <w:tcPr>
            <w:tcW w:w="216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 объекту изменений</w:t>
            </w:r>
          </w:p>
        </w:tc>
        <w:tc>
          <w:tcPr>
            <w:tcW w:w="249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Процессные</w:t>
            </w:r>
          </w:p>
        </w:tc>
        <w:tc>
          <w:tcPr>
            <w:tcW w:w="498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Изменение способов производства, обслуживания или взаимодействия с потребителем</w:t>
            </w:r>
          </w:p>
        </w:tc>
      </w:tr>
      <w:tr>
        <w:trPr>
          <w:cantSplit/>
        </w:trPr>
        <w:tc>
          <w:tcPr>
            <w:tcW w:w="216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 объекту изменений</w:t>
            </w:r>
          </w:p>
        </w:tc>
        <w:tc>
          <w:tcPr>
            <w:tcW w:w="249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Маркетинговые</w:t>
            </w:r>
          </w:p>
        </w:tc>
        <w:tc>
          <w:tcPr>
            <w:tcW w:w="498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Использование новых методов продвижения, позиционирования или взаимодействия с рынком</w:t>
            </w:r>
          </w:p>
        </w:tc>
      </w:tr>
      <w:tr>
        <w:trPr>
          <w:cantSplit/>
        </w:trPr>
        <w:tc>
          <w:tcPr>
            <w:tcW w:w="216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 объекту изменений</w:t>
            </w:r>
          </w:p>
        </w:tc>
        <w:tc>
          <w:tcPr>
            <w:tcW w:w="249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Организационные</w:t>
            </w:r>
          </w:p>
        </w:tc>
        <w:tc>
          <w:tcPr>
            <w:tcW w:w="498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Изменение управленческих и организационных процессов</w:t>
            </w:r>
          </w:p>
        </w:tc>
      </w:tr>
      <w:tr>
        <w:trPr>
          <w:cantSplit/>
        </w:trPr>
        <w:tc>
          <w:tcPr>
            <w:tcW w:w="216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 степени новизны</w:t>
            </w:r>
          </w:p>
        </w:tc>
        <w:tc>
          <w:tcPr>
            <w:tcW w:w="249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Радикальные</w:t>
            </w:r>
          </w:p>
        </w:tc>
        <w:tc>
          <w:tcPr>
            <w:tcW w:w="498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Формирование принципиально нового продукта или способа потребления</w:t>
            </w:r>
          </w:p>
        </w:tc>
      </w:tr>
      <w:tr>
        <w:trPr>
          <w:cantSplit/>
        </w:trPr>
        <w:tc>
          <w:tcPr>
            <w:tcW w:w="216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 степени новизны</w:t>
            </w:r>
          </w:p>
        </w:tc>
        <w:tc>
          <w:tcPr>
            <w:tcW w:w="249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Инкрементальные</w:t>
            </w:r>
          </w:p>
        </w:tc>
        <w:tc>
          <w:tcPr>
            <w:tcW w:w="498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Улучшение существующих продуктов, технологий или процессов</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по данным [12, с. 165–169; 14, с. 41]</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Биометрические решения по этой классификации одновременно являются продуктовой инновацией (новый цифровой сервис для пользователя) и процессной (изменение способа идентификации и обслуживания), поэтому требуют двухуровневой коммуникации — и с конечным пользователем, и с организацией-заказчиком [15, с. 29; 24, с. 102].</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Особенностью инновационного продукта является высокий уровень неопределённости рыночного успеха [12, с. 178; 19, с. 4]. Реакция потребителя плохо прогнозируется, а сам продукт часто требует изменения поведенческих паттернов: новых навыков использования или отказа от привычных способов удовлетворения потребности. Поэтому в продвижение встраиваются образовательные программы, демонстрационные мероприятия и пробные версии — то, что снижает воспринимаемый риск покупки [22, с. 51; 20, с. 9]. Группы рисков, с которыми сталкивается организация при выводе инновационного продукта на рынок, систематизированы в таблице 1.1.2.</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1.1.2</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Основные риски, связанные с внедрением инновационного продукта</w:t>
      </w:r>
    </w:p>
    <w:tbl>
      <w:tblPr>
        <w:tblW w:w="9636"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716"/>
        <w:gridCol w:w="3960"/>
        <w:gridCol w:w="3960"/>
      </w:tblGrid>
      <w:tr>
        <w:trPr>
          <w:tblHeader/>
          <w:cantSplit/>
        </w:trPr>
        <w:tc>
          <w:tcPr>
            <w:tcW w:w="1716"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Группа рисков</w:t>
            </w:r>
          </w:p>
        </w:tc>
        <w:tc>
          <w:tcPr>
            <w:tcW w:w="3960"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Содержание</w:t>
            </w:r>
          </w:p>
        </w:tc>
        <w:tc>
          <w:tcPr>
            <w:tcW w:w="3960"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Управленческий ответ</w:t>
            </w:r>
          </w:p>
        </w:tc>
      </w:tr>
      <w:tr>
        <w:trPr>
          <w:cantSplit/>
        </w:trPr>
        <w:tc>
          <w:tcPr>
            <w:tcW w:w="171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Технические</w:t>
            </w:r>
          </w:p>
        </w:tc>
        <w:tc>
          <w:tcPr>
            <w:tcW w:w="396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Сбои разработки, недостаточная зрелость технологии, проблемы интеграции с существующей инфраструктурой</w:t>
            </w:r>
          </w:p>
        </w:tc>
        <w:tc>
          <w:tcPr>
            <w:tcW w:w="396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Пилотные проекты, тестирование, поэтапное масштабирование</w:t>
            </w:r>
          </w:p>
        </w:tc>
      </w:tr>
      <w:tr>
        <w:trPr>
          <w:cantSplit/>
        </w:trPr>
        <w:tc>
          <w:tcPr>
            <w:tcW w:w="171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Рыночные</w:t>
            </w:r>
          </w:p>
        </w:tc>
        <w:tc>
          <w:tcPr>
            <w:tcW w:w="396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Низкая осведомлённость аудитории, недоверие к новой технологии, отсутствие сформированного спроса</w:t>
            </w:r>
          </w:p>
        </w:tc>
        <w:tc>
          <w:tcPr>
            <w:tcW w:w="396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Образовательная коммуникация, демонстрации, работа с ранними последователями</w:t>
            </w:r>
          </w:p>
        </w:tc>
      </w:tr>
      <w:tr>
        <w:trPr>
          <w:cantSplit/>
        </w:trPr>
        <w:tc>
          <w:tcPr>
            <w:tcW w:w="171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Финансовые</w:t>
            </w:r>
          </w:p>
        </w:tc>
        <w:tc>
          <w:tcPr>
            <w:tcW w:w="396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Высокая стоимость разработки, длительный срок окупаемости, сложность прогнозирования возврата инвестиций</w:t>
            </w:r>
          </w:p>
        </w:tc>
        <w:tc>
          <w:tcPr>
            <w:tcW w:w="396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Поэтапное финансирование, KPI-контроль, гибкая ценовая стратегия</w:t>
            </w:r>
          </w:p>
        </w:tc>
      </w:tr>
      <w:tr>
        <w:trPr>
          <w:cantSplit/>
        </w:trPr>
        <w:tc>
          <w:tcPr>
            <w:tcW w:w="171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Репутационные</w:t>
            </w:r>
          </w:p>
        </w:tc>
        <w:tc>
          <w:tcPr>
            <w:tcW w:w="396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Негативный опыт первых пользователей, формирование устойчивых предубеждений к продукту</w:t>
            </w:r>
          </w:p>
        </w:tc>
        <w:tc>
          <w:tcPr>
            <w:tcW w:w="396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Управление качеством, мониторинг отзывов, оперативное реагирование на инциденты</w:t>
            </w:r>
          </w:p>
        </w:tc>
      </w:tr>
      <w:tr>
        <w:trPr>
          <w:cantSplit/>
        </w:trPr>
        <w:tc>
          <w:tcPr>
            <w:tcW w:w="171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Регуляторные</w:t>
            </w:r>
          </w:p>
        </w:tc>
        <w:tc>
          <w:tcPr>
            <w:tcW w:w="396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Изменение нормативно-правовой базы, требования регуляторов к работе с данными, лицензирование</w:t>
            </w:r>
          </w:p>
        </w:tc>
        <w:tc>
          <w:tcPr>
            <w:tcW w:w="396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Юридическое сопровождение, аудит соответствия, соблюдение требований регулятора</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по данным [12, с. 178; 13, с. 78; 19, с. 4]</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Технические риски разработки, рыночные риски, связанные с поведением спроса, репутационные риски от негативного опыта первых пользователей и регуляторные риски от меняющегося правового контура образуют единый контур, которым организация управляет на всех этапах вывода продукта на рынок [13, с. 78]. Для биометрических продуктов этот набор рисков особенно значим — регуляторная и репутационная составляющие здесь имеют тот же вес, что и технические.</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Восприятие инновации потребителями неоднородно. Согласно теории диффузии инноваций Э. Роджерса, аудитория делится на пять групп — новаторов, ранних последователей, раннее большинство, позднее большинство и консерваторов [14, с. 156]. Каждая группа отличается скоростью принятия и требует своего акцента: для новаторов — технологическое превосходство, для раннего большинства — надёжность и доказательная база, для консерваторов — привычные сценарии использования. Распределение показано на рисунке 1.1.2.</w:t>
      </w:r>
    </w:p>
    <w:p>
      <w:pPr>
        <w:keepLines/>
        <w:spacing w:before="0" w:after="0" w:line="240" w:lineRule="auto"/>
        <w:jc w:val="left"/>
        <w:rPr>
          <w:rFonts w:ascii="Times New Roman" w:hAnsi="Times New Roman" w:cs="Times New Roman" w:eastAsia="Times New Roman"/>
          <w:sz w:val="28"/>
          <w:szCs w:val="28"/>
          <w:lang w:val="ru-RU"/>
        </w:rPr>
      </w:pPr>
      <w:r>
        <w:rPr>
          <w:rFonts w:ascii="Courier New" w:hAnsi="Courier New" w:cs="Courier New" w:eastAsia="Courier New"/>
          <w:color w:val="000000"/>
          <w:sz w:val="18"/>
          <w:szCs w:val="18"/>
          <w:lang w:val="ru-RU"/>
        </w:rPr>
        <w:t xml:space="preserve">доля</w:t>
      </w:r>
    </w:p>
    <w:p>
      <w:pPr>
        <w:keepLines/>
        <w:spacing w:before="0" w:after="0" w:line="240" w:lineRule="auto"/>
        <w:jc w:val="left"/>
        <w:rPr>
          <w:rFonts w:ascii="Times New Roman" w:hAnsi="Times New Roman" w:cs="Times New Roman" w:eastAsia="Times New Roman"/>
          <w:sz w:val="28"/>
          <w:szCs w:val="28"/>
          <w:lang w:val="ru-RU"/>
        </w:rPr>
      </w:pPr>
      <w:r>
        <w:rPr>
          <w:rFonts w:ascii="Courier New" w:hAnsi="Courier New" w:cs="Courier New" w:eastAsia="Courier New"/>
          <w:color w:val="000000"/>
          <w:sz w:val="18"/>
          <w:szCs w:val="18"/>
          <w:lang w:val="ru-RU"/>
        </w:rPr>
        <w:t xml:space="preserve">аудитории</w:t>
      </w:r>
    </w:p>
    <w:p>
      <w:pPr>
        <w:keepLines/>
        <w:spacing w:before="0" w:after="0" w:line="240" w:lineRule="auto"/>
        <w:jc w:val="left"/>
        <w:rPr>
          <w:rFonts w:ascii="Times New Roman" w:hAnsi="Times New Roman" w:cs="Times New Roman" w:eastAsia="Times New Roman"/>
          <w:sz w:val="28"/>
          <w:szCs w:val="28"/>
          <w:lang w:val="ru-RU"/>
        </w:rPr>
      </w:pPr>
      <w:r>
        <w:rPr>
          <w:rFonts w:ascii="Courier New" w:hAnsi="Courier New" w:cs="Courier New" w:eastAsia="Courier New"/>
          <w:color w:val="000000"/>
          <w:sz w:val="18"/>
          <w:szCs w:val="18"/>
          <w:lang w:val="ru-RU"/>
        </w:rPr>
        <w:t xml:space="preserve">   │             ┌──────┐</w:t>
      </w:r>
    </w:p>
    <w:p>
      <w:pPr>
        <w:keepLines/>
        <w:spacing w:before="0" w:after="0" w:line="240" w:lineRule="auto"/>
        <w:jc w:val="left"/>
        <w:rPr>
          <w:rFonts w:ascii="Times New Roman" w:hAnsi="Times New Roman" w:cs="Times New Roman" w:eastAsia="Times New Roman"/>
          <w:sz w:val="28"/>
          <w:szCs w:val="28"/>
          <w:lang w:val="ru-RU"/>
        </w:rPr>
      </w:pPr>
      <w:r>
        <w:rPr>
          <w:rFonts w:ascii="Courier New" w:hAnsi="Courier New" w:cs="Courier New" w:eastAsia="Courier New"/>
          <w:color w:val="000000"/>
          <w:sz w:val="18"/>
          <w:szCs w:val="18"/>
          <w:lang w:val="ru-RU"/>
        </w:rPr>
        <w:t xml:space="preserve">   │          ┌──┤      ├──┐</w:t>
      </w:r>
    </w:p>
    <w:p>
      <w:pPr>
        <w:keepLines/>
        <w:spacing w:before="0" w:after="0" w:line="240" w:lineRule="auto"/>
        <w:jc w:val="left"/>
        <w:rPr>
          <w:rFonts w:ascii="Times New Roman" w:hAnsi="Times New Roman" w:cs="Times New Roman" w:eastAsia="Times New Roman"/>
          <w:sz w:val="28"/>
          <w:szCs w:val="28"/>
          <w:lang w:val="ru-RU"/>
        </w:rPr>
      </w:pPr>
      <w:r>
        <w:rPr>
          <w:rFonts w:ascii="Courier New" w:hAnsi="Courier New" w:cs="Courier New" w:eastAsia="Courier New"/>
          <w:color w:val="000000"/>
          <w:sz w:val="18"/>
          <w:szCs w:val="18"/>
          <w:lang w:val="ru-RU"/>
        </w:rPr>
        <w:t xml:space="preserve">   │          │  │      │  │</w:t>
      </w:r>
    </w:p>
    <w:p>
      <w:pPr>
        <w:keepLines/>
        <w:spacing w:before="0" w:after="0" w:line="240" w:lineRule="auto"/>
        <w:jc w:val="left"/>
        <w:rPr>
          <w:rFonts w:ascii="Times New Roman" w:hAnsi="Times New Roman" w:cs="Times New Roman" w:eastAsia="Times New Roman"/>
          <w:sz w:val="28"/>
          <w:szCs w:val="28"/>
          <w:lang w:val="ru-RU"/>
        </w:rPr>
      </w:pPr>
      <w:r>
        <w:rPr>
          <w:rFonts w:ascii="Courier New" w:hAnsi="Courier New" w:cs="Courier New" w:eastAsia="Courier New"/>
          <w:color w:val="000000"/>
          <w:sz w:val="18"/>
          <w:szCs w:val="18"/>
          <w:lang w:val="ru-RU"/>
        </w:rPr>
        <w:t xml:space="preserve">   │       ┌──┤  │      │  ├──┐</w:t>
      </w:r>
    </w:p>
    <w:p>
      <w:pPr>
        <w:keepLines/>
        <w:spacing w:before="0" w:after="0" w:line="240" w:lineRule="auto"/>
        <w:jc w:val="left"/>
        <w:rPr>
          <w:rFonts w:ascii="Times New Roman" w:hAnsi="Times New Roman" w:cs="Times New Roman" w:eastAsia="Times New Roman"/>
          <w:sz w:val="28"/>
          <w:szCs w:val="28"/>
          <w:lang w:val="ru-RU"/>
        </w:rPr>
      </w:pPr>
      <w:r>
        <w:rPr>
          <w:rFonts w:ascii="Courier New" w:hAnsi="Courier New" w:cs="Courier New" w:eastAsia="Courier New"/>
          <w:color w:val="000000"/>
          <w:sz w:val="18"/>
          <w:szCs w:val="18"/>
          <w:lang w:val="ru-RU"/>
        </w:rPr>
        <w:t xml:space="preserve">   │  ┌────┤  │  │      │  │  │</w:t>
      </w:r>
    </w:p>
    <w:p>
      <w:pPr>
        <w:keepLines/>
        <w:spacing w:before="0" w:after="0" w:line="240" w:lineRule="auto"/>
        <w:jc w:val="left"/>
        <w:rPr>
          <w:rFonts w:ascii="Times New Roman" w:hAnsi="Times New Roman" w:cs="Times New Roman" w:eastAsia="Times New Roman"/>
          <w:sz w:val="28"/>
          <w:szCs w:val="28"/>
          <w:lang w:val="ru-RU"/>
        </w:rPr>
      </w:pPr>
      <w:r>
        <w:rPr>
          <w:rFonts w:ascii="Courier New" w:hAnsi="Courier New" w:cs="Courier New" w:eastAsia="Courier New"/>
          <w:color w:val="000000"/>
          <w:sz w:val="18"/>
          <w:szCs w:val="18"/>
          <w:lang w:val="ru-RU"/>
        </w:rPr>
        <w:t xml:space="preserve">   │  │    │  │  │      │  │  │</w:t>
      </w:r>
    </w:p>
    <w:p>
      <w:pPr>
        <w:keepLines/>
        <w:spacing w:before="0" w:after="0" w:line="240" w:lineRule="auto"/>
        <w:jc w:val="left"/>
        <w:rPr>
          <w:rFonts w:ascii="Times New Roman" w:hAnsi="Times New Roman" w:cs="Times New Roman" w:eastAsia="Times New Roman"/>
          <w:sz w:val="28"/>
          <w:szCs w:val="28"/>
          <w:lang w:val="ru-RU"/>
        </w:rPr>
      </w:pPr>
      <w:r>
        <w:rPr>
          <w:rFonts w:ascii="Courier New" w:hAnsi="Courier New" w:cs="Courier New" w:eastAsia="Courier New"/>
          <w:color w:val="000000"/>
          <w:sz w:val="18"/>
          <w:szCs w:val="18"/>
          <w:lang w:val="ru-RU"/>
        </w:rPr>
        <w:t xml:space="preserve">   └──┴────┴──┴──┴──────┴──┴──┴────► время</w:t>
      </w:r>
    </w:p>
    <w:p>
      <w:pPr>
        <w:keepLines/>
        <w:spacing w:before="0" w:after="0" w:line="240" w:lineRule="auto"/>
        <w:jc w:val="left"/>
        <w:rPr>
          <w:rFonts w:ascii="Times New Roman" w:hAnsi="Times New Roman" w:cs="Times New Roman" w:eastAsia="Times New Roman"/>
          <w:sz w:val="28"/>
          <w:szCs w:val="28"/>
          <w:lang w:val="ru-RU"/>
        </w:rPr>
      </w:pPr>
      <w:r>
        <w:rPr>
          <w:rFonts w:ascii="Courier New" w:hAnsi="Courier New" w:cs="Courier New" w:eastAsia="Courier New"/>
          <w:color w:val="000000"/>
          <w:sz w:val="18"/>
          <w:szCs w:val="18"/>
          <w:lang w:val="ru-RU"/>
        </w:rPr>
        <w:t xml:space="preserve">   Новаторы Ранние   Раннее   Позднее  Консерваторы</w:t>
      </w:r>
    </w:p>
    <w:p>
      <w:pPr>
        <w:keepLines/>
        <w:spacing w:before="0" w:after="0" w:line="240" w:lineRule="auto"/>
        <w:jc w:val="left"/>
        <w:rPr>
          <w:rFonts w:ascii="Times New Roman" w:hAnsi="Times New Roman" w:cs="Times New Roman" w:eastAsia="Times New Roman"/>
          <w:sz w:val="28"/>
          <w:szCs w:val="28"/>
          <w:lang w:val="ru-RU"/>
        </w:rPr>
      </w:pPr>
      <w:r>
        <w:rPr>
          <w:rFonts w:ascii="Courier New" w:hAnsi="Courier New" w:cs="Courier New" w:eastAsia="Courier New"/>
          <w:color w:val="000000"/>
          <w:sz w:val="18"/>
          <w:szCs w:val="18"/>
          <w:lang w:val="ru-RU"/>
        </w:rPr>
        <w:t xml:space="preserve">   2,5%     последо- большин- большин- 16%</w:t>
      </w:r>
    </w:p>
    <w:p>
      <w:pPr>
        <w:keepLines/>
        <w:spacing w:before="0" w:after="0" w:line="240" w:lineRule="auto"/>
        <w:jc w:val="left"/>
        <w:rPr>
          <w:rFonts w:ascii="Times New Roman" w:hAnsi="Times New Roman" w:cs="Times New Roman" w:eastAsia="Times New Roman"/>
          <w:sz w:val="28"/>
          <w:szCs w:val="28"/>
          <w:lang w:val="ru-RU"/>
        </w:rPr>
      </w:pPr>
      <w:r>
        <w:rPr>
          <w:rFonts w:ascii="Courier New" w:hAnsi="Courier New" w:cs="Courier New" w:eastAsia="Courier New"/>
          <w:color w:val="000000"/>
          <w:sz w:val="18"/>
          <w:szCs w:val="18"/>
          <w:lang w:val="ru-RU"/>
        </w:rPr>
        <w:t xml:space="preserve">            ватели   ство     ство</w:t>
      </w:r>
    </w:p>
    <w:p>
      <w:pPr>
        <w:keepLines/>
        <w:spacing w:before="0" w:after="0" w:line="240" w:lineRule="auto"/>
        <w:jc w:val="left"/>
        <w:rPr>
          <w:rFonts w:ascii="Times New Roman" w:hAnsi="Times New Roman" w:cs="Times New Roman" w:eastAsia="Times New Roman"/>
          <w:sz w:val="28"/>
          <w:szCs w:val="28"/>
          <w:lang w:val="ru-RU"/>
        </w:rPr>
      </w:pPr>
      <w:r>
        <w:rPr>
          <w:rFonts w:ascii="Courier New" w:hAnsi="Courier New" w:cs="Courier New" w:eastAsia="Courier New"/>
          <w:color w:val="000000"/>
          <w:sz w:val="18"/>
          <w:szCs w:val="18"/>
          <w:lang w:val="ru-RU"/>
        </w:rPr>
        <w:t xml:space="preserve">            13,5%    34%      34%</w:t>
      </w:r>
    </w:p>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по данным [14, с. 156]</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Рис. 1.1.2. Модель диффузии инноваций Э. Роджерса</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Для технологических продуктов это означает, что в фазе вывода целесообразно ориентироваться на новаторов и ранних последователей и через них собирать первичные доказательства надёжности для более консервативных сегментов [18, с. 6; 19, с. 5].</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Жизненный цикл инновационного продукта включает разработку, внедрение, рост, зрелость и спад. От традиционной модели его отличают короткая стадия зрелости и высокая динамика смены технологических поколений, что требует постоянных инвестиций в исследования и разработки [12, с. 201; 14, с. 178]. На этапе внедрения главная нагрузка ложится на информационные и образовательные коммуникации — без них даже технологически состоятельный продукт не доходит до массовой аудитории [20, с. 11]. Графическое представление этапов жизненного цикла инновационного продукта дано на рисунке 1.1.3.</w:t>
      </w:r>
    </w:p>
    <w:p>
      <w:pPr>
        <w:keepLines/>
        <w:spacing w:before="0" w:after="0" w:line="240" w:lineRule="auto"/>
        <w:jc w:val="left"/>
        <w:rPr>
          <w:rFonts w:ascii="Times New Roman" w:hAnsi="Times New Roman" w:cs="Times New Roman" w:eastAsia="Times New Roman"/>
          <w:sz w:val="28"/>
          <w:szCs w:val="28"/>
          <w:lang w:val="ru-RU"/>
        </w:rPr>
      </w:pPr>
      <w:r>
        <w:rPr>
          <w:rFonts w:ascii="Courier New" w:hAnsi="Courier New" w:cs="Courier New" w:eastAsia="Courier New"/>
          <w:color w:val="000000"/>
          <w:sz w:val="18"/>
          <w:szCs w:val="18"/>
          <w:lang w:val="ru-RU"/>
        </w:rPr>
        <w:t xml:space="preserve"> Объём</w:t>
      </w:r>
    </w:p>
    <w:p>
      <w:pPr>
        <w:keepLines/>
        <w:spacing w:before="0" w:after="0" w:line="240" w:lineRule="auto"/>
        <w:jc w:val="left"/>
        <w:rPr>
          <w:rFonts w:ascii="Times New Roman" w:hAnsi="Times New Roman" w:cs="Times New Roman" w:eastAsia="Times New Roman"/>
          <w:sz w:val="28"/>
          <w:szCs w:val="28"/>
          <w:lang w:val="ru-RU"/>
        </w:rPr>
      </w:pPr>
      <w:r>
        <w:rPr>
          <w:rFonts w:ascii="Courier New" w:hAnsi="Courier New" w:cs="Courier New" w:eastAsia="Courier New"/>
          <w:color w:val="000000"/>
          <w:sz w:val="18"/>
          <w:szCs w:val="18"/>
          <w:lang w:val="ru-RU"/>
        </w:rPr>
        <w:t xml:space="preserve"> продаж │</w:t>
      </w:r>
    </w:p>
    <w:p>
      <w:pPr>
        <w:keepLines/>
        <w:spacing w:before="0" w:after="0" w:line="240" w:lineRule="auto"/>
        <w:jc w:val="left"/>
        <w:rPr>
          <w:rFonts w:ascii="Times New Roman" w:hAnsi="Times New Roman" w:cs="Times New Roman" w:eastAsia="Times New Roman"/>
          <w:sz w:val="28"/>
          <w:szCs w:val="28"/>
          <w:lang w:val="ru-RU"/>
        </w:rPr>
      </w:pPr>
      <w:r>
        <w:rPr>
          <w:rFonts w:ascii="Courier New" w:hAnsi="Courier New" w:cs="Courier New" w:eastAsia="Courier New"/>
          <w:color w:val="000000"/>
          <w:sz w:val="18"/>
          <w:szCs w:val="18"/>
          <w:lang w:val="ru-RU"/>
        </w:rPr>
        <w:t xml:space="preserve">        │                          ┌────────┐</w:t>
      </w:r>
    </w:p>
    <w:p>
      <w:pPr>
        <w:keepLines/>
        <w:spacing w:before="0" w:after="0" w:line="240" w:lineRule="auto"/>
        <w:jc w:val="left"/>
        <w:rPr>
          <w:rFonts w:ascii="Times New Roman" w:hAnsi="Times New Roman" w:cs="Times New Roman" w:eastAsia="Times New Roman"/>
          <w:sz w:val="28"/>
          <w:szCs w:val="28"/>
          <w:lang w:val="ru-RU"/>
        </w:rPr>
      </w:pPr>
      <w:r>
        <w:rPr>
          <w:rFonts w:ascii="Courier New" w:hAnsi="Courier New" w:cs="Courier New" w:eastAsia="Courier New"/>
          <w:color w:val="000000"/>
          <w:sz w:val="18"/>
          <w:szCs w:val="18"/>
          <w:lang w:val="ru-RU"/>
        </w:rPr>
        <w:t xml:space="preserve">        │                     ┌────┤Зрелость├────┐</w:t>
      </w:r>
    </w:p>
    <w:p>
      <w:pPr>
        <w:keepLines/>
        <w:spacing w:before="0" w:after="0" w:line="240" w:lineRule="auto"/>
        <w:jc w:val="left"/>
        <w:rPr>
          <w:rFonts w:ascii="Times New Roman" w:hAnsi="Times New Roman" w:cs="Times New Roman" w:eastAsia="Times New Roman"/>
          <w:sz w:val="28"/>
          <w:szCs w:val="28"/>
          <w:lang w:val="ru-RU"/>
        </w:rPr>
      </w:pPr>
      <w:r>
        <w:rPr>
          <w:rFonts w:ascii="Courier New" w:hAnsi="Courier New" w:cs="Courier New" w:eastAsia="Courier New"/>
          <w:color w:val="000000"/>
          <w:sz w:val="18"/>
          <w:szCs w:val="18"/>
          <w:lang w:val="ru-RU"/>
        </w:rPr>
        <w:t xml:space="preserve">        │                ┌────┤    └────────┘    ├────┐</w:t>
      </w:r>
    </w:p>
    <w:p>
      <w:pPr>
        <w:keepLines/>
        <w:spacing w:before="0" w:after="0" w:line="240" w:lineRule="auto"/>
        <w:jc w:val="left"/>
        <w:rPr>
          <w:rFonts w:ascii="Times New Roman" w:hAnsi="Times New Roman" w:cs="Times New Roman" w:eastAsia="Times New Roman"/>
          <w:sz w:val="28"/>
          <w:szCs w:val="28"/>
          <w:lang w:val="ru-RU"/>
        </w:rPr>
      </w:pPr>
      <w:r>
        <w:rPr>
          <w:rFonts w:ascii="Courier New" w:hAnsi="Courier New" w:cs="Courier New" w:eastAsia="Courier New"/>
          <w:color w:val="000000"/>
          <w:sz w:val="18"/>
          <w:szCs w:val="18"/>
          <w:lang w:val="ru-RU"/>
        </w:rPr>
        <w:t xml:space="preserve">        │           ┌────┤     Рост                   │ Спад</w:t>
      </w:r>
    </w:p>
    <w:p>
      <w:pPr>
        <w:keepLines/>
        <w:spacing w:before="0" w:after="0" w:line="240" w:lineRule="auto"/>
        <w:jc w:val="left"/>
        <w:rPr>
          <w:rFonts w:ascii="Times New Roman" w:hAnsi="Times New Roman" w:cs="Times New Roman" w:eastAsia="Times New Roman"/>
          <w:sz w:val="28"/>
          <w:szCs w:val="28"/>
          <w:lang w:val="ru-RU"/>
        </w:rPr>
      </w:pPr>
      <w:r>
        <w:rPr>
          <w:rFonts w:ascii="Courier New" w:hAnsi="Courier New" w:cs="Courier New" w:eastAsia="Courier New"/>
          <w:color w:val="000000"/>
          <w:sz w:val="18"/>
          <w:szCs w:val="18"/>
          <w:lang w:val="ru-RU"/>
        </w:rPr>
        <w:t xml:space="preserve">        │      ┌────┤                                 ├────┐</w:t>
      </w:r>
    </w:p>
    <w:p>
      <w:pPr>
        <w:keepLines/>
        <w:spacing w:before="0" w:after="0" w:line="240" w:lineRule="auto"/>
        <w:jc w:val="left"/>
        <w:rPr>
          <w:rFonts w:ascii="Times New Roman" w:hAnsi="Times New Roman" w:cs="Times New Roman" w:eastAsia="Times New Roman"/>
          <w:sz w:val="28"/>
          <w:szCs w:val="28"/>
          <w:lang w:val="ru-RU"/>
        </w:rPr>
      </w:pPr>
      <w:r>
        <w:rPr>
          <w:rFonts w:ascii="Courier New" w:hAnsi="Courier New" w:cs="Courier New" w:eastAsia="Courier New"/>
          <w:color w:val="000000"/>
          <w:sz w:val="18"/>
          <w:szCs w:val="18"/>
          <w:lang w:val="ru-RU"/>
        </w:rPr>
        <w:t xml:space="preserve">        │ ┌────┤ Внедрение                            │    │</w:t>
      </w:r>
    </w:p>
    <w:p>
      <w:pPr>
        <w:keepLines/>
        <w:spacing w:before="0" w:after="0" w:line="240" w:lineRule="auto"/>
        <w:jc w:val="left"/>
        <w:rPr>
          <w:rFonts w:ascii="Times New Roman" w:hAnsi="Times New Roman" w:cs="Times New Roman" w:eastAsia="Times New Roman"/>
          <w:sz w:val="28"/>
          <w:szCs w:val="28"/>
          <w:lang w:val="ru-RU"/>
        </w:rPr>
      </w:pPr>
      <w:r>
        <w:rPr>
          <w:rFonts w:ascii="Courier New" w:hAnsi="Courier New" w:cs="Courier New" w:eastAsia="Courier New"/>
          <w:color w:val="000000"/>
          <w:sz w:val="18"/>
          <w:szCs w:val="18"/>
          <w:lang w:val="ru-RU"/>
        </w:rPr>
        <w:t xml:space="preserve">        │ │    │                                      │    │</w:t>
      </w:r>
    </w:p>
    <w:p>
      <w:pPr>
        <w:keepLines/>
        <w:spacing w:before="0" w:after="0" w:line="240" w:lineRule="auto"/>
        <w:jc w:val="left"/>
        <w:rPr>
          <w:rFonts w:ascii="Times New Roman" w:hAnsi="Times New Roman" w:cs="Times New Roman" w:eastAsia="Times New Roman"/>
          <w:sz w:val="28"/>
          <w:szCs w:val="28"/>
          <w:lang w:val="ru-RU"/>
        </w:rPr>
      </w:pPr>
      <w:r>
        <w:rPr>
          <w:rFonts w:ascii="Courier New" w:hAnsi="Courier New" w:cs="Courier New" w:eastAsia="Courier New"/>
          <w:color w:val="000000"/>
          <w:sz w:val="18"/>
          <w:szCs w:val="18"/>
          <w:lang w:val="ru-RU"/>
        </w:rPr>
        <w:t xml:space="preserve">   ─────┼─┴────┴──────────────────────────────────────┴────┴───▶ Время</w:t>
      </w:r>
    </w:p>
    <w:p>
      <w:pPr>
        <w:keepLines/>
        <w:spacing w:before="0" w:after="0" w:line="240" w:lineRule="auto"/>
        <w:jc w:val="left"/>
        <w:rPr>
          <w:rFonts w:ascii="Times New Roman" w:hAnsi="Times New Roman" w:cs="Times New Roman" w:eastAsia="Times New Roman"/>
          <w:sz w:val="28"/>
          <w:szCs w:val="28"/>
          <w:lang w:val="ru-RU"/>
        </w:rPr>
      </w:pPr>
      <w:r>
        <w:rPr>
          <w:rFonts w:ascii="Courier New" w:hAnsi="Courier New" w:cs="Courier New" w:eastAsia="Courier New"/>
          <w:color w:val="000000"/>
          <w:sz w:val="18"/>
          <w:szCs w:val="18"/>
          <w:lang w:val="ru-RU"/>
        </w:rPr>
        <w:t xml:space="preserve">        │  Разработка</w:t>
      </w:r>
    </w:p>
    <w:p>
      <w:pPr>
        <w:keepLines/>
        <w:spacing w:before="0" w:after="0" w:line="240" w:lineRule="auto"/>
        <w:jc w:val="left"/>
        <w:rPr>
          <w:rFonts w:ascii="Times New Roman" w:hAnsi="Times New Roman" w:cs="Times New Roman" w:eastAsia="Times New Roman"/>
          <w:sz w:val="28"/>
          <w:szCs w:val="28"/>
          <w:lang w:val="ru-RU"/>
        </w:rPr>
      </w:pPr>
      <w:r>
        <w:rPr>
          <w:rFonts w:ascii="Courier New" w:hAnsi="Courier New" w:cs="Courier New" w:eastAsia="Courier New"/>
          <w:color w:val="000000"/>
          <w:sz w:val="18"/>
          <w:szCs w:val="18"/>
          <w:lang w:val="ru-RU"/>
        </w:rPr>
        <w:t xml:space="preserve">        │</w:t>
      </w:r>
    </w:p>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по данным [12, с. 201; 14, с. 178]</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Рис. 1.1.3. Жизненный цикл инновационного продукта</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На этапе внедрения особое значение приобретают информационные и образовательные коммуникации, демонстрация преимуществ продукта, работа с возражениями и стимулирование пробного использования. Продвижение инновационного продукта должно начинаться ещё до его массового распространения и сопровождать все этапы жизненного цикла [12, с. 204; 20, с. 11].</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Цифровые инновационные продукты выделяются в особую категорию: они виртуальны по своей природе, распространяются через цифровые каналы, зависят от технологической инфраструктуры и быстро устаревают [6, с. 14]. Внутри этой категории отдельным подклассом стоят банковские цифровые инновации — мобильный банкинг, бесконтактные платежи, удалённое открытие счёта, биометрическая идентификация. Все они работают с чувствительными персональными и финансовыми данными, поэтому к ним предъявляются повышенные требования к защите информации, нормативно-правовому соответствию и доверию пользователей [16, с. 38; 23, с. 91; 24, с. 105].</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Биометрические системы — крайний случай в этом подклассе. Они обладают сразу четырьмя признаками, выводящими их в категорию высокотехнологичных инновационных продуктов повышенного риска:</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а) высокая технологическая сложность — компьютерное зрение, искусственный интеллект, криптографическая защита биометрических векторов [15, с. 30];</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б) работа с особо чувствительными персональными данными — биометрическими векторами лица или голоса, отнесёнными законодательством к специальной категории [23, с. 92];</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в) жёсткий нормативно-правовой контур — Федеральный закон от 29.12.2022 № 572-ФЗ, обязательная аккредитация Минцифры России, сертификация ФСБ и ФСТЭК, ответственность за неправомерное обращение с биометрическими данными вплоть до уголовной [23, с. 93–95];</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г) значительная доля психологических барьеров в восприятии — прежде всего страх утечки данных, несанкционированного использования биометрии и невозможности отозвать сданный биометрический образец [16, с. 41; 25, с. 112].</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Сочетание этих факторов делает невозможным продвижение биометрического продукта стандартными для банковской рекламы инструментами: одного информирования и стимулирования спроса недостаточно. Требуется особая стратегия продвижения, в которой обычные функции маркетинга — рассказать, привлечь, продать — дополняются образовательной составляющей, систематической работой с возражениями, демонстрацией мер защиты данных и подтверждением правовой корректности технологии [16, с. 47; 24, с. 108; 25, с. 119]. Именно это и составляет предмет дальнейшего изложения: в параграфе 1.2 рассматриваются базовые маркетинговые стратегии продвижения инновационных продуктов и определяется, какие из них применимы к высокотехнологичным цифровым решениям, а в параграфе 1.3 эти стратегии адаптируются к специфике биометрических технологий в банковском секторе с учётом нормативной среды, психологических барьеров и архитектуры пользовательского доверия.</w:t>
      </w:r>
    </w:p>
    <w:p>
      <w:pPr>
        <w:keepNext/>
        <w:keepLines/>
        <w:spacing w:before="240" w:after="120" w:line="36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8"/>
          <w:szCs w:val="28"/>
          <w:lang w:val="ru-RU"/>
        </w:rPr>
        <w:t xml:space="preserve">1.2. МАРКЕТИНГОВЫЕ СТРАТЕГИИ ПРОДВИЖЕНИЯ</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Стратегия продвижения инновационного продукта представляет собой комплексный план маркетинговых коммуникаций, направленный на информирование целевой аудитории о новом продукте, формирование потребительского интереса, стимулирование пробных покупок и обеспечение долгосрочной лояльности клиентов [18, с. 4; 19, с. 3]. В отличие от традиционных товаров, продвижение инноваций требует преодоления психологических барьеров потребителей, связанных с недостаточной осведомлённостью о новых технологиях, опасениями относительно надёжности инновационных решений и инерцией потребительского поведения [22, с. 49; 20, с. 7].</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Теория диффузии инноваций Э. Роджерса позволяет учитывать различия в готовности потребителей к принятию новых продуктов [14, с. 156]. В рамках стратегии продвижения это означает необходимость адаптации маркетинговых сообщений и каналов коммуникации под разные группы аудитории.</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Особенность продвижения инновационных продуктов заключается в том, что компания сталкивается не только с задачей информирования потребителей, но и с необходимостью преодоления неопределённости, низкой осведомлённости рынка и недоверия к новому решению [20, с. 8; 19, с. 5]. В учебных материалах по экономике инноваций отмечается, что при продвижении инноваций компании могут сталкиваться с рядом проблем [12, с. 178–181]:</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а) отсутствие сформированного рынка сбыта;</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б) низкая осведомлённость покупателей;</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в) ограниченное количество первых потребителей;</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г) необходимость использования образовательных форм коммуникации, включая демонстрации продукта и разъяснение его преимуществ.</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Это особенно важно для технологических продуктов, ценность которых не всегда очевидна потребителю на этапе первого знакомства [20, с. 9].</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Разработка стратегии продвижения нового продукта должна начинаться с анализа рынка и конкурентной среды [5, с. 67; 10, с. 142]. Такой анализ позволяет определить ёмкость рынка, тенденции его развития, целевые сегменты, потребительские предпочтения, сильные и слабые стороны конкурентов, а также уникальное ценностное предложение продукта. Без предварительного анализа целевой аудитории и конкурентного окружения продвижение инновационного продукта может оказаться неэффективным, поскольку маркетинговые сообщения не будут соответствовать реальным ожиданиям потребителей [5, с. 71].</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Разработка стратегии продвижения нового продукта осуществляется поэтапно. Этапный подход позволяет снизить риски вывода продукта на рынок, учитывать особенности восприятия инновации потребителями и своевременно корректировать маркетинговые мероприятия [18, с. 5; 10, с. 156]. Основные этапы представлены в таблице 1.2.1.</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1.2.1</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Этапы разработки стратегии продвижения нового продукта</w:t>
      </w:r>
    </w:p>
    <w:tbl>
      <w:tblPr>
        <w:tblW w:w="9637"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614"/>
        <w:gridCol w:w="6023"/>
      </w:tblGrid>
      <w:tr>
        <w:trPr>
          <w:tblHeader/>
          <w:cantSplit/>
        </w:trPr>
        <w:tc>
          <w:tcPr>
            <w:tcW w:w="3614"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Этап разработки стратегии</w:t>
            </w:r>
          </w:p>
        </w:tc>
        <w:tc>
          <w:tcPr>
            <w:tcW w:w="6023"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Содержание</w:t>
            </w:r>
          </w:p>
        </w:tc>
      </w:tr>
      <w:tr>
        <w:trPr>
          <w:cantSplit/>
        </w:trPr>
        <w:tc>
          <w:tcPr>
            <w:tcW w:w="361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Анализ рынка и конкурентов</w:t>
            </w:r>
          </w:p>
        </w:tc>
        <w:tc>
          <w:tcPr>
            <w:tcW w:w="602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Изучение ёмкости рынка, тенденций, конкурентов и потребностей клиентов</w:t>
            </w:r>
          </w:p>
        </w:tc>
      </w:tr>
      <w:tr>
        <w:trPr>
          <w:cantSplit/>
        </w:trPr>
        <w:tc>
          <w:tcPr>
            <w:tcW w:w="361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Определение целевой аудитории</w:t>
            </w:r>
          </w:p>
        </w:tc>
        <w:tc>
          <w:tcPr>
            <w:tcW w:w="602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Выбор сегментов, для которых продукт представляет наибольшую ценность</w:t>
            </w:r>
          </w:p>
        </w:tc>
      </w:tr>
      <w:tr>
        <w:trPr>
          <w:cantSplit/>
        </w:trPr>
        <w:tc>
          <w:tcPr>
            <w:tcW w:w="361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Формирование ценностного предложения</w:t>
            </w:r>
          </w:p>
        </w:tc>
        <w:tc>
          <w:tcPr>
            <w:tcW w:w="602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Объяснение, какую проблему решает продукт и чем он отличается от альтернатив</w:t>
            </w:r>
          </w:p>
        </w:tc>
      </w:tr>
      <w:tr>
        <w:trPr>
          <w:cantSplit/>
        </w:trPr>
        <w:tc>
          <w:tcPr>
            <w:tcW w:w="361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Выбор каналов продвижения</w:t>
            </w:r>
          </w:p>
        </w:tc>
        <w:tc>
          <w:tcPr>
            <w:tcW w:w="602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Определение наиболее эффективных коммуникационных каналов</w:t>
            </w:r>
          </w:p>
        </w:tc>
      </w:tr>
      <w:tr>
        <w:trPr>
          <w:cantSplit/>
        </w:trPr>
        <w:tc>
          <w:tcPr>
            <w:tcW w:w="361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Тестирование коммуникаций</w:t>
            </w:r>
          </w:p>
        </w:tc>
        <w:tc>
          <w:tcPr>
            <w:tcW w:w="602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Проверка рекламных сообщений и креативов на целевой аудитории</w:t>
            </w:r>
          </w:p>
        </w:tc>
      </w:tr>
      <w:tr>
        <w:trPr>
          <w:cantSplit/>
        </w:trPr>
        <w:tc>
          <w:tcPr>
            <w:tcW w:w="361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Оценка результатов</w:t>
            </w:r>
          </w:p>
        </w:tc>
        <w:tc>
          <w:tcPr>
            <w:tcW w:w="602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Анализ эффективности продвижения и корректировка стратегии</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по данным [18, с. 5; 8, с. 412; 10, с. 156]</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Стратегия продвижения нового продукта рассматривается как последовательный управленческий процесс, который включает анализ, планирование, реализацию, оценку и корректировку маркетинговых действий [8, с. 412].</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Стратегические подходы к продвижению инновационных товаров и услуг включают стратегию проталкивания, ориентированную на работу с посредниками и партнёрами для обеспечения широкой доступности продукта в каналах распределения, и стратегию вытягивания, направленную на прямое воздействие на конечных потребителей с целью формирования спроса и создания рыночного давления на посредников [8, с. 567; 10, с. 198]. В контексте инновационных продуктов наиболее эффективной является интегрированная стратегия, сочетающая элементы обоих подходов и обеспечивающая синергетический эффект от одновременного воздействия на различные уровни распределительной цепи [18, с. 7; 19, с. 7]. Такие решения могут продвигаться одновременно для разных групп потребителей: внутренних пользователей организации, корпоративных клиентов, партнёрских компаний и конечных пользователей цифровых сервисов. Основные стратегии продвижения инновационного продукта представлены в таблице 1.2.2.</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1.2.2</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Основные стратегии продвижения инновационного продукта</w:t>
      </w:r>
    </w:p>
    <w:tbl>
      <w:tblPr>
        <w:tblW w:w="9637"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927"/>
        <w:gridCol w:w="3855"/>
        <w:gridCol w:w="3855"/>
      </w:tblGrid>
      <w:tr>
        <w:trPr>
          <w:tblHeader/>
          <w:cantSplit/>
        </w:trPr>
        <w:tc>
          <w:tcPr>
            <w:tcW w:w="1927"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Стратегия</w:t>
            </w:r>
          </w:p>
        </w:tc>
        <w:tc>
          <w:tcPr>
            <w:tcW w:w="3855"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Содержание</w:t>
            </w:r>
          </w:p>
        </w:tc>
        <w:tc>
          <w:tcPr>
            <w:tcW w:w="3855"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Значение для инновационного продукта</w:t>
            </w:r>
          </w:p>
        </w:tc>
      </w:tr>
      <w:tr>
        <w:trPr>
          <w:cantSplit/>
        </w:trPr>
        <w:tc>
          <w:tcPr>
            <w:tcW w:w="192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Стратегия проталкивания</w:t>
            </w:r>
          </w:p>
        </w:tc>
        <w:tc>
          <w:tcPr>
            <w:tcW w:w="385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Продвижение через партнёров</w:t>
            </w:r>
          </w:p>
        </w:tc>
        <w:tc>
          <w:tcPr>
            <w:tcW w:w="385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Позволяет внедрять продукт через существующие каналы взаимодействия</w:t>
            </w:r>
          </w:p>
        </w:tc>
      </w:tr>
      <w:tr>
        <w:trPr>
          <w:cantSplit/>
        </w:trPr>
        <w:tc>
          <w:tcPr>
            <w:tcW w:w="192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Стратегия вытягивания</w:t>
            </w:r>
          </w:p>
        </w:tc>
        <w:tc>
          <w:tcPr>
            <w:tcW w:w="385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Формирование спроса у конечных потребителей</w:t>
            </w:r>
          </w:p>
        </w:tc>
        <w:tc>
          <w:tcPr>
            <w:tcW w:w="385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Повышает осведомлённость и интерес к продукту</w:t>
            </w:r>
          </w:p>
        </w:tc>
      </w:tr>
      <w:tr>
        <w:trPr>
          <w:cantSplit/>
        </w:trPr>
        <w:tc>
          <w:tcPr>
            <w:tcW w:w="192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Интегрированная стратегия</w:t>
            </w:r>
          </w:p>
        </w:tc>
        <w:tc>
          <w:tcPr>
            <w:tcW w:w="385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Сочетание push- и pull-подходов</w:t>
            </w:r>
          </w:p>
        </w:tc>
        <w:tc>
          <w:tcPr>
            <w:tcW w:w="385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Подходит для сложных инновационных продуктов</w:t>
            </w:r>
          </w:p>
        </w:tc>
      </w:tr>
      <w:tr>
        <w:trPr>
          <w:cantSplit/>
        </w:trPr>
        <w:tc>
          <w:tcPr>
            <w:tcW w:w="192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Партнёрская стратегия</w:t>
            </w:r>
          </w:p>
        </w:tc>
        <w:tc>
          <w:tcPr>
            <w:tcW w:w="385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Продвижение через совместные проекты с другими организациями</w:t>
            </w:r>
          </w:p>
        </w:tc>
        <w:tc>
          <w:tcPr>
            <w:tcW w:w="385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Расширяет охват и повышает доверие к продукту</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по данным [18, с. 7; 8, с. 567; 10, с. 198; 19, с. 7]</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Для биометрических новых продуктов наиболее подходит интегрированная стратегия, потому что требуется работа как с организациями-заказчиками, так и с конечными пользователями [16, с. 48; 24, с. 106]. На примере Face2 это проявляется в том, что продуктовая линейка включает решения для контроля доступа, учёта рабочего времени, оплаты по лицу, подтверждения возраста, регистрации в гостинице, а также внедрения коммерческой биометрической системы для сторонних организаций [27]. Следовательно, продвижение такого продукта должно сочетать B2C, B2B и внутренние корпоративные коммуникации.</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Для цифровых инновационных продуктов, включая биометрические системы банков, особую актуальность приобретает стратегия прямого маркетинга, позволяющая установить непосредственную коммуникацию с потенциальными пользователями, собрать детальную обратную связь и персонализировать маркетинговые сообщения в соответствии с индивидуальными потребностями и предпочтениями целевых сегментов [6, с. 87; 8, с. 612].</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Одним из базовых инструментов разработки стратегии продвижения инновационного продукта является модель STP, которая включает сегментацию рынка, выбор целевых сегментов и позиционирование продукта [8, с. 314; 10, с. 175]. Данная модель позволяет определить, для каких групп потребителей продукт представляет наибольшую ценность, и сформировать для них соответствующее ценностное предложение. Структура модели STP показана на рисунке 1.2.1.</w:t>
      </w:r>
    </w:p>
    <w:p>
      <w:pPr>
        <w:keepLines/>
        <w:spacing w:before="0" w:after="0" w:line="240" w:lineRule="auto"/>
        <w:jc w:val="left"/>
        <w:rPr>
          <w:rFonts w:ascii="Times New Roman" w:hAnsi="Times New Roman" w:cs="Times New Roman" w:eastAsia="Times New Roman"/>
          <w:sz w:val="28"/>
          <w:szCs w:val="28"/>
          <w:lang w:val="ru-RU"/>
        </w:rPr>
      </w:pPr>
      <w:r>
        <w:rPr>
          <w:rFonts w:ascii="Courier New" w:hAnsi="Courier New" w:cs="Courier New" w:eastAsia="Courier New"/>
          <w:color w:val="000000"/>
          <w:sz w:val="18"/>
          <w:szCs w:val="18"/>
          <w:lang w:val="ru-RU"/>
        </w:rPr>
        <w:t xml:space="preserve">   ┌─────────────────┐    ┌─────────────────┐    ┌─────────────────┐</w:t>
      </w:r>
    </w:p>
    <w:p>
      <w:pPr>
        <w:keepLines/>
        <w:spacing w:before="0" w:after="0" w:line="240" w:lineRule="auto"/>
        <w:jc w:val="left"/>
        <w:rPr>
          <w:rFonts w:ascii="Times New Roman" w:hAnsi="Times New Roman" w:cs="Times New Roman" w:eastAsia="Times New Roman"/>
          <w:sz w:val="28"/>
          <w:szCs w:val="28"/>
          <w:lang w:val="ru-RU"/>
        </w:rPr>
      </w:pPr>
      <w:r>
        <w:rPr>
          <w:rFonts w:ascii="Courier New" w:hAnsi="Courier New" w:cs="Courier New" w:eastAsia="Courier New"/>
          <w:color w:val="000000"/>
          <w:sz w:val="18"/>
          <w:szCs w:val="18"/>
          <w:lang w:val="ru-RU"/>
        </w:rPr>
        <w:t xml:space="preserve">   │  Segmentation   │ ──▶│    Targeting    │ ──▶│  Positioning    │</w:t>
      </w:r>
    </w:p>
    <w:p>
      <w:pPr>
        <w:keepLines/>
        <w:spacing w:before="0" w:after="0" w:line="240" w:lineRule="auto"/>
        <w:jc w:val="left"/>
        <w:rPr>
          <w:rFonts w:ascii="Times New Roman" w:hAnsi="Times New Roman" w:cs="Times New Roman" w:eastAsia="Times New Roman"/>
          <w:sz w:val="28"/>
          <w:szCs w:val="28"/>
          <w:lang w:val="ru-RU"/>
        </w:rPr>
      </w:pPr>
      <w:r>
        <w:rPr>
          <w:rFonts w:ascii="Courier New" w:hAnsi="Courier New" w:cs="Courier New" w:eastAsia="Courier New"/>
          <w:color w:val="000000"/>
          <w:sz w:val="18"/>
          <w:szCs w:val="18"/>
          <w:lang w:val="ru-RU"/>
        </w:rPr>
        <w:t xml:space="preserve">   │  Сегментация    │    │  Выбор целевых  │    │ Позиционирование│</w:t>
      </w:r>
    </w:p>
    <w:p>
      <w:pPr>
        <w:keepLines/>
        <w:spacing w:before="0" w:after="0" w:line="240" w:lineRule="auto"/>
        <w:jc w:val="left"/>
        <w:rPr>
          <w:rFonts w:ascii="Times New Roman" w:hAnsi="Times New Roman" w:cs="Times New Roman" w:eastAsia="Times New Roman"/>
          <w:sz w:val="28"/>
          <w:szCs w:val="28"/>
          <w:lang w:val="ru-RU"/>
        </w:rPr>
      </w:pPr>
      <w:r>
        <w:rPr>
          <w:rFonts w:ascii="Courier New" w:hAnsi="Courier New" w:cs="Courier New" w:eastAsia="Courier New"/>
          <w:color w:val="000000"/>
          <w:sz w:val="18"/>
          <w:szCs w:val="18"/>
          <w:lang w:val="ru-RU"/>
        </w:rPr>
        <w:t xml:space="preserve">   │  рынка по       │    │  сегментов по   │    │ продукта в созна-│</w:t>
      </w:r>
    </w:p>
    <w:p>
      <w:pPr>
        <w:keepLines/>
        <w:spacing w:before="0" w:after="0" w:line="240" w:lineRule="auto"/>
        <w:jc w:val="left"/>
        <w:rPr>
          <w:rFonts w:ascii="Times New Roman" w:hAnsi="Times New Roman" w:cs="Times New Roman" w:eastAsia="Times New Roman"/>
          <w:sz w:val="28"/>
          <w:szCs w:val="28"/>
          <w:lang w:val="ru-RU"/>
        </w:rPr>
      </w:pPr>
      <w:r>
        <w:rPr>
          <w:rFonts w:ascii="Courier New" w:hAnsi="Courier New" w:cs="Courier New" w:eastAsia="Courier New"/>
          <w:color w:val="000000"/>
          <w:sz w:val="18"/>
          <w:szCs w:val="18"/>
          <w:lang w:val="ru-RU"/>
        </w:rPr>
        <w:t xml:space="preserve">   │  потребностям   │    │  привлекатель-  │    │ нии целевой ауди-│</w:t>
      </w:r>
    </w:p>
    <w:p>
      <w:pPr>
        <w:keepLines/>
        <w:spacing w:before="0" w:after="0" w:line="240" w:lineRule="auto"/>
        <w:jc w:val="left"/>
        <w:rPr>
          <w:rFonts w:ascii="Times New Roman" w:hAnsi="Times New Roman" w:cs="Times New Roman" w:eastAsia="Times New Roman"/>
          <w:sz w:val="28"/>
          <w:szCs w:val="28"/>
          <w:lang w:val="ru-RU"/>
        </w:rPr>
      </w:pPr>
      <w:r>
        <w:rPr>
          <w:rFonts w:ascii="Courier New" w:hAnsi="Courier New" w:cs="Courier New" w:eastAsia="Courier New"/>
          <w:color w:val="000000"/>
          <w:sz w:val="18"/>
          <w:szCs w:val="18"/>
          <w:lang w:val="ru-RU"/>
        </w:rPr>
        <w:t xml:space="preserve">   │  и поведению    │    │  ности и доступ-│    │ тории относитель-│</w:t>
      </w:r>
    </w:p>
    <w:p>
      <w:pPr>
        <w:keepLines/>
        <w:spacing w:before="0" w:after="0" w:line="240" w:lineRule="auto"/>
        <w:jc w:val="left"/>
        <w:rPr>
          <w:rFonts w:ascii="Times New Roman" w:hAnsi="Times New Roman" w:cs="Times New Roman" w:eastAsia="Times New Roman"/>
          <w:sz w:val="28"/>
          <w:szCs w:val="28"/>
          <w:lang w:val="ru-RU"/>
        </w:rPr>
      </w:pPr>
      <w:r>
        <w:rPr>
          <w:rFonts w:ascii="Courier New" w:hAnsi="Courier New" w:cs="Courier New" w:eastAsia="Courier New"/>
          <w:color w:val="000000"/>
          <w:sz w:val="18"/>
          <w:szCs w:val="18"/>
          <w:lang w:val="ru-RU"/>
        </w:rPr>
        <w:t xml:space="preserve">   │                 │    │  ности          │    │ но конкурентов   │</w:t>
      </w:r>
    </w:p>
    <w:p>
      <w:pPr>
        <w:keepLines/>
        <w:spacing w:before="0" w:after="0" w:line="240" w:lineRule="auto"/>
        <w:jc w:val="left"/>
        <w:rPr>
          <w:rFonts w:ascii="Times New Roman" w:hAnsi="Times New Roman" w:cs="Times New Roman" w:eastAsia="Times New Roman"/>
          <w:sz w:val="28"/>
          <w:szCs w:val="28"/>
          <w:lang w:val="ru-RU"/>
        </w:rPr>
      </w:pPr>
      <w:r>
        <w:rPr>
          <w:rFonts w:ascii="Courier New" w:hAnsi="Courier New" w:cs="Courier New" w:eastAsia="Courier New"/>
          <w:color w:val="000000"/>
          <w:sz w:val="18"/>
          <w:szCs w:val="18"/>
          <w:lang w:val="ru-RU"/>
        </w:rPr>
        <w:t xml:space="preserve">   └─────────────────┘    └─────────────────┘    └─────────────────┘</w:t>
      </w:r>
    </w:p>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по данным [8, с. 314; 10, с. 175]</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Рис. 1.2.1. Модель STP</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Логика STP делает продвижение инновационного продукта управляемым процессом: вместо обращения к рынку «в целом» компания работает только с теми сегментами, для которых ценностное предложение реально значимо, и формирует под каждый сегмент собственное позиционирование. Для биометрических банковских продуктов это особенно важно, поскольку аудитории и сценарии использования принципиально разные.</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Сегментация позволяет разделить потенциальных потребителей на группы в зависимости от их потребностей, поведения, уровня цифровой грамотности и готовности к использованию инновационных решений [5, с. 124]. Таргетинг предполагает выбор тех сегментов, для которых продукт представляет наибольшую ценность. Позиционирование, в свою очередь, определяет, какое место продукт должен занять в сознании целевой аудитории по сравнению с альтернативными решениями [8, с. 318].</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В случае биометрического продукта Face2 целевые аудитории различаются по характеру использования технологии. К ним относятся сотрудники банка, корпоративные клиенты, партнёрские организации, а также конечные пользователи цифровых сервисов [27]. Для каждой группы требуется разный акцент в продвижении:</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а) для сотрудников важны удобство и скорость работы;</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б) для корпоративных клиентов — безопасность и эффективность бизнес-процессов;</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в) для конечных пользователей — простота, надёжность и защита персональных данных.</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Позиционирование инновационного продукта определяет его восприятие целевой аудиторией относительно конкурирующих альтернатив и формирует основу коммуникационной стратегии [10, с. 188]. Эффективное позиционирование требует выявления уникальных конкурентных преимуществ, значимых для целевых потребителей, и формулирования чёткого ценностного предложения, отражающего функциональные и эмоциональные выгоды использования продукта [8, с. 327].</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Стратегии позиционирования продуктов нового поколения могут базироваться на технологическом превосходстве, которое подчёркивает передовой характер используемых решений, на функциональных преимуществах, демонстрирующих способность продукта лучше удовлетворять потребности пользователей, или на эмоциональной привлекательности, связанной с имиджевыми характеристиками бренда и социальным статусом потребителя [17, с. 42; 10, с. 192]. Для биометрических банковских продуктов ключевыми аспектами позиционирования являются безопасность, удобство использования и технологическая инновационность, создающие комплексное ценностное предложение для различных сегментов клиентов [16, с. 49; 24, с. 107].</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Для разработки стратегии продвижения инновационного продукта используется расширенная модель комплекса маркетинга 7P, включающая продукт, цену, каналы распространения, продвижение, персонал, процессы и материальные/цифровые доказательства надёжности [8, с. 354; 10, с. 215]. Данная модель особенно актуальна для цифровых и банковских продуктов, поскольку их ценность формируется не только функциональными характеристиками, но и качеством пользовательского опыта, уровнем доверия и прозрачностью процессов обслуживания [6, с. 92]. Описание модели представлено в таблице 1.2.3.</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1.2.3</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Расширенный комплекс маркетинга 7P применительно к инновационному продукту</w:t>
      </w:r>
    </w:p>
    <w:tbl>
      <w:tblPr>
        <w:tblW w:w="9637"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422"/>
        <w:gridCol w:w="3475"/>
        <w:gridCol w:w="4740"/>
      </w:tblGrid>
      <w:tr>
        <w:trPr>
          <w:tblHeader/>
          <w:cantSplit/>
        </w:trPr>
        <w:tc>
          <w:tcPr>
            <w:tcW w:w="1422"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Элемент 7P</w:t>
            </w:r>
          </w:p>
        </w:tc>
        <w:tc>
          <w:tcPr>
            <w:tcW w:w="3475"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Содержание</w:t>
            </w:r>
          </w:p>
        </w:tc>
        <w:tc>
          <w:tcPr>
            <w:tcW w:w="4740"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Значение для продвижения инновационного продукта</w:t>
            </w:r>
          </w:p>
        </w:tc>
      </w:tr>
      <w:tr>
        <w:trPr>
          <w:cantSplit/>
        </w:trPr>
        <w:tc>
          <w:tcPr>
            <w:tcW w:w="142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Product</w:t>
            </w:r>
          </w:p>
        </w:tc>
        <w:tc>
          <w:tcPr>
            <w:tcW w:w="347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Характеристики, функции и ценность продукта</w:t>
            </w:r>
          </w:p>
        </w:tc>
        <w:tc>
          <w:tcPr>
            <w:tcW w:w="474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Позволяет показать, какую проблему решает продукт и чем он отличается от существующих решений</w:t>
            </w:r>
          </w:p>
        </w:tc>
      </w:tr>
      <w:tr>
        <w:trPr>
          <w:cantSplit/>
        </w:trPr>
        <w:tc>
          <w:tcPr>
            <w:tcW w:w="142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Price</w:t>
            </w:r>
          </w:p>
        </w:tc>
        <w:tc>
          <w:tcPr>
            <w:tcW w:w="347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Стоимость использования или внедрения</w:t>
            </w:r>
          </w:p>
        </w:tc>
        <w:tc>
          <w:tcPr>
            <w:tcW w:w="474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Влияет на готовность потребителя попробовать продукт и оценить его выгоду</w:t>
            </w:r>
          </w:p>
        </w:tc>
      </w:tr>
      <w:tr>
        <w:trPr>
          <w:cantSplit/>
        </w:trPr>
        <w:tc>
          <w:tcPr>
            <w:tcW w:w="142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Place</w:t>
            </w:r>
          </w:p>
        </w:tc>
        <w:tc>
          <w:tcPr>
            <w:tcW w:w="347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Каналы распространения и доступность продукта</w:t>
            </w:r>
          </w:p>
        </w:tc>
        <w:tc>
          <w:tcPr>
            <w:tcW w:w="474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Определяет, через какие каналы продукт становится доступен целевой аудитории</w:t>
            </w:r>
          </w:p>
        </w:tc>
      </w:tr>
      <w:tr>
        <w:trPr>
          <w:cantSplit/>
        </w:trPr>
        <w:tc>
          <w:tcPr>
            <w:tcW w:w="142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Promotion</w:t>
            </w:r>
          </w:p>
        </w:tc>
        <w:tc>
          <w:tcPr>
            <w:tcW w:w="347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Инструменты продвижения и коммуникации</w:t>
            </w:r>
          </w:p>
        </w:tc>
        <w:tc>
          <w:tcPr>
            <w:tcW w:w="474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Формирует осведомлённость, интерес и доверие к новому продукту</w:t>
            </w:r>
          </w:p>
        </w:tc>
      </w:tr>
      <w:tr>
        <w:trPr>
          <w:cantSplit/>
        </w:trPr>
        <w:tc>
          <w:tcPr>
            <w:tcW w:w="142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People</w:t>
            </w:r>
          </w:p>
        </w:tc>
        <w:tc>
          <w:tcPr>
            <w:tcW w:w="347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Сотрудники и консультанты</w:t>
            </w:r>
          </w:p>
        </w:tc>
        <w:tc>
          <w:tcPr>
            <w:tcW w:w="474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Влияют на качество объяснения продукта и сопровождение пользователей</w:t>
            </w:r>
          </w:p>
        </w:tc>
      </w:tr>
      <w:tr>
        <w:trPr>
          <w:cantSplit/>
        </w:trPr>
        <w:tc>
          <w:tcPr>
            <w:tcW w:w="142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Process</w:t>
            </w:r>
          </w:p>
        </w:tc>
        <w:tc>
          <w:tcPr>
            <w:tcW w:w="347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Процесс использования продукта</w:t>
            </w:r>
          </w:p>
        </w:tc>
        <w:tc>
          <w:tcPr>
            <w:tcW w:w="474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Определяет удобство, простоту и скорость взаимодействия пользователя с продуктом</w:t>
            </w:r>
          </w:p>
        </w:tc>
      </w:tr>
      <w:tr>
        <w:trPr>
          <w:cantSplit/>
        </w:trPr>
        <w:tc>
          <w:tcPr>
            <w:tcW w:w="142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Physical evidence</w:t>
            </w:r>
          </w:p>
        </w:tc>
        <w:tc>
          <w:tcPr>
            <w:tcW w:w="347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Доказательства надёжности и качества</w:t>
            </w:r>
          </w:p>
        </w:tc>
        <w:tc>
          <w:tcPr>
            <w:tcW w:w="474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Помогают снизить недоверие к инновации через отзывы, кейсы, сертификаты, демонстрации</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по данным [8, с. 354; 10, с. 215]</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Модель 7P позволяет рассматривать продвижение инновационного продукта как комплексную систему, включающую не только коммуникационные мероприятия, но и качество самого продукта, удобство его использования, каналы доступа, сопровождение пользователей и доказательства надёжности. Для инновационных технологических продуктов особое значение имеют элементы People, Process и Physical evidence — именно они помогают снизить недоверие потребителей и сформировать положительный пользовательский опыт [16, с. 50; 24, с. 109].</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Коммуникационная стратегия продвижения инновационного продукта определяет выбор каналов коммуникации, формат маркетинговых сообщений, интенсивность коммуникационного воздействия и распределение бюджета между различными инструментами продвижения [8, с. 472; 9, с. 638].</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На начальном этапе вывода инновационного продукта на рынок приоритетными задачами коммуникации являются информирование целевой аудитории о существовании продукта, разъяснение функциональных возможностей и преимуществ, формирование базового понимания способов использования и снижение воспринимаемых рисков покупки [18, с. 6; 20, с. 10]. Информационная функция реализуется через образовательный контент, демонстрационные мероприятия, детальные описания продукта и экспертные материалы, помогающие потенциальным пользователям осознать ценность инновационного решения. По мере распространения продукта на рынке акцент коммуникационной стратегии смещается на формирование эмоциональной привязанности к бренду, стимулирование повторных использований и создание сообщества лояльных пользователей [8, с. 478].</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Продвижение инновационного продукта целесообразно рассматривать через маркетинговую воронку, отражающую последовательное движение потребителя от первичного знакомства с продуктом к его регулярному использованию [6, с. 64; 7, с. 64]. Для инновационных продуктов данная воронка должна включать не только этапы привлечения и покупки, но и этап формирования доверия, поскольку без снижения воспринимаемых рисков потребитель может отказаться от использования новой технологии [20, с. 11; 19, с. 6]. Описание маркетинговой воронки продвижения инновационного продукта представлено в таблице 1.2.4.</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1.2.4</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Маркетинговая воронка продвижения инновационного продукта</w:t>
      </w:r>
    </w:p>
    <w:tbl>
      <w:tblPr>
        <w:tblW w:w="9637"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065"/>
        <w:gridCol w:w="3442"/>
        <w:gridCol w:w="4130"/>
      </w:tblGrid>
      <w:tr>
        <w:trPr>
          <w:tblHeader/>
          <w:cantSplit/>
        </w:trPr>
        <w:tc>
          <w:tcPr>
            <w:tcW w:w="2065"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Этап воронки</w:t>
            </w:r>
          </w:p>
        </w:tc>
        <w:tc>
          <w:tcPr>
            <w:tcW w:w="3442"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Задача продвижения</w:t>
            </w:r>
          </w:p>
        </w:tc>
        <w:tc>
          <w:tcPr>
            <w:tcW w:w="4130"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Возможные инструменты</w:t>
            </w:r>
          </w:p>
        </w:tc>
      </w:tr>
      <w:tr>
        <w:trPr>
          <w:cantSplit/>
        </w:trPr>
        <w:tc>
          <w:tcPr>
            <w:tcW w:w="206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Осведомлённость</w:t>
            </w:r>
          </w:p>
        </w:tc>
        <w:tc>
          <w:tcPr>
            <w:tcW w:w="344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Сообщить о существовании продукта</w:t>
            </w:r>
          </w:p>
        </w:tc>
        <w:tc>
          <w:tcPr>
            <w:tcW w:w="413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PR, сайт, новости, социальные сети</w:t>
            </w:r>
          </w:p>
        </w:tc>
      </w:tr>
      <w:tr>
        <w:trPr>
          <w:cantSplit/>
        </w:trPr>
        <w:tc>
          <w:tcPr>
            <w:tcW w:w="206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Интерес</w:t>
            </w:r>
          </w:p>
        </w:tc>
        <w:tc>
          <w:tcPr>
            <w:tcW w:w="344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Объяснить назначение и преимущества</w:t>
            </w:r>
          </w:p>
        </w:tc>
        <w:tc>
          <w:tcPr>
            <w:tcW w:w="413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Видео, статьи, презентации, демонстрации</w:t>
            </w:r>
          </w:p>
        </w:tc>
      </w:tr>
      <w:tr>
        <w:trPr>
          <w:cantSplit/>
        </w:trPr>
        <w:tc>
          <w:tcPr>
            <w:tcW w:w="206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Доверие</w:t>
            </w:r>
          </w:p>
        </w:tc>
        <w:tc>
          <w:tcPr>
            <w:tcW w:w="344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Снизить опасения и риски</w:t>
            </w:r>
          </w:p>
        </w:tc>
        <w:tc>
          <w:tcPr>
            <w:tcW w:w="413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Экспертные комментарии, информация о безопасности, ответы на вопросы</w:t>
            </w:r>
          </w:p>
        </w:tc>
      </w:tr>
      <w:tr>
        <w:trPr>
          <w:cantSplit/>
        </w:trPr>
        <w:tc>
          <w:tcPr>
            <w:tcW w:w="206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Пробное использование</w:t>
            </w:r>
          </w:p>
        </w:tc>
        <w:tc>
          <w:tcPr>
            <w:tcW w:w="344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Побудить попробовать продукт</w:t>
            </w:r>
          </w:p>
        </w:tc>
        <w:tc>
          <w:tcPr>
            <w:tcW w:w="413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Пилотные проекты, демо-доступ, обучение</w:t>
            </w:r>
          </w:p>
        </w:tc>
      </w:tr>
      <w:tr>
        <w:trPr>
          <w:cantSplit/>
        </w:trPr>
        <w:tc>
          <w:tcPr>
            <w:tcW w:w="206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Принятие</w:t>
            </w:r>
          </w:p>
        </w:tc>
        <w:tc>
          <w:tcPr>
            <w:tcW w:w="344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Закрепить регулярное использование</w:t>
            </w:r>
          </w:p>
        </w:tc>
        <w:tc>
          <w:tcPr>
            <w:tcW w:w="413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Поддержка, инструкции, удобный пользовательский опыт</w:t>
            </w:r>
          </w:p>
        </w:tc>
      </w:tr>
      <w:tr>
        <w:trPr>
          <w:cantSplit/>
        </w:trPr>
        <w:tc>
          <w:tcPr>
            <w:tcW w:w="206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Лояльность</w:t>
            </w:r>
          </w:p>
        </w:tc>
        <w:tc>
          <w:tcPr>
            <w:tcW w:w="344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Сформировать положительное отношение и рекомендации</w:t>
            </w:r>
          </w:p>
        </w:tc>
        <w:tc>
          <w:tcPr>
            <w:tcW w:w="413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Отзывы, кейсы, программы вовлечения</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по данным [6, с. 64; 7, с. 64; 20, с. 11]</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Ключевое отличие воронки инновационного продукта от воронки традиционного товара — наличие отдельного этапа «Доверие» между интересом и пробным использованием. Без этого этапа потенциальный пользователь не переходит к практическому взаимодействию с технологией, поэтому именно на формирование доверия должна быть направлена основная часть коммуникационных усилий и бюджета на ранних стадиях вывода продукта на рынок.</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Цифровые каналы продвижения приобретают критическую важность для инновационных продуктов в силу способности обеспечить точное таргетирование целевой аудитории, оперативную обратную связь от пользователей, возможность персонализации маркетинговых сообщений и эффективное измерение результатов коммуникационных кампаний [6, с. 78; 7, с. 78].</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Интернет-маркетинг инновационных продуктов включает поисковую оптимизацию, обеспечивающую высокую видимость информации о продукте в результатах поиска по релевантным запросам, контекстную рекламу, позволяющую привлечь внимание пользователей, активно ищущих решения определённых проблем, и контент-маркетинг, направленный на создание ценных информационных материалов, демонстрирующих экспертизу компании и формирующих доверие целевой аудитории [6, с. 102; 7, с. 102].</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Социальные медиа представляют особенно эффективный канал продвижения инновационных продуктов благодаря возможности вирусного распространения информации, организации дискуссий с участием потенциальных и существующих пользователей, работы с лидерами мнений и создания сообществ вокруг бренда или продукта [6, с. 134; 7, с. 134]. Каналы продвижения инновационного продукта представлены в таблице 1.2.5.</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1.2.5</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Каналы продвижения инновационного продукта</w:t>
      </w:r>
    </w:p>
    <w:tbl>
      <w:tblPr>
        <w:tblW w:w="9637"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409"/>
        <w:gridCol w:w="2976"/>
        <w:gridCol w:w="4252"/>
      </w:tblGrid>
      <w:tr>
        <w:trPr>
          <w:tblHeader/>
          <w:cantSplit/>
        </w:trPr>
        <w:tc>
          <w:tcPr>
            <w:tcW w:w="2409"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Канал продвижения</w:t>
            </w:r>
          </w:p>
        </w:tc>
        <w:tc>
          <w:tcPr>
            <w:tcW w:w="2976"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Цель использования</w:t>
            </w:r>
          </w:p>
        </w:tc>
        <w:tc>
          <w:tcPr>
            <w:tcW w:w="4252"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Особенности применения для инновационного продукта</w:t>
            </w:r>
          </w:p>
        </w:tc>
      </w:tr>
      <w:tr>
        <w:trPr>
          <w:cantSplit/>
        </w:trPr>
        <w:tc>
          <w:tcPr>
            <w:tcW w:w="240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Официальный сайт организации</w:t>
            </w:r>
          </w:p>
        </w:tc>
        <w:tc>
          <w:tcPr>
            <w:tcW w:w="297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Размещение основной информации о продукте</w:t>
            </w:r>
          </w:p>
        </w:tc>
        <w:tc>
          <w:tcPr>
            <w:tcW w:w="425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Позволяет представить описание продукта, преимущества, условия использования и ответы на частые вопросы</w:t>
            </w:r>
          </w:p>
        </w:tc>
      </w:tr>
      <w:tr>
        <w:trPr>
          <w:cantSplit/>
        </w:trPr>
        <w:tc>
          <w:tcPr>
            <w:tcW w:w="240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PR и деловые СМИ</w:t>
            </w:r>
          </w:p>
        </w:tc>
        <w:tc>
          <w:tcPr>
            <w:tcW w:w="297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Формирование доверия и экспертного имиджа</w:t>
            </w:r>
          </w:p>
        </w:tc>
        <w:tc>
          <w:tcPr>
            <w:tcW w:w="425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Помогает объяснить значимость инновации и повысить узнаваемость продукта</w:t>
            </w:r>
          </w:p>
        </w:tc>
      </w:tr>
      <w:tr>
        <w:trPr>
          <w:cantSplit/>
        </w:trPr>
        <w:tc>
          <w:tcPr>
            <w:tcW w:w="240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Социальные сети</w:t>
            </w:r>
          </w:p>
        </w:tc>
        <w:tc>
          <w:tcPr>
            <w:tcW w:w="297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Расширение охвата аудитории</w:t>
            </w:r>
          </w:p>
        </w:tc>
        <w:tc>
          <w:tcPr>
            <w:tcW w:w="425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Позволяют простым языком объяснить преимущества продукта и работать с возражениями пользователей</w:t>
            </w:r>
          </w:p>
        </w:tc>
      </w:tr>
      <w:tr>
        <w:trPr>
          <w:cantSplit/>
        </w:trPr>
        <w:tc>
          <w:tcPr>
            <w:tcW w:w="240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Демо-презентации</w:t>
            </w:r>
          </w:p>
        </w:tc>
        <w:tc>
          <w:tcPr>
            <w:tcW w:w="297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Показ продукта в действии</w:t>
            </w:r>
          </w:p>
        </w:tc>
        <w:tc>
          <w:tcPr>
            <w:tcW w:w="425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Позволяют потенциальным пользователям увидеть работу продукта и снизить недоверие к новой технологии</w:t>
            </w:r>
          </w:p>
        </w:tc>
      </w:tr>
      <w:tr>
        <w:trPr>
          <w:cantSplit/>
        </w:trPr>
        <w:tc>
          <w:tcPr>
            <w:tcW w:w="240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Контент-маркетинг</w:t>
            </w:r>
          </w:p>
        </w:tc>
        <w:tc>
          <w:tcPr>
            <w:tcW w:w="297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Обучение и информирование аудитории</w:t>
            </w:r>
          </w:p>
        </w:tc>
        <w:tc>
          <w:tcPr>
            <w:tcW w:w="425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Включает статьи, инструкции, обзоры, видеоматериалы, которые помогают снизить неопределённость</w:t>
            </w:r>
          </w:p>
        </w:tc>
      </w:tr>
      <w:tr>
        <w:trPr>
          <w:cantSplit/>
        </w:trPr>
        <w:tc>
          <w:tcPr>
            <w:tcW w:w="240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Пилотные проекты</w:t>
            </w:r>
          </w:p>
        </w:tc>
        <w:tc>
          <w:tcPr>
            <w:tcW w:w="297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Проверка продукта в ограниченном масштабе</w:t>
            </w:r>
          </w:p>
        </w:tc>
        <w:tc>
          <w:tcPr>
            <w:tcW w:w="425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Позволяют собрать обратную связь и подтвердить практическую ценность продукта</w:t>
            </w:r>
          </w:p>
        </w:tc>
      </w:tr>
      <w:tr>
        <w:trPr>
          <w:cantSplit/>
        </w:trPr>
        <w:tc>
          <w:tcPr>
            <w:tcW w:w="240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Партнёрские каналы</w:t>
            </w:r>
          </w:p>
        </w:tc>
        <w:tc>
          <w:tcPr>
            <w:tcW w:w="297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Расширение охвата через другие организации</w:t>
            </w:r>
          </w:p>
        </w:tc>
        <w:tc>
          <w:tcPr>
            <w:tcW w:w="425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Эффективны для продвижения сложных технологических решений на B2B-рынке</w:t>
            </w:r>
          </w:p>
        </w:tc>
      </w:tr>
      <w:tr>
        <w:trPr>
          <w:cantSplit/>
        </w:trPr>
        <w:tc>
          <w:tcPr>
            <w:tcW w:w="240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Отраслевые мероприятия</w:t>
            </w:r>
          </w:p>
        </w:tc>
        <w:tc>
          <w:tcPr>
            <w:tcW w:w="297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Выход на профессиональную аудиторию</w:t>
            </w:r>
          </w:p>
        </w:tc>
        <w:tc>
          <w:tcPr>
            <w:tcW w:w="425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Подходят для продвижения инноваций среди компаний, экспертов и потенциальных партнёров</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по данным [6, с. 102–135; 7, с. 102–135; 20, с. 12]</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Выбор каналов продвижения инновационного продукта зависит от уровня осведомлённости целевой аудитории, сложности продукта и степени доверия к новой технологии. Для инновационных продуктов особенно важны не только рекламные каналы, но и образовательные, экспертные и демонстрационные форматы, позволяющие объяснить ценность продукта и снизить воспринимаемые риски его использования [20, с. 12; 19, с. 7].</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Возвращаясь к теории диффузии инноваций, следует отметить, что стратегия работы с ранними последователями является критически важным элементом продвижения инновационных продуктов, поскольку данная категория потребителей выполняет функцию «послов бренда», распространяя информацию о продукте в своих социальных кругах и формируя первичные отзывы, влияющие на решения более консервативных сегментов рынка [14, с. 161; 17, с. 47].</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Привлечение ранних последователей требует разработки специальных программ, включающих эксклюзивный ранний доступ к продукту, специальные ценовые условия, возможность участия в тестировании и доработке продукта, признание статуса пионеров использования инновации [21, с. 15; 19, с. 8]. Управление отзывами ранних пользователей предполагает активный мониторинг обратной связи, оперативное реагирование на выявленные проблемы, публичную демонстрацию учёта пользовательских предложений в развитии продукта и формирование позитивного информационного фона вокруг инновационного решения [18, с. 8; 21, с. 17]. В случае Face2 такими ранними последователями могут выступать технологически ориентированные сотрудники банка, корпоративные клиенты, заинтересованные в цифровизации процессов, а также партнёрские организации, готовые участвовать в пилотных проектах [27].</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Ценовая стратегия продвижения инновационного продукта определяет баланс между необходимостью возврата инвестиций в разработку, конкурентным позиционированием и доступностью продукта для целевых сегментов [8, с. 392; 10, с. 224]. Стратегия снятия сливок предполагает установление высокой начальной цены для максимизации прибыли от ранних последователей, готовых платить премию за инновационность, с последующим постепенным снижением цены для охвата более широких сегментов рынка. Стратегия проникновения на рынок основана на установлении относительно низкой цены для быстрого захвата значительной доли рынка и создания барьеров входа для конкурентов [8, с. 396]. Для банковских инновационных продуктов характерна стратегия бесплатного предоставления базовой функциональности с возможностью монетизации через дополнительные услуги — это минимизирует барьеры принятия инновации и обеспечивает быстрое распространение продукта среди клиентов банка [24, с. 110].</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Партнёрская стратегия продвижения инновационных продуктов предполагает формирование альянсов с компаниями, обладающими комплементарными продуктами, доступом к целевой аудитории или экспертизой в релевантных областях [18, с. 9; 19, с. 8]. Стратегические партнёрства позволяют расширить охват целевой аудитории, повысить доверие к инновационному продукту через ассоциацию с авторитетными брендами, получить доступ к дополнительным каналам распределения и совместно инвестировать в маркетинговые коммуникации. Для биометрических банковских продуктов потенциальными партнёрами выступают производители оборудования, разработчики операционных систем, платёжные системы, ритейлеры и другие организации, заинтересованные в повышении безопасности и удобства идентификации пользователей [16, с. 51; 27]. Совместные маркетинговые кампании с партнёрами создают синергетический эффект и повышают эффективность инвестиций в продвижение инновационного продукта [18, с. 9].</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Измерение эффективности продвижения инновационного продукта требует разработки системы ключевых показателей, отражающих прогресс в достижении маркетинговых целей на различных этапах жизненного цикла продукта [5, с. 198; 8, с. 524]. На стадии внедрения ключевыми метриками являются уровень осведомлённости целевой аудитории о продукте, понимание функциональных возможностей и преимуществ, формирование намерения попробовать продукт. На этапе роста критически важными показателями становятся количество новых пользователей, частота использования продукта, показатели удовлетворённости и готовности рекомендовать продукт другим потребителям [5, с. 201]. Финансовые показатели эффективности включают стоимость привлечения клиента, пожизненную ценность клиента, рентабельность инвестиций в маркетинговые коммуникации и долю рынка инновационного продукта [6, с. 156; 8, с. 528]. Аналитика цифровых каналов продвижения обеспечивает детальную информацию о поведении пользователей, эффективности различных каналов и сообщений, что позволяет оперативно оптимизировать маркетинговую стратегию и повышать результативность коммуникационных кампаний [7, с. 156]. Основные показатели эффективности продвижения инновационного продукта представлены в таблице 1.2.6.</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1.2.6</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Показатели эффективности продвижения инновационного продукта</w:t>
      </w:r>
    </w:p>
    <w:tbl>
      <w:tblPr>
        <w:tblW w:w="9637"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212"/>
        <w:gridCol w:w="6425"/>
      </w:tblGrid>
      <w:tr>
        <w:trPr>
          <w:tblHeader/>
          <w:cantSplit/>
        </w:trPr>
        <w:tc>
          <w:tcPr>
            <w:tcW w:w="3212"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Цель продвижения</w:t>
            </w:r>
          </w:p>
        </w:tc>
        <w:tc>
          <w:tcPr>
            <w:tcW w:w="6425"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Показатель эффективности</w:t>
            </w:r>
          </w:p>
        </w:tc>
      </w:tr>
      <w:tr>
        <w:trPr>
          <w:cantSplit/>
        </w:trPr>
        <w:tc>
          <w:tcPr>
            <w:tcW w:w="321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Повышение осведомлённости</w:t>
            </w:r>
          </w:p>
        </w:tc>
        <w:tc>
          <w:tcPr>
            <w:tcW w:w="642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Охват аудитории, посещаемость сайта, количество упоминаний в СМИ</w:t>
            </w:r>
          </w:p>
        </w:tc>
      </w:tr>
      <w:tr>
        <w:trPr>
          <w:cantSplit/>
        </w:trPr>
        <w:tc>
          <w:tcPr>
            <w:tcW w:w="321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Формирование интереса</w:t>
            </w:r>
          </w:p>
        </w:tc>
        <w:tc>
          <w:tcPr>
            <w:tcW w:w="642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Количество заявок, просмотров презентаций, обращений за информацией</w:t>
            </w:r>
          </w:p>
        </w:tc>
      </w:tr>
      <w:tr>
        <w:trPr>
          <w:cantSplit/>
        </w:trPr>
        <w:tc>
          <w:tcPr>
            <w:tcW w:w="321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Снижение недоверия</w:t>
            </w:r>
          </w:p>
        </w:tc>
        <w:tc>
          <w:tcPr>
            <w:tcW w:w="642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Количество положительных отзывов, снижение отказов, результаты опросов</w:t>
            </w:r>
          </w:p>
        </w:tc>
      </w:tr>
      <w:tr>
        <w:trPr>
          <w:cantSplit/>
        </w:trPr>
        <w:tc>
          <w:tcPr>
            <w:tcW w:w="321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Привлечение пользователей</w:t>
            </w:r>
          </w:p>
        </w:tc>
        <w:tc>
          <w:tcPr>
            <w:tcW w:w="642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Количество регистраций, подключений пилотных внедрений</w:t>
            </w:r>
          </w:p>
        </w:tc>
      </w:tr>
      <w:tr>
        <w:trPr>
          <w:cantSplit/>
        </w:trPr>
        <w:tc>
          <w:tcPr>
            <w:tcW w:w="321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Удержание пользователей</w:t>
            </w:r>
          </w:p>
        </w:tc>
        <w:tc>
          <w:tcPr>
            <w:tcW w:w="642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Частота использования, повторные обращения, активность пользователей</w:t>
            </w:r>
          </w:p>
        </w:tc>
      </w:tr>
      <w:tr>
        <w:trPr>
          <w:cantSplit/>
        </w:trPr>
        <w:tc>
          <w:tcPr>
            <w:tcW w:w="321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Экономическая эффективность</w:t>
            </w:r>
          </w:p>
        </w:tc>
        <w:tc>
          <w:tcPr>
            <w:tcW w:w="642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Стоимость привлечения клиента, ROI, LTV, срок окупаемости</w:t>
            </w:r>
          </w:p>
        </w:tc>
      </w:tr>
      <w:tr>
        <w:trPr>
          <w:cantSplit/>
        </w:trPr>
        <w:tc>
          <w:tcPr>
            <w:tcW w:w="321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Репутационный эффект</w:t>
            </w:r>
          </w:p>
        </w:tc>
        <w:tc>
          <w:tcPr>
            <w:tcW w:w="642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Индекс удовлетворённости, NPS, экспертные публикации</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по данным [5, с. 198–202; 6, с. 156; 8, с. 524–528]</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Для Face2 система KPI должна включать не только маркетинговые показатели охвата и узнаваемости, но и показатели доверия, активности пользователей, количества внедрений и экономического эффекта. Это связано с тем, что успешность продвижения биометрического продукта определяется не только интересом аудитории, но и фактическим принятием технологии [16, с. 53; 24, с. 111].</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Маркетинговые стратегии продвижения инновационных продуктов характеризуются комплексным характером, необходимостью интеграции традиционных и цифровых инструментов коммуникации, особым вниманием к образовательной составляющей маркетинговых сообщений и критической важностью управления восприятием инновации различными категориями потребителей [18, с. 10; 20, с. 13; 19, с. 9]. Успешное продвижение инновационного продукта требует глубокого понимания психологии принятия инноваций, способности адаптировать стратегию к изменяющимся рыночным условиям и готовности инвестировать значительные ресурсы в формирование осведомлённости и доверия целевой аудитории к новому продукту.</w:t>
      </w:r>
    </w:p>
    <w:p>
      <w:pPr>
        <w:keepNext/>
        <w:keepLines/>
        <w:spacing w:before="240" w:after="120" w:line="36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8"/>
          <w:szCs w:val="28"/>
          <w:lang w:val="ru-RU"/>
        </w:rPr>
        <w:t xml:space="preserve">1.3. ОСОБЕННОСТИ ПРОДВИЖЕНИЯ БИОМЕТРИЧЕСКИХ ТЕХНОЛОГИЙ</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Биометрические технологии в банковском секторе требуют не нового набора инструментов продвижения по сравнению с § 1.2, а особой их конфигурации: смещения акцентов в воронке, перераспределения веса между элементами 7P и изменения логики каналов. Настоящий параграф фиксирует особенности биометрии, барьеры её принятия и условия, при которых стандартные маркетинговые инструменты переходят в специфические для банковской биометрии формы.</w:t>
      </w:r>
    </w:p>
    <w:p>
      <w:pPr>
        <w:keepNext/>
        <w:keepLines/>
        <w:spacing w:before="200" w:after="120" w:line="36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8"/>
          <w:szCs w:val="28"/>
          <w:lang w:val="ru-RU"/>
        </w:rPr>
        <w:t xml:space="preserve">Биометрия в банковском секторе: краткая рамка</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Биометрия — технология распознавания личности по уникальным физиологическим или поведенческим характеристикам: лицу, голосу, отпечаткам пальцев, рисунку радужной оболочки [15, с. 29; 24, с. 100]. В банковской сфере она решает безопасную идентификацию клиентов при дистанционном обслуживании, противодействие мошенничеству и упрощение доступа к продуктам [16, с. 38; 24, с. 104; 25, с. 115].</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Регуляторный контур в России жёсткий и определяет рамки любых действий банка с биометрией. Федеральный закон от 29.12.2022 № 572-ФЗ относит биометрические векторы к специальной категории персональных данных, обязывает хранить их в Государственной информационной системе ЕБС и разрешает аутентификацию по биометрии только аккредитованным организациям и только при письменном согласии гражданина [23, с. 92–94]. Для банка аккредитация Минцифры России в качестве оператора коммерческой биометрической системы (КБС), сертификация ФСБ и ФСТЭК, включение в реестр отечественного ПО — не формальность, а условие существования продукта на рынке, а после введения 420-ФЗ и 421-ФЗ от 30 ноября 2024 года — ещё и условие защиты от штрафов до 1–3% годового дохода и уголовной ответственности за неправомерное обращение с биометрическими данными [23, с. 95; 27]. Сферы применения биометрии в банке и за его пределами показаны на рисунке 1.3.1.</w:t>
      </w:r>
    </w:p>
    <w:p>
      <w:pPr>
        <w:keepLines/>
        <w:spacing w:before="0" w:after="0" w:line="240" w:lineRule="auto"/>
        <w:jc w:val="left"/>
        <w:rPr>
          <w:rFonts w:ascii="Times New Roman" w:hAnsi="Times New Roman" w:cs="Times New Roman" w:eastAsia="Times New Roman"/>
          <w:sz w:val="28"/>
          <w:szCs w:val="28"/>
          <w:lang w:val="ru-RU"/>
        </w:rPr>
      </w:pPr>
      <w:r>
        <w:rPr>
          <w:rFonts w:ascii="Courier New" w:hAnsi="Courier New" w:cs="Courier New" w:eastAsia="Courier New"/>
          <w:color w:val="000000"/>
          <w:sz w:val="18"/>
          <w:szCs w:val="18"/>
          <w:lang w:val="ru-RU"/>
        </w:rPr>
        <w:t xml:space="preserve">                ┌──────────────────────────────────┐</w:t>
      </w:r>
    </w:p>
    <w:p>
      <w:pPr>
        <w:keepLines/>
        <w:spacing w:before="0" w:after="0" w:line="240" w:lineRule="auto"/>
        <w:jc w:val="left"/>
        <w:rPr>
          <w:rFonts w:ascii="Times New Roman" w:hAnsi="Times New Roman" w:cs="Times New Roman" w:eastAsia="Times New Roman"/>
          <w:sz w:val="28"/>
          <w:szCs w:val="28"/>
          <w:lang w:val="ru-RU"/>
        </w:rPr>
      </w:pPr>
      <w:r>
        <w:rPr>
          <w:rFonts w:ascii="Courier New" w:hAnsi="Courier New" w:cs="Courier New" w:eastAsia="Courier New"/>
          <w:color w:val="000000"/>
          <w:sz w:val="18"/>
          <w:szCs w:val="18"/>
          <w:lang w:val="ru-RU"/>
        </w:rPr>
        <w:t xml:space="preserve">                │    Области применения биометрии  │</w:t>
      </w:r>
    </w:p>
    <w:p>
      <w:pPr>
        <w:keepLines/>
        <w:spacing w:before="0" w:after="0" w:line="240" w:lineRule="auto"/>
        <w:jc w:val="left"/>
        <w:rPr>
          <w:rFonts w:ascii="Times New Roman" w:hAnsi="Times New Roman" w:cs="Times New Roman" w:eastAsia="Times New Roman"/>
          <w:sz w:val="28"/>
          <w:szCs w:val="28"/>
          <w:lang w:val="ru-RU"/>
        </w:rPr>
      </w:pPr>
      <w:r>
        <w:rPr>
          <w:rFonts w:ascii="Courier New" w:hAnsi="Courier New" w:cs="Courier New" w:eastAsia="Courier New"/>
          <w:color w:val="000000"/>
          <w:sz w:val="18"/>
          <w:szCs w:val="18"/>
          <w:lang w:val="ru-RU"/>
        </w:rPr>
        <w:t xml:space="preserve">                └────────────────┬─────────────────┘</w:t>
      </w:r>
    </w:p>
    <w:p>
      <w:pPr>
        <w:keepLines/>
        <w:spacing w:before="0" w:after="0" w:line="240" w:lineRule="auto"/>
        <w:jc w:val="left"/>
        <w:rPr>
          <w:rFonts w:ascii="Times New Roman" w:hAnsi="Times New Roman" w:cs="Times New Roman" w:eastAsia="Times New Roman"/>
          <w:sz w:val="28"/>
          <w:szCs w:val="28"/>
          <w:lang w:val="ru-RU"/>
        </w:rPr>
      </w:pPr>
      <w:r>
        <w:rPr>
          <w:rFonts w:ascii="Courier New" w:hAnsi="Courier New" w:cs="Courier New" w:eastAsia="Courier New"/>
          <w:color w:val="000000"/>
          <w:sz w:val="18"/>
          <w:szCs w:val="18"/>
          <w:lang w:val="ru-RU"/>
        </w:rPr>
        <w:t xml:space="preserve">                                 │</w:t>
      </w:r>
    </w:p>
    <w:p>
      <w:pPr>
        <w:keepLines/>
        <w:spacing w:before="0" w:after="0" w:line="240" w:lineRule="auto"/>
        <w:jc w:val="left"/>
        <w:rPr>
          <w:rFonts w:ascii="Times New Roman" w:hAnsi="Times New Roman" w:cs="Times New Roman" w:eastAsia="Times New Roman"/>
          <w:sz w:val="28"/>
          <w:szCs w:val="28"/>
          <w:lang w:val="ru-RU"/>
        </w:rPr>
      </w:pPr>
      <w:r>
        <w:rPr>
          <w:rFonts w:ascii="Courier New" w:hAnsi="Courier New" w:cs="Courier New" w:eastAsia="Courier New"/>
          <w:color w:val="000000"/>
          <w:sz w:val="18"/>
          <w:szCs w:val="18"/>
          <w:lang w:val="ru-RU"/>
        </w:rPr>
        <w:t xml:space="preserve">     ┌────────────┬──────────────┼──────────────┬────────────┐</w:t>
      </w:r>
    </w:p>
    <w:p>
      <w:pPr>
        <w:keepLines/>
        <w:spacing w:before="0" w:after="0" w:line="240" w:lineRule="auto"/>
        <w:jc w:val="left"/>
        <w:rPr>
          <w:rFonts w:ascii="Times New Roman" w:hAnsi="Times New Roman" w:cs="Times New Roman" w:eastAsia="Times New Roman"/>
          <w:sz w:val="28"/>
          <w:szCs w:val="28"/>
          <w:lang w:val="ru-RU"/>
        </w:rPr>
      </w:pPr>
      <w:r>
        <w:rPr>
          <w:rFonts w:ascii="Courier New" w:hAnsi="Courier New" w:cs="Courier New" w:eastAsia="Courier New"/>
          <w:color w:val="000000"/>
          <w:sz w:val="18"/>
          <w:szCs w:val="18"/>
          <w:lang w:val="ru-RU"/>
        </w:rPr>
        <w:t xml:space="preserve">     ▼            ▼              ▼              ▼            ▼</w:t>
      </w:r>
    </w:p>
    <w:p>
      <w:pPr>
        <w:keepLines/>
        <w:spacing w:before="0" w:after="0" w:line="240" w:lineRule="auto"/>
        <w:jc w:val="left"/>
        <w:rPr>
          <w:rFonts w:ascii="Times New Roman" w:hAnsi="Times New Roman" w:cs="Times New Roman" w:eastAsia="Times New Roman"/>
          <w:sz w:val="28"/>
          <w:szCs w:val="28"/>
          <w:lang w:val="ru-RU"/>
        </w:rPr>
      </w:pPr>
      <w:r>
        <w:rPr>
          <w:rFonts w:ascii="Courier New" w:hAnsi="Courier New" w:cs="Courier New" w:eastAsia="Courier New"/>
          <w:color w:val="000000"/>
          <w:sz w:val="18"/>
          <w:szCs w:val="18"/>
          <w:lang w:val="ru-RU"/>
        </w:rPr>
        <w:t xml:space="preserve">   Банки      Транспорт       Ритейл       Госуслуги     СКУД</w:t>
      </w:r>
    </w:p>
    <w:p>
      <w:pPr>
        <w:keepLines/>
        <w:spacing w:before="0" w:after="0" w:line="240" w:lineRule="auto"/>
        <w:jc w:val="left"/>
        <w:rPr>
          <w:rFonts w:ascii="Times New Roman" w:hAnsi="Times New Roman" w:cs="Times New Roman" w:eastAsia="Times New Roman"/>
          <w:sz w:val="28"/>
          <w:szCs w:val="28"/>
          <w:lang w:val="ru-RU"/>
        </w:rPr>
      </w:pPr>
      <w:r>
        <w:rPr>
          <w:rFonts w:ascii="Courier New" w:hAnsi="Courier New" w:cs="Courier New" w:eastAsia="Courier New"/>
          <w:color w:val="000000"/>
          <w:sz w:val="18"/>
          <w:szCs w:val="18"/>
          <w:lang w:val="ru-RU"/>
        </w:rPr>
        <w:t xml:space="preserve">                                            и МФЦ      (доступ)</w:t>
      </w:r>
    </w:p>
    <w:p>
      <w:pPr>
        <w:keepLines/>
        <w:spacing w:before="0" w:after="0" w:line="240" w:lineRule="auto"/>
        <w:jc w:val="left"/>
        <w:rPr>
          <w:rFonts w:ascii="Times New Roman" w:hAnsi="Times New Roman" w:cs="Times New Roman" w:eastAsia="Times New Roman"/>
          <w:sz w:val="28"/>
          <w:szCs w:val="28"/>
          <w:lang w:val="ru-RU"/>
        </w:rPr>
      </w:pPr>
      <w:r>
        <w:rPr>
          <w:rFonts w:ascii="Courier New" w:hAnsi="Courier New" w:cs="Courier New" w:eastAsia="Courier New"/>
          <w:color w:val="000000"/>
          <w:sz w:val="18"/>
          <w:szCs w:val="18"/>
          <w:lang w:val="ru-RU"/>
        </w:rPr>
        <w:t xml:space="preserve">     │            │              │              │            │</w:t>
      </w:r>
    </w:p>
    <w:p>
      <w:pPr>
        <w:keepLines/>
        <w:spacing w:before="0" w:after="0" w:line="240" w:lineRule="auto"/>
        <w:jc w:val="left"/>
        <w:rPr>
          <w:rFonts w:ascii="Times New Roman" w:hAnsi="Times New Roman" w:cs="Times New Roman" w:eastAsia="Times New Roman"/>
          <w:sz w:val="28"/>
          <w:szCs w:val="28"/>
          <w:lang w:val="ru-RU"/>
        </w:rPr>
      </w:pPr>
      <w:r>
        <w:rPr>
          <w:rFonts w:ascii="Courier New" w:hAnsi="Courier New" w:cs="Courier New" w:eastAsia="Courier New"/>
          <w:color w:val="000000"/>
          <w:sz w:val="18"/>
          <w:szCs w:val="18"/>
          <w:lang w:val="ru-RU"/>
        </w:rPr>
        <w:t xml:space="preserve">     ▼            ▼              ▼              ▼            ▼</w:t>
      </w:r>
    </w:p>
    <w:p>
      <w:pPr>
        <w:keepLines/>
        <w:spacing w:before="0" w:after="0" w:line="240" w:lineRule="auto"/>
        <w:jc w:val="left"/>
        <w:rPr>
          <w:rFonts w:ascii="Times New Roman" w:hAnsi="Times New Roman" w:cs="Times New Roman" w:eastAsia="Times New Roman"/>
          <w:sz w:val="28"/>
          <w:szCs w:val="28"/>
          <w:lang w:val="ru-RU"/>
        </w:rPr>
      </w:pPr>
      <w:r>
        <w:rPr>
          <w:rFonts w:ascii="Courier New" w:hAnsi="Courier New" w:cs="Courier New" w:eastAsia="Courier New"/>
          <w:color w:val="000000"/>
          <w:sz w:val="18"/>
          <w:szCs w:val="18"/>
          <w:lang w:val="ru-RU"/>
        </w:rPr>
        <w:t xml:space="preserve">  Образование Здравоохранение Гостиницы   Промышленные  Спортивные</w:t>
      </w:r>
    </w:p>
    <w:p>
      <w:pPr>
        <w:keepLines/>
        <w:spacing w:before="0" w:after="0" w:line="240" w:lineRule="auto"/>
        <w:jc w:val="left"/>
        <w:rPr>
          <w:rFonts w:ascii="Times New Roman" w:hAnsi="Times New Roman" w:cs="Times New Roman" w:eastAsia="Times New Roman"/>
          <w:sz w:val="28"/>
          <w:szCs w:val="28"/>
          <w:lang w:val="ru-RU"/>
        </w:rPr>
      </w:pPr>
      <w:r>
        <w:rPr>
          <w:rFonts w:ascii="Courier New" w:hAnsi="Courier New" w:cs="Courier New" w:eastAsia="Courier New"/>
          <w:color w:val="000000"/>
          <w:sz w:val="18"/>
          <w:szCs w:val="18"/>
          <w:lang w:val="ru-RU"/>
        </w:rPr>
        <w:t xml:space="preserve">                                          предприятия   объекты</w:t>
      </w:r>
    </w:p>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по данным [15, с. 31; 16, с. 39; 24, с. 102; 27]</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Рис. 1.3.1. Области применения биометрии</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Банковский сектор — лишь одно из применений, но самое требовательное по совокупности факторов: высокая чувствительность данных, прямая связь с финансами, регуляторное давление, ожидания пользователя по скорости и надёжности. Поэтому стратегия продвижения, отстроенная для биометрии в банке, потом легко переносится на другие отрасли, а обратное — нет. Дальнейший анализ ведётся именно в банковском контуре.</w:t>
      </w:r>
    </w:p>
    <w:p>
      <w:pPr>
        <w:keepNext/>
        <w:keepLines/>
        <w:spacing w:before="200" w:after="120" w:line="36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8"/>
          <w:szCs w:val="28"/>
          <w:lang w:val="ru-RU"/>
        </w:rPr>
        <w:t xml:space="preserve">Барьеры принятия как стартовая точка продвижения</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Если для обычного банковского продукта продвижение начинается с информирования и стимулирования спроса, то для биометрии оно начинается с барьеров. Без их снятия информирование не работает: клиент слышит сообщение о новом сервисе, но не переходит к действию [16, с. 43; 25, с. 113]. Барьеры биометрии в банковском секторе делятся на четыре группы — психологические, поведенческие, организационные (для B2B-заказчиков) и регуляторно-репутационные. Каждая группа требует своего инструментария продвижения, и именно сопоставление барьеров с инструментами из параграфа 1.2 даёт работоспособную стратегию (таблица 1.3.1).</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1.3.1</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Барьеры принятия биометрических технологий и инструменты их преодоления</w:t>
      </w:r>
    </w:p>
    <w:tbl>
      <w:tblPr>
        <w:tblW w:w="9637"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095"/>
        <w:gridCol w:w="2514"/>
        <w:gridCol w:w="2514"/>
        <w:gridCol w:w="2514"/>
      </w:tblGrid>
      <w:tr>
        <w:trPr>
          <w:tblHeader/>
          <w:cantSplit/>
        </w:trPr>
        <w:tc>
          <w:tcPr>
            <w:tcW w:w="2095"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Группа барьеров</w:t>
            </w:r>
          </w:p>
        </w:tc>
        <w:tc>
          <w:tcPr>
            <w:tcW w:w="2514"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Содержание барьера</w:t>
            </w:r>
          </w:p>
        </w:tc>
        <w:tc>
          <w:tcPr>
            <w:tcW w:w="2514"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Инструмент продвижения (из 1.2)</w:t>
            </w:r>
          </w:p>
        </w:tc>
        <w:tc>
          <w:tcPr>
            <w:tcW w:w="2514"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Конкретная форма для биометрии</w:t>
            </w:r>
          </w:p>
        </w:tc>
      </w:tr>
      <w:tr>
        <w:trPr>
          <w:cantSplit/>
        </w:trPr>
        <w:tc>
          <w:tcPr>
            <w:tcW w:w="209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Психологические</w:t>
            </w:r>
          </w:p>
        </w:tc>
        <w:tc>
          <w:tcPr>
            <w:tcW w:w="251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Страх утечки биометрии, опасения злоупотреблений, ощущение невозможности «отозвать» сданный образец</w:t>
            </w:r>
          </w:p>
        </w:tc>
        <w:tc>
          <w:tcPr>
            <w:tcW w:w="251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Этап «Доверие» в воронке; элемент Physical evidence в 7P</w:t>
            </w:r>
          </w:p>
        </w:tc>
        <w:tc>
          <w:tcPr>
            <w:tcW w:w="251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Сертификаты ФСБ/ФСТЭК, объяснение архитектуры ГИС ЕБС, прозрачная политика обработки данных</w:t>
            </w:r>
          </w:p>
        </w:tc>
      </w:tr>
      <w:tr>
        <w:trPr>
          <w:cantSplit/>
        </w:trPr>
        <w:tc>
          <w:tcPr>
            <w:tcW w:w="209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Когнитивные</w:t>
            </w:r>
          </w:p>
        </w:tc>
        <w:tc>
          <w:tcPr>
            <w:tcW w:w="251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Непонимание принципа работы, мифы о «слежке», непрозрачность сценария использования</w:t>
            </w:r>
          </w:p>
        </w:tc>
        <w:tc>
          <w:tcPr>
            <w:tcW w:w="251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Образовательный контент-маркетинг; элемент People в 7P</w:t>
            </w:r>
          </w:p>
        </w:tc>
        <w:tc>
          <w:tcPr>
            <w:tcW w:w="251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Видеоинструкции, инфографика, FAQ, разъяснения от экспертов банка</w:t>
            </w:r>
          </w:p>
        </w:tc>
      </w:tr>
      <w:tr>
        <w:trPr>
          <w:cantSplit/>
        </w:trPr>
        <w:tc>
          <w:tcPr>
            <w:tcW w:w="209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Поведенческие</w:t>
            </w:r>
          </w:p>
        </w:tc>
        <w:tc>
          <w:tcPr>
            <w:tcW w:w="251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Привычка к картам, паролям и документам; инерция потребительского поведения</w:t>
            </w:r>
          </w:p>
        </w:tc>
        <w:tc>
          <w:tcPr>
            <w:tcW w:w="251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Демонстрационная стратегия; стратегия работы с ранними последователями</w:t>
            </w:r>
          </w:p>
        </w:tc>
        <w:tc>
          <w:tcPr>
            <w:tcW w:w="251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Демозоны в отделениях, пилоты на лояльной аудитории (сотрудники, корпоративные клиенты), геймификация регистрации</w:t>
            </w:r>
          </w:p>
        </w:tc>
      </w:tr>
      <w:tr>
        <w:trPr>
          <w:cantSplit/>
        </w:trPr>
        <w:tc>
          <w:tcPr>
            <w:tcW w:w="209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Организационные (B2B)</w:t>
            </w:r>
          </w:p>
        </w:tc>
        <w:tc>
          <w:tcPr>
            <w:tcW w:w="251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Стоимость внедрения, длительный срок окупаемости, сложность интеграции с существующей СКУД и ИТ-инфраструктурой</w:t>
            </w:r>
          </w:p>
        </w:tc>
        <w:tc>
          <w:tcPr>
            <w:tcW w:w="251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Расчёт ROI и LTV; партнёрская стратегия; пилотные проекты</w:t>
            </w:r>
          </w:p>
        </w:tc>
        <w:tc>
          <w:tcPr>
            <w:tcW w:w="251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Бизнес-кейсы с количественным эффектом, пилотные внедрения с минимальной инфраструктурой, партнёрства с интеграторами</w:t>
            </w:r>
          </w:p>
        </w:tc>
      </w:tr>
      <w:tr>
        <w:trPr>
          <w:cantSplit/>
        </w:trPr>
        <w:tc>
          <w:tcPr>
            <w:tcW w:w="209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Регуляторно-репутационные</w:t>
            </w:r>
          </w:p>
        </w:tc>
        <w:tc>
          <w:tcPr>
            <w:tcW w:w="251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Риск штрафов и уголовной ответственности при неправомерном обращении с биометрией; репутационный ущерб от инцидентов</w:t>
            </w:r>
          </w:p>
        </w:tc>
        <w:tc>
          <w:tcPr>
            <w:tcW w:w="251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PR и деловые СМИ; элемент Physical evidence в 7P</w:t>
            </w:r>
          </w:p>
        </w:tc>
        <w:tc>
          <w:tcPr>
            <w:tcW w:w="251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Демонстрация статуса аккредитованного оператора КБС, публикация ESG-отчётности, открытость к проверкам</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по данным [16, с. 41–47; 24, с. 106–110; 25, с. 113–119; 8, с. 354; 19, с. 7–8; 27]</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Главный практический вывод из этой раскладки в том, что бюджет продвижения биометрии распределяется иначе, чем для обычного банковского продукта. Если у массового потребительского сервиса основная часть приходится на этап осведомлённости и интереса, то у биометрии непропорционально большая доля уходит на этапы доверия и пробного использования: образовательный контент, демонстрации, пилоты, экспертные публикации, разъяснение мер защиты данных. На массовую рекламу до снятия барьеров доверия инвестиции окупаются плохо.</w:t>
      </w:r>
    </w:p>
    <w:p>
      <w:pPr>
        <w:keepNext/>
        <w:keepLines/>
        <w:spacing w:before="200" w:after="120" w:line="36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8"/>
          <w:szCs w:val="28"/>
          <w:lang w:val="ru-RU"/>
        </w:rPr>
        <w:t xml:space="preserve">Условия успешного продвижения биометрических технологий</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Барьеры показывают, что нужно преодолеть; условия успеха — какие предпосылки должны выполняться, чтобы продвижение в принципе работало. Это четыре группы факторов, которые формируют верхнюю границу того, что вообще достижимо маркетингом (таблица 1.3.2).</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1.3.2</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Условия успешного продвижения биометрических технологий в банковском секторе</w:t>
      </w:r>
    </w:p>
    <w:tbl>
      <w:tblPr>
        <w:tblW w:w="9636"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834"/>
        <w:gridCol w:w="3401"/>
        <w:gridCol w:w="3401"/>
      </w:tblGrid>
      <w:tr>
        <w:trPr>
          <w:tblHeader/>
          <w:cantSplit/>
        </w:trPr>
        <w:tc>
          <w:tcPr>
            <w:tcW w:w="2834"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Группа условий</w:t>
            </w:r>
          </w:p>
        </w:tc>
        <w:tc>
          <w:tcPr>
            <w:tcW w:w="3401"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Содержание</w:t>
            </w:r>
          </w:p>
        </w:tc>
        <w:tc>
          <w:tcPr>
            <w:tcW w:w="3401"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Что обеспечивает в продвижении</w:t>
            </w:r>
          </w:p>
        </w:tc>
      </w:tr>
      <w:tr>
        <w:trPr>
          <w:cantSplit/>
        </w:trPr>
        <w:tc>
          <w:tcPr>
            <w:tcW w:w="283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Правовые</w:t>
            </w:r>
          </w:p>
        </w:tc>
        <w:tc>
          <w:tcPr>
            <w:tcW w:w="340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Соответствие 572-ФЗ, аккредитация Минцифры в качестве оператора КБС, сертификация ФСБ и ФСТЭК, наличие письменного согласия пользователя</w:t>
            </w:r>
          </w:p>
        </w:tc>
        <w:tc>
          <w:tcPr>
            <w:tcW w:w="340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Право вообще выводить продукт на рынок и легально использовать его в коммуникации как «безопасный и законный»</w:t>
            </w:r>
          </w:p>
        </w:tc>
      </w:tr>
      <w:tr>
        <w:trPr>
          <w:cantSplit/>
        </w:trPr>
        <w:tc>
          <w:tcPr>
            <w:tcW w:w="283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Социально-психологические</w:t>
            </w:r>
          </w:p>
        </w:tc>
        <w:tc>
          <w:tcPr>
            <w:tcW w:w="340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Уровень доверия к технологии, готовность аудитории к освоению инноваций, отсутствие острых негативных кейсов в публичном поле</w:t>
            </w:r>
          </w:p>
        </w:tc>
        <w:tc>
          <w:tcPr>
            <w:tcW w:w="340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Восприимчивость аудитории к маркетинговым сообщениям; реалистичность сроков перехода от интереса к принятию</w:t>
            </w:r>
          </w:p>
        </w:tc>
      </w:tr>
      <w:tr>
        <w:trPr>
          <w:cantSplit/>
        </w:trPr>
        <w:tc>
          <w:tcPr>
            <w:tcW w:w="283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Технологические</w:t>
            </w:r>
          </w:p>
        </w:tc>
        <w:tc>
          <w:tcPr>
            <w:tcW w:w="340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Точность распознавания (FAR/FRR), надёжность оборудования, скорость работы, простота интеграции с существующими системами заказчика</w:t>
            </w:r>
          </w:p>
        </w:tc>
        <w:tc>
          <w:tcPr>
            <w:tcW w:w="340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Реальное соответствие продукта обещаниям маркетинга; возможность работы со статистикой точности и кейсами</w:t>
            </w:r>
          </w:p>
        </w:tc>
      </w:tr>
      <w:tr>
        <w:trPr>
          <w:cantSplit/>
        </w:trPr>
        <w:tc>
          <w:tcPr>
            <w:tcW w:w="283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Экономические</w:t>
            </w:r>
          </w:p>
        </w:tc>
        <w:tc>
          <w:tcPr>
            <w:tcW w:w="340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Понятный срок окупаемости для B2B-заказчика, обоснованная цена внедрения, измеримый эффект (сокращение очередей, снижение операционных рисков, ускорение обслуживания)</w:t>
            </w:r>
          </w:p>
        </w:tc>
        <w:tc>
          <w:tcPr>
            <w:tcW w:w="340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Аргументация продаж в B2B и B2G; возможность строить продвижение на ROI, а не только на эмоциях</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по данным [16, с. 45; 23, с. 93; 24, с. 106; 27]</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Эти четыре группы — не предмет маркетинга, а его рамка. Если правовое условие нарушено, никакое продвижение не спасёт продукт от регуляторных санкций. Если технологическое условие не выполняется (например, точность распознавания недостаточна для финансовых операций), любая реклама сработает в минус: первый же негативный пользовательский опыт уничтожит репутационный капитал. Если экономическое условие не обосновано для B2B-клиента, лучшая в мире коммуникация не приведёт к подписанию контракта. Поэтому стратегия продвижения биометрии в банке всегда строится после того, как зафиксированы эти четыре опоры, а не вместо них.</w:t>
      </w:r>
    </w:p>
    <w:p>
      <w:pPr>
        <w:keepNext/>
        <w:keepLines/>
        <w:spacing w:before="200" w:after="120" w:line="36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8"/>
          <w:szCs w:val="28"/>
          <w:lang w:val="ru-RU"/>
        </w:rPr>
        <w:t xml:space="preserve">Конфигурация инструментов из 1.2 под специфику биометрии</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 учётом барьеров и условий стандартные инструменты продвижения, рассмотренные в параграфе 1.2, перенастраиваются для биометрии в банковском секторе следующим образом.</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8"/>
          <w:szCs w:val="28"/>
          <w:lang w:val="ru-RU"/>
        </w:rPr>
        <w:t xml:space="preserve">Интегрированная стратегия (push + pull) в банковской биометрии распадается по сегментам.</w:t>
      </w:r>
      <w:r>
        <w:rPr>
          <w:rFonts w:ascii="Times New Roman" w:hAnsi="Times New Roman" w:cs="Times New Roman" w:eastAsia="Times New Roman"/>
          <w:color w:val="000000"/>
          <w:sz w:val="28"/>
          <w:szCs w:val="28"/>
          <w:lang w:val="ru-RU"/>
        </w:rPr>
        <w:t xml:space="preserve"> Push-составляющая работает в B2B и B2G: банк через прямые продажи, отраслевые конференции, партнёрства с интеграторами и вендорами оборудования продвигает решение корпоративным заказчикам и государственным организациям. Pull-составляющая работает в B2C: формирование спроса со стороны конечных пользователей через рекламу, контент-маркетинг и социальные сети [16, с. 48; 24, с. 106]. Особенность в том, что pull в биометрии вторичен по отношению к push: B2B-заказчик принимает решение о внедрении только тогда, когда видит готовность своих клиентов пользоваться технологией, а готовность клиентов формируется через массовые сценарии (метро, библиотеки, магазины), которые сами по себе требуют B2B-партнёра.</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8"/>
          <w:szCs w:val="28"/>
          <w:lang w:val="ru-RU"/>
        </w:rPr>
        <w:t xml:space="preserve">Модель STP сегментирует рынок не по социально-демографическим признакам, а по типу заказчика и сценарию использования.</w:t>
      </w:r>
      <w:r>
        <w:rPr>
          <w:rFonts w:ascii="Times New Roman" w:hAnsi="Times New Roman" w:cs="Times New Roman" w:eastAsia="Times New Roman"/>
          <w:color w:val="000000"/>
          <w:sz w:val="28"/>
          <w:szCs w:val="28"/>
          <w:lang w:val="ru-RU"/>
        </w:rPr>
        <w:t xml:space="preserve"> Сегменты — банки, МФО, ритейл, гостиницы, транспорт, режимные объекты, государственные учреждения. Для каждого формируется собственное позиционирование: для банков — «соответствие 572-ФЗ и снижение рисков мошенничества», для ритейла — «ускорение обслуживания», для режимных объектов — «контроль доступа без передаваемых пропусков», для государственных учреждений — «цифровизация идентификации без документов» [5, с. 124; 8, с. 314].</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8"/>
          <w:szCs w:val="28"/>
          <w:lang w:val="ru-RU"/>
        </w:rPr>
        <w:t xml:space="preserve">В расширенном комплексе 7P для биометрии непропорционально вырастают три элемента — People, Process и Physical evidence.</w:t>
      </w:r>
      <w:r>
        <w:rPr>
          <w:rFonts w:ascii="Times New Roman" w:hAnsi="Times New Roman" w:cs="Times New Roman" w:eastAsia="Times New Roman"/>
          <w:color w:val="000000"/>
          <w:sz w:val="28"/>
          <w:szCs w:val="28"/>
          <w:lang w:val="ru-RU"/>
        </w:rPr>
        <w:t xml:space="preserve"> People — экспертиза сотрудников банка, выступающих публичными лицами продукта, и качество сопровождения внедрения у заказчика. Process — простота пользовательского пути регистрации и использования (минимизация шагов, скорость распознавания, понятный сценарий восстановления доступа). Physical evidence — сертификаты ФСБ и ФСТЭК, аккредитация Минцифры, кейсы внедрений, отзывы сотрудников банка как ранних пользователей [16, с. 50; 24, с. 109]. Эти три элемента закрывают психологический барьер сильнее, чем элементы Promotion и Price в их классической форме.</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8"/>
          <w:szCs w:val="28"/>
          <w:lang w:val="ru-RU"/>
        </w:rPr>
        <w:t xml:space="preserve">Маркетинговая воронка для биометрии вытягивается на этапе «Доверие».</w:t>
      </w:r>
      <w:r>
        <w:rPr>
          <w:rFonts w:ascii="Times New Roman" w:hAnsi="Times New Roman" w:cs="Times New Roman" w:eastAsia="Times New Roman"/>
          <w:color w:val="000000"/>
          <w:sz w:val="28"/>
          <w:szCs w:val="28"/>
          <w:lang w:val="ru-RU"/>
        </w:rPr>
        <w:t xml:space="preserve"> Между этапами «Интерес» и «Пробное использование» стандартной воронки в биометрии встраивается отдельный длинный этап работы с возражениями: разъяснение архитектуры хранения биометрии в ГИС ЕБС, демонстрация мер защиты, ответы на вопросы о конфиденциальности, публикация статистики точности. Без этого этапа большая часть аудитории, проявившей интерес, не доходит до пробного использования [6, с. 64; 20, с. 11; 19, с. 6].</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8"/>
          <w:szCs w:val="28"/>
          <w:lang w:val="ru-RU"/>
        </w:rPr>
        <w:t xml:space="preserve">Каналы продвижения смещаются в сторону экспертных и демонстрационных форматов.</w:t>
      </w:r>
      <w:r>
        <w:rPr>
          <w:rFonts w:ascii="Times New Roman" w:hAnsi="Times New Roman" w:cs="Times New Roman" w:eastAsia="Times New Roman"/>
          <w:color w:val="000000"/>
          <w:sz w:val="28"/>
          <w:szCs w:val="28"/>
          <w:lang w:val="ru-RU"/>
        </w:rPr>
        <w:t xml:space="preserve"> Удельный вес массовой рекламы снижается в пользу образовательного контент-маркетинга, отраслевых мероприятий, экспертных публикаций в деловых СМИ и физических демозон в офисах банка и партнёрских точках. Социальные сети используются не столько для прямого охвата, сколько для работы с возражениями и распространения отзывов «послов бренда» — технологически ориентированных сотрудников банка, корпоративных клиентов и пилотных пользователей [6, с. 102–135; 14, с. 161; 27].</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8"/>
          <w:szCs w:val="28"/>
          <w:lang w:val="ru-RU"/>
        </w:rPr>
        <w:t xml:space="preserve">Программы стимулирования и партнёрства образуют экосистемный слой продвижения.</w:t>
      </w:r>
      <w:r>
        <w:rPr>
          <w:rFonts w:ascii="Times New Roman" w:hAnsi="Times New Roman" w:cs="Times New Roman" w:eastAsia="Times New Roman"/>
          <w:color w:val="000000"/>
          <w:sz w:val="28"/>
          <w:szCs w:val="28"/>
          <w:lang w:val="ru-RU"/>
        </w:rPr>
        <w:t xml:space="preserve"> Геймификация регистрации, бонусные программы для ранних пользователей, эксклюзивный доступ к дополнительным функциям снижают психологические барьеры и повышают конверсию в пробное использование [18, с. 8; 6, с. 124; 19, с. 8]. Партнёрства с производителями турникетов и POS-терминалов, разработчиками СКУД, платёжными системами и государственными структурами расширяют каналы дистрибуции, а сама ассоциация с авторитетными партнёрами работает как дополнительный элемент Physical evidence в восприятии заказчиков [16, с. 51; 27].</w:t>
      </w:r>
    </w:p>
    <w:p>
      <w:pPr>
        <w:keepNext/>
        <w:keepLines/>
        <w:spacing w:before="200" w:after="120" w:line="36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8"/>
          <w:szCs w:val="28"/>
          <w:lang w:val="ru-RU"/>
        </w:rPr>
        <w:t xml:space="preserve">Переход к главе 2</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Сформированная теоретическая рамка позволяет дальше анализировать продвижение биометрического продукта Face2 Ак Барс Банка не как набор разрозненных активностей, а как систему. В главе 2 проверяется, как эта рамка реализована на практике: какой барьерный набор реально стоит перед Face2 на российском рынке, какие из четырёх условий успеха закрыты у Ак Барс Банка институционально, как конфигурируются инструменты продвижения под продуктовую линейку (Face2Pay, Face2Pass, Face2Check-in, КБС под ключ), и какие сегменты B2B и B2G банк уже охватывает первыми коммерческими внедрениями. Параграф 2.1 описывает банк как разработчика и продукт как объект продвижения, параграф 2.2 — конкурентное окружение и рыночные условия, параграф 2.3 — текущее состояние продвижения и его пробелы. Глава 3 на этой основе формирует целевой комплекс мероприятий по продвижению Face2.</w:t>
      </w:r>
    </w:p>
    <w:p>
      <w:pPr>
        <w:spacing w:before="0" w:after="0" w:line="360" w:lineRule="auto"/>
        <w:jc w:val="both"/>
        <w:rPr>
          <w:rFonts w:ascii="Times New Roman" w:hAnsi="Times New Roman" w:cs="Times New Roman" w:eastAsia="Times New Roman"/>
          <w:sz w:val="28"/>
          <w:szCs w:val="28"/>
          <w:lang w:val="ru-RU"/>
        </w:rPr>
      </w:pPr>
      <w:r>
        <w:br w:type="page"/>
      </w:r>
    </w:p>
    <w:p>
      <w:pPr>
        <w:keepNext/>
        <w:keepLines/>
        <w:spacing w:before="240" w:after="120" w:line="36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8"/>
          <w:szCs w:val="28"/>
          <w:lang w:val="ru-RU"/>
        </w:rPr>
        <w:t xml:space="preserve">ВЫВОД ПО ГЛАВЕ 1</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Инновационный продукт отличается от традиционного товара повышенным уровнем неопределённости рыночного успеха и необходимостью изменения поведенческих паттернов потребителя. Цифровые банковские инновации образуют подкласс с повышенными требованиями к защите данных и доверию пользователей; биометрические системы — крайний случай этого подкласса, сочетающий высокую технологическую сложность, работу с особо чувствительными персональными данными, жёсткий нормативно-правовой контур (№ 572-ФЗ, аккредитация Минцифры, сертификация ФСБ и ФСТЭК) и значительные психологические барьеры. Поэтому их продвижение не сводится к стандартному маркетингу и требует особой стратегии с образовательной составляющей, систематической работой с возражениями и демонстрацией мер защиты данных.</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Инструментально такая стратегия опирается на интегрированный подход push + pull, модель STP, расширенный комплекс 7P с особым весом People, Process и Physical evidence, маркетинговую воронку с обязательным этапом «Доверие» и теорию диффузии инноваций Э. Роджерса. Эти универсальные инструменты перенастраиваются под пять групп барьеров принятия биометрии и опираются на четыре условия её успешного продвижения — правовое, социально-психологическое, технологическое и экономическое. Сформулированная теоретическая рамка задаёт аналитический контур главы 2 (характеристика банка и продукта, анализ рынка и текущего продвижения) и главы 3 (разработка стратегии).</w:t>
      </w:r>
    </w:p>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jc w:val="both"/>
        <w:rPr>
          <w:rFonts w:ascii="Times New Roman" w:hAnsi="Times New Roman" w:cs="Times New Roman" w:eastAsia="Times New Roman"/>
          <w:sz w:val="28"/>
          <w:szCs w:val="28"/>
          <w:lang w:val="ru-RU"/>
        </w:rPr>
      </w:pPr>
      <w:r>
        <w:br w:type="page"/>
      </w:r>
    </w:p>
    <w:p>
      <w:pPr>
        <w:keepNext/>
        <w:keepLines/>
        <w:spacing w:before="240" w:after="120" w:line="36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8"/>
          <w:szCs w:val="28"/>
          <w:lang w:val="ru-RU"/>
        </w:rPr>
        <w:t xml:space="preserve">2. АНАЛИЗ ДЕЯТЕЛЬНОСТИ АК БАРС БАНКА В КОНТЕКСТЕ РАЗРАБОТКИ СТРАТЕГИИ ПРОДВИЖЕНИЯ ИННОВАЦИОННОГО ПРОДУКТА</w:t>
      </w:r>
    </w:p>
    <w:p>
      <w:pPr>
        <w:keepNext/>
        <w:keepLines/>
        <w:spacing w:before="240" w:after="120" w:line="36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8"/>
          <w:szCs w:val="28"/>
          <w:lang w:val="ru-RU"/>
        </w:rPr>
        <w:t xml:space="preserve">2.1. ХАРАКТЕРИСТИКА АК БАРС БАНКА И ПРОДУКТА FACE2</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Акционерный коммерческий банк «Ак Барс» — публичное акционерное общество со штаб-квартирой в Казани (ул. Декабристов, 1), работает по генеральной лицензии Банка России с 1993 года и входит в систему страхования вкладов [30, с. 6–7]. Основной регион присутствия — Республика Татарстан: на конец 2024 года доля местных поставщиков в бюджете закупок составила не менее 60% [26, с. 67]. Сводная динамика основных консолидированных показателей за 2023–2025 годы приведена в таблице 2.1.1.</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2.1.1</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Ключевые финансовые показатели группы банка «Ак Барс» за 2023–2025 гг., млн руб.</w:t>
      </w:r>
    </w:p>
    <w:tbl>
      <w:tblPr>
        <w:tblW w:w="9636"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5317"/>
        <w:gridCol w:w="1661"/>
        <w:gridCol w:w="1329"/>
        <w:gridCol w:w="1329"/>
      </w:tblGrid>
      <w:tr>
        <w:trPr>
          <w:tblHeader/>
          <w:cantSplit/>
        </w:trPr>
        <w:tc>
          <w:tcPr>
            <w:tcW w:w="5317"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Показатель</w:t>
            </w:r>
          </w:p>
        </w:tc>
        <w:tc>
          <w:tcPr>
            <w:tcW w:w="1661"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2023</w:t>
            </w:r>
          </w:p>
        </w:tc>
        <w:tc>
          <w:tcPr>
            <w:tcW w:w="1329"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2024</w:t>
            </w:r>
          </w:p>
        </w:tc>
        <w:tc>
          <w:tcPr>
            <w:tcW w:w="1329"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2025</w:t>
            </w:r>
          </w:p>
        </w:tc>
      </w:tr>
      <w:tr>
        <w:trPr>
          <w:cantSplit/>
        </w:trPr>
        <w:tc>
          <w:tcPr>
            <w:tcW w:w="531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Совокупные активы (на конец года)</w:t>
            </w:r>
          </w:p>
        </w:tc>
        <w:tc>
          <w:tcPr>
            <w:tcW w:w="16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н/д\*</w:t>
            </w:r>
          </w:p>
        </w:tc>
        <w:tc>
          <w:tcPr>
            <w:tcW w:w="132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946 923</w:t>
            </w:r>
          </w:p>
        </w:tc>
        <w:tc>
          <w:tcPr>
            <w:tcW w:w="132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1 157 340</w:t>
            </w:r>
          </w:p>
        </w:tc>
      </w:tr>
      <w:tr>
        <w:trPr>
          <w:cantSplit/>
        </w:trPr>
        <w:tc>
          <w:tcPr>
            <w:tcW w:w="531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Итого капитал (на конец года)</w:t>
            </w:r>
          </w:p>
        </w:tc>
        <w:tc>
          <w:tcPr>
            <w:tcW w:w="16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106 130</w:t>
            </w:r>
          </w:p>
        </w:tc>
        <w:tc>
          <w:tcPr>
            <w:tcW w:w="132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111 972</w:t>
            </w:r>
          </w:p>
        </w:tc>
        <w:tc>
          <w:tcPr>
            <w:tcW w:w="132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126 377</w:t>
            </w:r>
          </w:p>
        </w:tc>
      </w:tr>
      <w:tr>
        <w:trPr>
          <w:cantSplit/>
        </w:trPr>
        <w:tc>
          <w:tcPr>
            <w:tcW w:w="531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Чистые процентные доходы</w:t>
            </w:r>
          </w:p>
        </w:tc>
        <w:tc>
          <w:tcPr>
            <w:tcW w:w="16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31 824</w:t>
            </w:r>
          </w:p>
        </w:tc>
        <w:tc>
          <w:tcPr>
            <w:tcW w:w="132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46 590</w:t>
            </w:r>
          </w:p>
        </w:tc>
        <w:tc>
          <w:tcPr>
            <w:tcW w:w="132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58 135</w:t>
            </w:r>
          </w:p>
        </w:tc>
      </w:tr>
      <w:tr>
        <w:trPr>
          <w:cantSplit/>
        </w:trPr>
        <w:tc>
          <w:tcPr>
            <w:tcW w:w="531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Прибыль за период</w:t>
            </w:r>
          </w:p>
        </w:tc>
        <w:tc>
          <w:tcPr>
            <w:tcW w:w="16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14 195</w:t>
            </w:r>
          </w:p>
        </w:tc>
        <w:tc>
          <w:tcPr>
            <w:tcW w:w="132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7 269</w:t>
            </w:r>
          </w:p>
        </w:tc>
        <w:tc>
          <w:tcPr>
            <w:tcW w:w="132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15 708</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по данным [31, с. 1–3; 30, с. 2–3]</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 В источнике [31] показатель совокупных активов на конец 2023 года не раскрывается.</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Дивиденды по итогам отчётных периодов не выплачиваются, а основной финансовый результат концентрируется в корпоративном и инвестиционном сегментах [31, с. 66, 68; 30, с. 2–3]: ресурсы для продвижения нового продукта остаются внутри группы, а собственная B2B-база работает как готовый канал входа для Face2.</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Действующая Стратегия развития Ак Барс Банка на 2022–2026 годы фиксирует три приоритета: эффективность, клиентоцентричность и гибкость [26, с. 16]. Биометрический продукт встаёт в этот контур естественно: «технологический суверенитет» закрывается у Face2 через сертификацию ФСБ, ФСТЭК и попадание в реестр отечественного ПО [27], «клиентоцентричность» — через сценарии оплаты и доступа без карт и документов, «гибкость» — через возможность быстро запускать сервисы на одной платформе для разных сегментов B2B. Face2 — не точечный эксперимент, а реализация трёх приоритетов одновременно. Клиентская база и розничный портфель банка задают канал, через который продукт может быть распространён во внешний рынок (таблица 2.1.2).</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2.1.2</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Клиентская база и продуктовые показатели Ак Барс Банка по итогам 2024 года</w:t>
      </w:r>
    </w:p>
    <w:tbl>
      <w:tblPr>
        <w:tblW w:w="9637"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7052"/>
        <w:gridCol w:w="2585"/>
      </w:tblGrid>
      <w:tr>
        <w:trPr>
          <w:tblHeader/>
          <w:cantSplit/>
        </w:trPr>
        <w:tc>
          <w:tcPr>
            <w:tcW w:w="7052"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Показатель</w:t>
            </w:r>
          </w:p>
        </w:tc>
        <w:tc>
          <w:tcPr>
            <w:tcW w:w="2585"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Значение на 01.01.2025</w:t>
            </w:r>
          </w:p>
        </w:tc>
      </w:tr>
      <w:tr>
        <w:trPr>
          <w:cantSplit/>
        </w:trPr>
        <w:tc>
          <w:tcPr>
            <w:tcW w:w="705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Розничные клиенты, тыс. чел.</w:t>
            </w:r>
          </w:p>
        </w:tc>
        <w:tc>
          <w:tcPr>
            <w:tcW w:w="258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934</w:t>
            </w:r>
          </w:p>
        </w:tc>
      </w:tr>
      <w:tr>
        <w:trPr>
          <w:cantSplit/>
        </w:trPr>
        <w:tc>
          <w:tcPr>
            <w:tcW w:w="705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Корпоративные клиенты, тыс.</w:t>
            </w:r>
          </w:p>
        </w:tc>
        <w:tc>
          <w:tcPr>
            <w:tcW w:w="258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33,9</w:t>
            </w:r>
          </w:p>
        </w:tc>
      </w:tr>
      <w:tr>
        <w:trPr>
          <w:cantSplit/>
        </w:trPr>
        <w:tc>
          <w:tcPr>
            <w:tcW w:w="705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Активные пользователи Ак Барс Онлайн, тыс.</w:t>
            </w:r>
          </w:p>
        </w:tc>
        <w:tc>
          <w:tcPr>
            <w:tcW w:w="258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930</w:t>
            </w:r>
          </w:p>
        </w:tc>
      </w:tr>
      <w:tr>
        <w:trPr>
          <w:cantSplit/>
        </w:trPr>
        <w:tc>
          <w:tcPr>
            <w:tcW w:w="705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Действующие банковские карты, тыс. шт.</w:t>
            </w:r>
          </w:p>
        </w:tc>
        <w:tc>
          <w:tcPr>
            <w:tcW w:w="258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2 265</w:t>
            </w:r>
          </w:p>
        </w:tc>
      </w:tr>
      <w:tr>
        <w:trPr>
          <w:cantSplit/>
        </w:trPr>
        <w:tc>
          <w:tcPr>
            <w:tcW w:w="705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Карты жителя Республики Татарстан (всего, включая Детскую карту), шт.</w:t>
            </w:r>
          </w:p>
        </w:tc>
        <w:tc>
          <w:tcPr>
            <w:tcW w:w="258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450 131</w:t>
            </w:r>
          </w:p>
        </w:tc>
      </w:tr>
      <w:tr>
        <w:trPr>
          <w:cantSplit/>
        </w:trPr>
        <w:tc>
          <w:tcPr>
            <w:tcW w:w="705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Объём транзакций через Ак Барс Онлайн за год, млн</w:t>
            </w:r>
          </w:p>
        </w:tc>
        <w:tc>
          <w:tcPr>
            <w:tcW w:w="258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12</w:t>
            </w:r>
          </w:p>
        </w:tc>
      </w:tr>
      <w:tr>
        <w:trPr>
          <w:cantSplit/>
        </w:trPr>
        <w:tc>
          <w:tcPr>
            <w:tcW w:w="705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Розничный кредитный портфель, млрд руб.</w:t>
            </w:r>
          </w:p>
        </w:tc>
        <w:tc>
          <w:tcPr>
            <w:tcW w:w="258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199</w:t>
            </w:r>
          </w:p>
        </w:tc>
      </w:tr>
      <w:tr>
        <w:trPr>
          <w:cantSplit/>
        </w:trPr>
        <w:tc>
          <w:tcPr>
            <w:tcW w:w="705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Корпоративный кредитный портфель, млрд руб.</w:t>
            </w:r>
          </w:p>
        </w:tc>
        <w:tc>
          <w:tcPr>
            <w:tcW w:w="258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203</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по данным [26, с. 17, 25, 28, 29, 33]</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Банк одновременно работает с массовой розницей, корпоративным сегментом и социальной аудиторией Татарстана: «Карта жителя Республики Татарстан» охватывает 450 тыс. держателей, в том числе 115 тыс. школьников [26, с. 29]. Цифровая зрелость подтверждается 12 млн транзакций в «Ак Барс Онлайн» за год при сохранении активной аудитории около 930 тыс. человек после удаления приложения из AppStore в начале 2024 года и уже встроенным в приложение функционалом оплаты по биометрии [26, с. 33]. Запущен биоэквайринг через СБП в Казанском метрополитене — совместный проект с Минцифры России, Минтрансом России, Центром биометрических технологий и НСПК [26, с. 30–31]. Кредитные и ESG-рейтинги банка — уровня «A»/«BBB» по национальной шкале всех трёх профильных агентств (АКРА, «Эксперт РА», НКР) и Банка России [26, с. 4]: для B2B-заказчика Face2 это сигнал, что за продуктом стоит финансово устойчивый и аккредитованный банк, а не технологический стартап.</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Команда Face2 много лет экспериментировала с разными методами обработки изображений и сосредоточилась на компьютерном зрении; точкой старта стал тестовый биометрический проект 2019 года в офисах самого банка [27]. Хронология развития проекта собрана в таблице 2.1.3.</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2.1.3</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Хронология развития проекта Face2</w:t>
      </w:r>
    </w:p>
    <w:tbl>
      <w:tblPr>
        <w:tblW w:w="9637"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133"/>
        <w:gridCol w:w="8504"/>
      </w:tblGrid>
      <w:tr>
        <w:trPr>
          <w:tblHeader/>
          <w:cantSplit/>
        </w:trPr>
        <w:tc>
          <w:tcPr>
            <w:tcW w:w="1133"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Год</w:t>
            </w:r>
          </w:p>
        </w:tc>
        <w:tc>
          <w:tcPr>
            <w:tcW w:w="8504"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Ключевое событие</w:t>
            </w:r>
          </w:p>
        </w:tc>
      </w:tr>
      <w:tr>
        <w:trPr>
          <w:cantSplit/>
        </w:trPr>
        <w:tc>
          <w:tcPr>
            <w:tcW w:w="113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2019</w:t>
            </w:r>
          </w:p>
        </w:tc>
        <w:tc>
          <w:tcPr>
            <w:tcW w:w="850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Тестовый биометрический проект в офисах Ак Барс Банка</w:t>
            </w:r>
          </w:p>
        </w:tc>
      </w:tr>
      <w:tr>
        <w:trPr>
          <w:cantSplit/>
        </w:trPr>
        <w:tc>
          <w:tcPr>
            <w:tcW w:w="113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2022</w:t>
            </w:r>
          </w:p>
        </w:tc>
        <w:tc>
          <w:tcPr>
            <w:tcW w:w="850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Создание бренда Face2; запуск сервисов доступа на территорию без карточек и выдачи книг в библиотеках без документов</w:t>
            </w:r>
          </w:p>
        </w:tc>
      </w:tr>
      <w:tr>
        <w:trPr>
          <w:cantSplit/>
        </w:trPr>
        <w:tc>
          <w:tcPr>
            <w:tcW w:w="113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2023</w:t>
            </w:r>
          </w:p>
        </w:tc>
        <w:tc>
          <w:tcPr>
            <w:tcW w:w="850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Создание коммерческой биометрической системы (КБС) и аккредитация Минцифры России (Решение № 4-А от 15.11.2023)</w:t>
            </w:r>
          </w:p>
        </w:tc>
      </w:tr>
      <w:tr>
        <w:trPr>
          <w:cantSplit/>
        </w:trPr>
        <w:tc>
          <w:tcPr>
            <w:tcW w:w="113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2024</w:t>
            </w:r>
          </w:p>
        </w:tc>
        <w:tc>
          <w:tcPr>
            <w:tcW w:w="850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Запуск оплаты по лицу, в том числе в Казанском метрополитене</w:t>
            </w:r>
          </w:p>
        </w:tc>
      </w:tr>
      <w:tr>
        <w:trPr>
          <w:cantSplit/>
        </w:trPr>
        <w:tc>
          <w:tcPr>
            <w:tcW w:w="113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2025</w:t>
            </w:r>
          </w:p>
        </w:tc>
        <w:tc>
          <w:tcPr>
            <w:tcW w:w="850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Запуск сервисов подтверждения возраста и регистрации в гостинице без паспорта</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по данным [27]</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Регуляторный контур Face2 определяет 572-ФЗ от 29 декабря 2022 года: сбор биометрии лица отдан только аккредитованным организациям, векторы хранятся в ГИС ЕБС, аутентификация — только при согласии гражданина [27]. Решение Минцифры России № 4-А от 15 ноября 2023 года вписало банк в число первых в стране операторов КБС [27]. Этот статус — главная разделительная линия между Face2 и локальными биометрическими системами на рынке: локальные решения нарушают 572-ФЗ, не сертифицированы ФСБ России и не обеспечивают защиты биометрических данных [27]. Подробный разбор нормативной базы и ужесточения ответственности по 420-ФЗ и 421-ФЗ от 30.11.2024 вынесен в подраздел 2.2 «Регуляторный и инфраструктурный контур рынка» и здесь не повторяется.</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Технологическое ядро Face2 строится на компьютерном зрении и подчинено требованиям 572-ФЗ. Система Face2Pass прошла сертификацию ФСБ и ФСТЭК и попала в реестр отечественного программного обеспечения [27]. Заявленная точность распознавания — 99,5%, среднее время сканирования при благоприятных условиях — около двух секунд [27]. Архитектура работы с данными показана на рисунке 2.1.1.</w:t>
      </w:r>
    </w:p>
    <w:p>
      <w:pPr>
        <w:keepLines/>
        <w:spacing w:before="0" w:after="0" w:line="240" w:lineRule="auto"/>
        <w:jc w:val="left"/>
        <w:rPr>
          <w:rFonts w:ascii="Times New Roman" w:hAnsi="Times New Roman" w:cs="Times New Roman" w:eastAsia="Times New Roman"/>
          <w:sz w:val="28"/>
          <w:szCs w:val="28"/>
          <w:lang w:val="ru-RU"/>
        </w:rPr>
      </w:pPr>
      <w:r>
        <w:rPr>
          <w:rFonts w:ascii="Courier New" w:hAnsi="Courier New" w:cs="Courier New" w:eastAsia="Courier New"/>
          <w:color w:val="000000"/>
          <w:sz w:val="18"/>
          <w:szCs w:val="18"/>
          <w:lang w:val="ru-RU"/>
        </w:rPr>
        <w:t xml:space="preserve">   ┌─────────┐    упрощённая    ┌──────────────────┐</w:t>
      </w:r>
    </w:p>
    <w:p>
      <w:pPr>
        <w:keepLines/>
        <w:spacing w:before="0" w:after="0" w:line="240" w:lineRule="auto"/>
        <w:jc w:val="left"/>
        <w:rPr>
          <w:rFonts w:ascii="Times New Roman" w:hAnsi="Times New Roman" w:cs="Times New Roman" w:eastAsia="Times New Roman"/>
          <w:sz w:val="28"/>
          <w:szCs w:val="28"/>
          <w:lang w:val="ru-RU"/>
        </w:rPr>
      </w:pPr>
      <w:r>
        <w:rPr>
          <w:rFonts w:ascii="Courier New" w:hAnsi="Courier New" w:cs="Courier New" w:eastAsia="Courier New"/>
          <w:color w:val="000000"/>
          <w:sz w:val="18"/>
          <w:szCs w:val="18"/>
          <w:lang w:val="ru-RU"/>
        </w:rPr>
        <w:t xml:space="preserve">   │ Клиент  │ ───биометрия───▶│  ГИС ЕБС         │</w:t>
      </w:r>
    </w:p>
    <w:p>
      <w:pPr>
        <w:keepLines/>
        <w:spacing w:before="0" w:after="0" w:line="240" w:lineRule="auto"/>
        <w:jc w:val="left"/>
        <w:rPr>
          <w:rFonts w:ascii="Times New Roman" w:hAnsi="Times New Roman" w:cs="Times New Roman" w:eastAsia="Times New Roman"/>
          <w:sz w:val="28"/>
          <w:szCs w:val="28"/>
          <w:lang w:val="ru-RU"/>
        </w:rPr>
      </w:pPr>
      <w:r>
        <w:rPr>
          <w:rFonts w:ascii="Courier New" w:hAnsi="Courier New" w:cs="Courier New" w:eastAsia="Courier New"/>
          <w:color w:val="000000"/>
          <w:sz w:val="18"/>
          <w:szCs w:val="18"/>
          <w:lang w:val="ru-RU"/>
        </w:rPr>
        <w:t xml:space="preserve">   │         │                  │  (Минцифры РФ)   │</w:t>
      </w:r>
    </w:p>
    <w:p>
      <w:pPr>
        <w:keepLines/>
        <w:spacing w:before="0" w:after="0" w:line="240" w:lineRule="auto"/>
        <w:jc w:val="left"/>
        <w:rPr>
          <w:rFonts w:ascii="Times New Roman" w:hAnsi="Times New Roman" w:cs="Times New Roman" w:eastAsia="Times New Roman"/>
          <w:sz w:val="28"/>
          <w:szCs w:val="28"/>
          <w:lang w:val="ru-RU"/>
        </w:rPr>
      </w:pPr>
      <w:r>
        <w:rPr>
          <w:rFonts w:ascii="Courier New" w:hAnsi="Courier New" w:cs="Courier New" w:eastAsia="Courier New"/>
          <w:color w:val="000000"/>
          <w:sz w:val="18"/>
          <w:szCs w:val="18"/>
          <w:lang w:val="ru-RU"/>
        </w:rPr>
        <w:t xml:space="preserve">   └────┬────┘                  └────────┬─────────┘</w:t>
      </w:r>
    </w:p>
    <w:p>
      <w:pPr>
        <w:keepLines/>
        <w:spacing w:before="0" w:after="0" w:line="240" w:lineRule="auto"/>
        <w:jc w:val="left"/>
        <w:rPr>
          <w:rFonts w:ascii="Times New Roman" w:hAnsi="Times New Roman" w:cs="Times New Roman" w:eastAsia="Times New Roman"/>
          <w:sz w:val="28"/>
          <w:szCs w:val="28"/>
          <w:lang w:val="ru-RU"/>
        </w:rPr>
      </w:pPr>
      <w:r>
        <w:rPr>
          <w:rFonts w:ascii="Courier New" w:hAnsi="Courier New" w:cs="Courier New" w:eastAsia="Courier New"/>
          <w:color w:val="000000"/>
          <w:sz w:val="18"/>
          <w:szCs w:val="18"/>
          <w:lang w:val="ru-RU"/>
        </w:rPr>
        <w:t xml:space="preserve">        │ согласие                       │ вектор</w:t>
      </w:r>
    </w:p>
    <w:p>
      <w:pPr>
        <w:keepLines/>
        <w:spacing w:before="0" w:after="0" w:line="240" w:lineRule="auto"/>
        <w:jc w:val="left"/>
        <w:rPr>
          <w:rFonts w:ascii="Times New Roman" w:hAnsi="Times New Roman" w:cs="Times New Roman" w:eastAsia="Times New Roman"/>
          <w:sz w:val="28"/>
          <w:szCs w:val="28"/>
          <w:lang w:val="ru-RU"/>
        </w:rPr>
      </w:pPr>
      <w:r>
        <w:rPr>
          <w:rFonts w:ascii="Courier New" w:hAnsi="Courier New" w:cs="Courier New" w:eastAsia="Courier New"/>
          <w:color w:val="000000"/>
          <w:sz w:val="18"/>
          <w:szCs w:val="18"/>
          <w:lang w:val="ru-RU"/>
        </w:rPr>
        <w:t xml:space="preserve">        │ на КБС АББ                     ▼</w:t>
      </w:r>
    </w:p>
    <w:p>
      <w:pPr>
        <w:keepLines/>
        <w:spacing w:before="0" w:after="0" w:line="240" w:lineRule="auto"/>
        <w:jc w:val="left"/>
        <w:rPr>
          <w:rFonts w:ascii="Times New Roman" w:hAnsi="Times New Roman" w:cs="Times New Roman" w:eastAsia="Times New Roman"/>
          <w:sz w:val="28"/>
          <w:szCs w:val="28"/>
          <w:lang w:val="ru-RU"/>
        </w:rPr>
      </w:pPr>
      <w:r>
        <w:rPr>
          <w:rFonts w:ascii="Courier New" w:hAnsi="Courier New" w:cs="Courier New" w:eastAsia="Courier New"/>
          <w:color w:val="000000"/>
          <w:sz w:val="18"/>
          <w:szCs w:val="18"/>
          <w:lang w:val="ru-RU"/>
        </w:rPr>
        <w:t xml:space="preserve">        │                       ┌──────────────────┐</w:t>
      </w:r>
    </w:p>
    <w:p>
      <w:pPr>
        <w:keepLines/>
        <w:spacing w:before="0" w:after="0" w:line="240" w:lineRule="auto"/>
        <w:jc w:val="left"/>
        <w:rPr>
          <w:rFonts w:ascii="Times New Roman" w:hAnsi="Times New Roman" w:cs="Times New Roman" w:eastAsia="Times New Roman"/>
          <w:sz w:val="28"/>
          <w:szCs w:val="28"/>
          <w:lang w:val="ru-RU"/>
        </w:rPr>
      </w:pPr>
      <w:r>
        <w:rPr>
          <w:rFonts w:ascii="Courier New" w:hAnsi="Courier New" w:cs="Courier New" w:eastAsia="Courier New"/>
          <w:color w:val="000000"/>
          <w:sz w:val="18"/>
          <w:szCs w:val="18"/>
          <w:lang w:val="ru-RU"/>
        </w:rPr>
        <w:t xml:space="preserve">        └─────────────────────▶│ КБС Ак Барс Банк │</w:t>
      </w:r>
    </w:p>
    <w:p>
      <w:pPr>
        <w:keepLines/>
        <w:spacing w:before="0" w:after="0" w:line="240" w:lineRule="auto"/>
        <w:jc w:val="left"/>
        <w:rPr>
          <w:rFonts w:ascii="Times New Roman" w:hAnsi="Times New Roman" w:cs="Times New Roman" w:eastAsia="Times New Roman"/>
          <w:sz w:val="28"/>
          <w:szCs w:val="28"/>
          <w:lang w:val="ru-RU"/>
        </w:rPr>
      </w:pPr>
      <w:r>
        <w:rPr>
          <w:rFonts w:ascii="Courier New" w:hAnsi="Courier New" w:cs="Courier New" w:eastAsia="Courier New"/>
          <w:color w:val="000000"/>
          <w:sz w:val="18"/>
          <w:szCs w:val="18"/>
          <w:lang w:val="ru-RU"/>
        </w:rPr>
        <w:t xml:space="preserve">                                │     (Face2)      │</w:t>
      </w:r>
    </w:p>
    <w:p>
      <w:pPr>
        <w:keepLines/>
        <w:spacing w:before="0" w:after="0" w:line="240" w:lineRule="auto"/>
        <w:jc w:val="left"/>
        <w:rPr>
          <w:rFonts w:ascii="Times New Roman" w:hAnsi="Times New Roman" w:cs="Times New Roman" w:eastAsia="Times New Roman"/>
          <w:sz w:val="28"/>
          <w:szCs w:val="28"/>
          <w:lang w:val="ru-RU"/>
        </w:rPr>
      </w:pPr>
      <w:r>
        <w:rPr>
          <w:rFonts w:ascii="Courier New" w:hAnsi="Courier New" w:cs="Courier New" w:eastAsia="Courier New"/>
          <w:color w:val="000000"/>
          <w:sz w:val="18"/>
          <w:szCs w:val="18"/>
          <w:lang w:val="ru-RU"/>
        </w:rPr>
        <w:t xml:space="preserve">                                └────────┬─────────┘</w:t>
      </w:r>
    </w:p>
    <w:p>
      <w:pPr>
        <w:keepLines/>
        <w:spacing w:before="0" w:after="0" w:line="240" w:lineRule="auto"/>
        <w:jc w:val="left"/>
        <w:rPr>
          <w:rFonts w:ascii="Times New Roman" w:hAnsi="Times New Roman" w:cs="Times New Roman" w:eastAsia="Times New Roman"/>
          <w:sz w:val="28"/>
          <w:szCs w:val="28"/>
          <w:lang w:val="ru-RU"/>
        </w:rPr>
      </w:pPr>
      <w:r>
        <w:rPr>
          <w:rFonts w:ascii="Courier New" w:hAnsi="Courier New" w:cs="Courier New" w:eastAsia="Courier New"/>
          <w:color w:val="000000"/>
          <w:sz w:val="18"/>
          <w:szCs w:val="18"/>
          <w:lang w:val="ru-RU"/>
        </w:rPr>
        <w:t xml:space="preserve">                                         │</w:t>
      </w:r>
    </w:p>
    <w:p>
      <w:pPr>
        <w:keepLines/>
        <w:spacing w:before="0" w:after="0" w:line="240" w:lineRule="auto"/>
        <w:jc w:val="left"/>
        <w:rPr>
          <w:rFonts w:ascii="Times New Roman" w:hAnsi="Times New Roman" w:cs="Times New Roman" w:eastAsia="Times New Roman"/>
          <w:sz w:val="28"/>
          <w:szCs w:val="28"/>
          <w:lang w:val="ru-RU"/>
        </w:rPr>
      </w:pPr>
      <w:r>
        <w:rPr>
          <w:rFonts w:ascii="Courier New" w:hAnsi="Courier New" w:cs="Courier New" w:eastAsia="Courier New"/>
          <w:color w:val="000000"/>
          <w:sz w:val="18"/>
          <w:szCs w:val="18"/>
          <w:lang w:val="ru-RU"/>
        </w:rPr>
        <w:t xml:space="preserve">              ┌──────────────────────────┼──────────────────────────┐</w:t>
      </w:r>
    </w:p>
    <w:p>
      <w:pPr>
        <w:keepLines/>
        <w:spacing w:before="0" w:after="0" w:line="240" w:lineRule="auto"/>
        <w:jc w:val="left"/>
        <w:rPr>
          <w:rFonts w:ascii="Times New Roman" w:hAnsi="Times New Roman" w:cs="Times New Roman" w:eastAsia="Times New Roman"/>
          <w:sz w:val="28"/>
          <w:szCs w:val="28"/>
          <w:lang w:val="ru-RU"/>
        </w:rPr>
      </w:pPr>
      <w:r>
        <w:rPr>
          <w:rFonts w:ascii="Courier New" w:hAnsi="Courier New" w:cs="Courier New" w:eastAsia="Courier New"/>
          <w:color w:val="000000"/>
          <w:sz w:val="18"/>
          <w:szCs w:val="18"/>
          <w:lang w:val="ru-RU"/>
        </w:rPr>
        <w:t xml:space="preserve">              ▼                          ▼                          ▼</w:t>
      </w:r>
    </w:p>
    <w:p>
      <w:pPr>
        <w:keepLines/>
        <w:spacing w:before="0" w:after="0" w:line="240" w:lineRule="auto"/>
        <w:jc w:val="left"/>
        <w:rPr>
          <w:rFonts w:ascii="Times New Roman" w:hAnsi="Times New Roman" w:cs="Times New Roman" w:eastAsia="Times New Roman"/>
          <w:sz w:val="28"/>
          <w:szCs w:val="28"/>
          <w:lang w:val="ru-RU"/>
        </w:rPr>
      </w:pPr>
      <w:r>
        <w:rPr>
          <w:rFonts w:ascii="Courier New" w:hAnsi="Courier New" w:cs="Courier New" w:eastAsia="Courier New"/>
          <w:color w:val="000000"/>
          <w:sz w:val="18"/>
          <w:szCs w:val="18"/>
          <w:lang w:val="ru-RU"/>
        </w:rPr>
        <w:t xml:space="preserve">       Face2Pay                     Face2Pass                Face2Check-in</w:t>
      </w:r>
    </w:p>
    <w:p>
      <w:pPr>
        <w:keepLines/>
        <w:spacing w:before="0" w:after="0" w:line="240" w:lineRule="auto"/>
        <w:jc w:val="left"/>
        <w:rPr>
          <w:rFonts w:ascii="Times New Roman" w:hAnsi="Times New Roman" w:cs="Times New Roman" w:eastAsia="Times New Roman"/>
          <w:sz w:val="28"/>
          <w:szCs w:val="28"/>
          <w:lang w:val="ru-RU"/>
        </w:rPr>
      </w:pPr>
      <w:r>
        <w:rPr>
          <w:rFonts w:ascii="Courier New" w:hAnsi="Courier New" w:cs="Courier New" w:eastAsia="Courier New"/>
          <w:color w:val="000000"/>
          <w:sz w:val="18"/>
          <w:szCs w:val="18"/>
          <w:lang w:val="ru-RU"/>
        </w:rPr>
        <w:t xml:space="preserve">       (оплата по лицу)            (контроль доступа)        (подтверждение возраста)</w:t>
      </w:r>
    </w:p>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по данным [27]</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Рис. 2.1.1. Архитектура взаимодействия Face2 с ГИС ЕБС в контуре коммерческой биометрической системы</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Схема снимает один из ключевых барьеров доверия к биометрии: клиент сдаёт упрощённую биометрию через приложение «Госуслуги Биометрия», вектор хранится в государственной системе, а банк получает обезличенный вектор только по явному согласию пользователя [27]. Криптозащита и сертификация ФСБ закрывают риски утечки и подделки.</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Пользовательский путь подключения к Face2 укладывается в четыре шага: установка приложения «Госуслуги Биометрия», сдача упрощённой биометрии через приложение, согласие на использование биометрического вектора КБС Ак Барс Банка, проход в офис или оплата по лицу [27]. Каждый шаг — за пределами контура самого заказчика, что снимает с клиентского бизнеса нагрузку по сбору и хранению чувствительных данных. Со стороны заказчика для запуска требуется только турникет, совместимый с биотерминалами, стабильное интернет-соединение со скоростью не менее 10 Мбит/с и непрерывностью работы канала не менее 95%, а также доступ к базовой СКУД-системе [27]. Низкий порог входа по инфраструктуре — один из ключевых аргументов в продвижении.</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Линейка Face2 собирается вокруг базовой системы КБС, а продажи распадаются на два экономически разных уровня. Уровень 1 — поставка полного программного контура КБС аккредитованной организации-оператору биометрии (банку-партнёру или госструктуре с правом регистрировать векторы в ЕБС) [28; 29]. Уровень 2 — подключение конечного объекта (магазина, турникета, бизнес-центра, спортивной арены, точки продажи алкоголя) к КБС, размещённой у Ак Барс Банка, по транзакционной или абонементной модели без аккредитации заказчика [27; 29]. Состав продуктов и целевые сегменты с разнесением по этим уровням показаны в таблице 2.1.4.</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2.1.4</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Линейка продуктов Face2 в разрезе двух уровней продажи и экономики</w:t>
      </w:r>
    </w:p>
    <w:tbl>
      <w:tblPr>
        <w:tblW w:w="9637"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661"/>
        <w:gridCol w:w="1994"/>
        <w:gridCol w:w="1994"/>
        <w:gridCol w:w="1994"/>
        <w:gridCol w:w="1994"/>
      </w:tblGrid>
      <w:tr>
        <w:trPr>
          <w:tblHeader/>
          <w:cantSplit/>
        </w:trPr>
        <w:tc>
          <w:tcPr>
            <w:tcW w:w="1661"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Уровень продажи</w:t>
            </w:r>
          </w:p>
        </w:tc>
        <w:tc>
          <w:tcPr>
            <w:tcW w:w="1994"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Продукт</w:t>
            </w:r>
          </w:p>
        </w:tc>
        <w:tc>
          <w:tcPr>
            <w:tcW w:w="1994"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Решаемая задача</w:t>
            </w:r>
          </w:p>
        </w:tc>
        <w:tc>
          <w:tcPr>
            <w:tcW w:w="1994"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Целевые сегменты</w:t>
            </w:r>
          </w:p>
        </w:tc>
        <w:tc>
          <w:tcPr>
            <w:tcW w:w="1994"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Экономическая модель</w:t>
            </w:r>
          </w:p>
        </w:tc>
      </w:tr>
      <w:tr>
        <w:trPr>
          <w:cantSplit/>
        </w:trPr>
        <w:tc>
          <w:tcPr>
            <w:tcW w:w="16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Уровень 1. КБС под ключ для оператора биометрии</w:t>
            </w:r>
          </w:p>
        </w:tc>
        <w:tc>
          <w:tcPr>
            <w:tcW w:w="199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Полный контур Face2 (КБС API, Face2Pay, пассивный liveness, Face2SDK) с интеграциями ЕСИА, ЕБС, СМЭВ, КриптоПро DSS</w:t>
            </w:r>
          </w:p>
        </w:tc>
        <w:tc>
          <w:tcPr>
            <w:tcW w:w="199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Передача аккредитованной организации программного контура КБС для самостоятельной работы оператором биометрии</w:t>
            </w:r>
          </w:p>
        </w:tc>
        <w:tc>
          <w:tcPr>
            <w:tcW w:w="199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Банки и МФО со статусом оператора по № 115-ФЗ; госструктуры федерального и регионального уровня; крупные корпорации с профильной аккредитацией</w:t>
            </w:r>
          </w:p>
        </w:tc>
        <w:tc>
          <w:tcPr>
            <w:tcW w:w="199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Единичные крупные сделки длительного цикла: лицензия + развёртывание + SLA. Выручка — десятки–сотни млн руб. за сделку</w:t>
            </w:r>
          </w:p>
        </w:tc>
      </w:tr>
      <w:tr>
        <w:trPr>
          <w:cantSplit/>
        </w:trPr>
        <w:tc>
          <w:tcPr>
            <w:tcW w:w="16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Уровень 2. Подключение конечного объекта к КБС АББ</w:t>
            </w:r>
          </w:p>
        </w:tc>
        <w:tc>
          <w:tcPr>
            <w:tcW w:w="199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Face2Pay (биоэквайринг)</w:t>
            </w:r>
          </w:p>
        </w:tc>
        <w:tc>
          <w:tcPr>
            <w:tcW w:w="199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Оплата по лицу через КБС АББ без биометрической инфраструктуры в контуре заказчика</w:t>
            </w:r>
          </w:p>
        </w:tc>
        <w:tc>
          <w:tcPr>
            <w:tcW w:w="199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Ритейл, транспорт, вендинг, маркетплейсы, киоски</w:t>
            </w:r>
          </w:p>
        </w:tc>
        <w:tc>
          <w:tcPr>
            <w:tcW w:w="199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Транзакционная модель, короткий цикл подключения; выручка — десятки–сотни тыс. руб./мес. с объекта</w:t>
            </w:r>
          </w:p>
        </w:tc>
      </w:tr>
      <w:tr>
        <w:trPr>
          <w:cantSplit/>
        </w:trPr>
        <w:tc>
          <w:tcPr>
            <w:tcW w:w="16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Уровень 2. Подключение конечного объекта к КБС АББ</w:t>
            </w:r>
          </w:p>
        </w:tc>
        <w:tc>
          <w:tcPr>
            <w:tcW w:w="199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Face2Pass / Face2Pass.Terminal</w:t>
            </w:r>
          </w:p>
        </w:tc>
        <w:tc>
          <w:tcPr>
            <w:tcW w:w="199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СКУД на распознавании лиц через ЕБС без аккредитации заказчика</w:t>
            </w:r>
          </w:p>
        </w:tc>
        <w:tc>
          <w:tcPr>
            <w:tcW w:w="199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Заводы, БЦ, вузы, площадки мероприятий, логистика</w:t>
            </w:r>
          </w:p>
        </w:tc>
        <w:tc>
          <w:tcPr>
            <w:tcW w:w="199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Лицензия на объект + поставка биотерминалов + абонементная плата</w:t>
            </w:r>
          </w:p>
        </w:tc>
      </w:tr>
      <w:tr>
        <w:trPr>
          <w:cantSplit/>
        </w:trPr>
        <w:tc>
          <w:tcPr>
            <w:tcW w:w="16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Уровень 2. Подключение конечного объекта к КБС АББ</w:t>
            </w:r>
          </w:p>
        </w:tc>
        <w:tc>
          <w:tcPr>
            <w:tcW w:w="199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Face2Check-in</w:t>
            </w:r>
          </w:p>
        </w:tc>
        <w:tc>
          <w:tcPr>
            <w:tcW w:w="199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Подтверждение возраста и личности по вектору из ЕБС</w:t>
            </w:r>
          </w:p>
        </w:tc>
        <w:tc>
          <w:tcPr>
            <w:tcW w:w="199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Аэропорты, спортивные объекты, гостиницы, точки продажи алкоголя и рецептурных лекарств</w:t>
            </w:r>
          </w:p>
        </w:tc>
        <w:tc>
          <w:tcPr>
            <w:tcW w:w="199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Транзакционная или абонементная модель; единица продажи — точка продаж / зона контроля</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по данным [27; 28, разд. «Требования к окружению», «Системные требования», «Варианты развертывания»; 29, разд. «Описание функциональных возможностей продукта»]</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Разделение на два уровня показывает, что один и тот же программный фундамент Face2 продаётся в двух экономически разных моделях. Первый уровень даёт банку единичные крупные сделки длительного цикла с аккредитованными контрагентами, второй — массу типовых подключений конечных объектов с быстрой выручкой по транзакционной или абонементной схеме. Это требует разной маркетинговой логики: длинной экспертной коммуникации с аккредитованной организацией на первом уровне и короткой продуктовой коммуникации с конечным объектом на втором.</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Внешние партнёрства и пилотные внедрения 2024 года показывают, что Face2 уже вышел за пределы внутреннего контура группы. Биоэквайринг в Казанском метрополитене реализован совместно с Минцифры России, Минтрансом России, Центром биометрических технологий и НСПК [26, с. 30–31]. Проект «Электронный читательский билет» позволяет посещать Национальную библиотеку Республики Татарстан по биометрии, причём сдать её можно прямо в мобильном приложении «Карта жителя Республики Татарстан» [26, с. 29]. Совокупность партнёров федерального уровня и социальных сценариев в Татарстане формирует первую референтную базу для масштабирования продукта на другие регионы. Опорной площадкой для отладки остаётся сам банк: сеть из 166 офисов, около пяти тысяч сотрудников и порядка двухсот биотерминалов работают как постоянная внутренняя инсталляция Face2, через которую ведётся учёт рабочего времени; масштаб клиентских внедрений колеблется от 200 до 15 000 биометрических векторов на одну инсталляцию [30, с. 7; 27].</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Получившаяся характеристика складывается из двух уровней. На верхнем — крупный региональный банк с рейтингами «A», утверждённой стратегией «эффективность — клиентоцентричность — гибкость», клиентской базой почти в миллион физических лиц и развитой цифровой инфраструктурой. На нижнем — собственный биометрический продукт с государственной аккредитацией, сертификацией ФСБ, отлаженной внутренней инсталляцией, понятной двухуровневой продуктовой линейкой и первой коммерческой референтной базой в проектах с Минцифры, Минтрансом и НСПК. Дальше нужно понять, в каком конкурентном окружении Face2 выходит на рынок и какие ограничения сдерживают спрос на коммерческую биометрию.</w:t>
      </w:r>
    </w:p>
    <w:p>
      <w:pPr>
        <w:keepNext/>
        <w:keepLines/>
        <w:spacing w:before="240" w:after="120" w:line="36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8"/>
          <w:szCs w:val="28"/>
          <w:lang w:val="ru-RU"/>
        </w:rPr>
        <w:t xml:space="preserve">2.2. АНАЛИЗ РЫНКА БИОМЕТРИИ И КОНКУРЕНТНОЙ СРЕДЫ</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Параграф 2.1 описал Face2 как объект продвижения и Ак Барс Банк как разработчика. Настоящий параграф достраивает картину со стороны внешнего контекста: фиксирует масштаб и сегментную структуру российского рынка биометрии, его регуляторно-инфраструктурный контур, выводит сводный PESTEL-анализ макросреды и переходит к анализу пяти сил М. Портера и сравнительной оценке Face2 относительно ключевых конкурентов. Финальная часть формулирует конкурентную позицию Face2, на которую опирается план продвижения в главе 3.</w:t>
      </w:r>
    </w:p>
    <w:p>
      <w:pPr>
        <w:keepNext/>
        <w:keepLines/>
        <w:spacing w:before="200" w:after="120" w:line="36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8"/>
          <w:szCs w:val="28"/>
          <w:lang w:val="ru-RU"/>
        </w:rPr>
        <w:t xml:space="preserve">Объём и динамика российского рынка биометрии</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Российская инфраструктура биометрической идентификации прошла путь от запуска Единой биометрической системы Банком России и «Ростелекомом» в первом квартале 2018 года и коммерческого старта удалённой идентификации с 30 июня 2018 года [36] через перевод ЕБС в статус государственной информационной системы в конце 2021 года под управлением АО «Центр биометрических технологий» [32; 37] до вступления в силу 572-ФЗ с 1 января 2023 года, закрепившего обязательное хранение биометрических данных в ГИС ЕБС и аутентификацию только аккредитованными организациями при письменном согласии гражданина [1]. Эта последовательность нормативных и инфраструктурных шагов превратила биометрию из набора пилотных проектов в регулируемую государством рыночную инфраструктуру.</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Современный российский рынок биометрических платежей перешёл в фазу массового коммерческого использования в 2024–2025 годах. По данным Банка России, за первые девять месяцев 2025 года в России совершено 145,9 млн биометрических платежей, что в девять раз больше, чем за аналогичный период 2024 года, а денежный оборот этих платежей вырос почти в пять раз и достиг 112,5 млрд рублей [32]. К началу 2026 года в Единой биометрической системе зарегистрировались более 10 млн пользователей [32]. Эти цифры разворачивают картину рынка, на которую выходит Face2: ёмкое окружение, девятикратный годовой рост числа транзакций, сформированная инфраструктура и аккредитованный круг операторов, в который банк успел войти одним из первых.</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Поквартальная статистика Банка России (таблица 2.2.1) разворачивает динамику детальнее. Ключевой вывод сопоставления биоэквайринга с QR-эквайрингом за II квартал 2025 года: биоэквайринг растёт по темпам быстрее (+50% к I кв. 2025 года против +25% у QR), но в 16 раз отстаёт по абсолютному масштабу количества операций (60 млн против 990 млн) [34]. Оба канала встраиваются в общий тренд бесконтактной розницы и делят между собой нишу «оплата без карты», не вытесняя друг друга.</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2.2.1</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Динамика российского рынка биометрических платежей по данным Банка России и оператора ЕБС</w:t>
      </w:r>
    </w:p>
    <w:tbl>
      <w:tblPr>
        <w:tblW w:w="9635"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419"/>
        <w:gridCol w:w="777"/>
        <w:gridCol w:w="777"/>
        <w:gridCol w:w="1709"/>
        <w:gridCol w:w="2953"/>
      </w:tblGrid>
      <w:tr>
        <w:trPr>
          <w:tblHeader/>
          <w:cantSplit/>
        </w:trPr>
        <w:tc>
          <w:tcPr>
            <w:tcW w:w="3419"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Показатель</w:t>
            </w:r>
          </w:p>
        </w:tc>
        <w:tc>
          <w:tcPr>
            <w:tcW w:w="777"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II кв. 2024</w:t>
            </w:r>
          </w:p>
        </w:tc>
        <w:tc>
          <w:tcPr>
            <w:tcW w:w="777"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I кв. 2025</w:t>
            </w:r>
          </w:p>
        </w:tc>
        <w:tc>
          <w:tcPr>
            <w:tcW w:w="1709"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II кв. 2025</w:t>
            </w:r>
          </w:p>
        </w:tc>
        <w:tc>
          <w:tcPr>
            <w:tcW w:w="2953"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Темп прироста II кв. 2025 / II кв. 2024</w:t>
            </w:r>
          </w:p>
        </w:tc>
      </w:tr>
      <w:tr>
        <w:trPr>
          <w:cantSplit/>
        </w:trPr>
        <w:tc>
          <w:tcPr>
            <w:tcW w:w="34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Количество биометрических платежей, млн</w:t>
            </w:r>
          </w:p>
        </w:tc>
        <w:tc>
          <w:tcPr>
            <w:tcW w:w="77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около 5,5</w:t>
            </w:r>
          </w:p>
        </w:tc>
        <w:tc>
          <w:tcPr>
            <w:tcW w:w="77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около 40</w:t>
            </w:r>
          </w:p>
        </w:tc>
        <w:tc>
          <w:tcPr>
            <w:tcW w:w="170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60</w:t>
            </w:r>
          </w:p>
        </w:tc>
        <w:tc>
          <w:tcPr>
            <w:tcW w:w="295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 11 раз</w:t>
            </w:r>
          </w:p>
        </w:tc>
      </w:tr>
      <w:tr>
        <w:trPr>
          <w:cantSplit/>
        </w:trPr>
        <w:tc>
          <w:tcPr>
            <w:tcW w:w="34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Оборот по биометрическим платежам, млрд руб.</w:t>
            </w:r>
          </w:p>
        </w:tc>
        <w:tc>
          <w:tcPr>
            <w:tcW w:w="77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н/д</w:t>
            </w:r>
          </w:p>
        </w:tc>
        <w:tc>
          <w:tcPr>
            <w:tcW w:w="77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около 30</w:t>
            </w:r>
          </w:p>
        </w:tc>
        <w:tc>
          <w:tcPr>
            <w:tcW w:w="170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45</w:t>
            </w:r>
          </w:p>
        </w:tc>
        <w:tc>
          <w:tcPr>
            <w:tcW w:w="295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w:t>
            </w:r>
          </w:p>
        </w:tc>
      </w:tr>
      <w:tr>
        <w:trPr>
          <w:cantSplit/>
        </w:trPr>
        <w:tc>
          <w:tcPr>
            <w:tcW w:w="34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Средний чек, руб.</w:t>
            </w:r>
          </w:p>
        </w:tc>
        <w:tc>
          <w:tcPr>
            <w:tcW w:w="77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н/д</w:t>
            </w:r>
          </w:p>
        </w:tc>
        <w:tc>
          <w:tcPr>
            <w:tcW w:w="77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774</w:t>
            </w:r>
          </w:p>
        </w:tc>
        <w:tc>
          <w:tcPr>
            <w:tcW w:w="170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770</w:t>
            </w:r>
          </w:p>
        </w:tc>
        <w:tc>
          <w:tcPr>
            <w:tcW w:w="295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стабильно</w:t>
            </w:r>
          </w:p>
        </w:tc>
      </w:tr>
      <w:tr>
        <w:trPr>
          <w:cantSplit/>
        </w:trPr>
        <w:tc>
          <w:tcPr>
            <w:tcW w:w="34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Количество QR-операций, млн</w:t>
            </w:r>
          </w:p>
        </w:tc>
        <w:tc>
          <w:tcPr>
            <w:tcW w:w="77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н/д</w:t>
            </w:r>
          </w:p>
        </w:tc>
        <w:tc>
          <w:tcPr>
            <w:tcW w:w="77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около 790</w:t>
            </w:r>
          </w:p>
        </w:tc>
        <w:tc>
          <w:tcPr>
            <w:tcW w:w="170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990</w:t>
            </w:r>
          </w:p>
        </w:tc>
        <w:tc>
          <w:tcPr>
            <w:tcW w:w="295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w:t>
            </w:r>
          </w:p>
        </w:tc>
      </w:tr>
      <w:tr>
        <w:trPr>
          <w:cantSplit/>
        </w:trPr>
        <w:tc>
          <w:tcPr>
            <w:tcW w:w="34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Оборот по QR-операциям, трлн руб.</w:t>
            </w:r>
          </w:p>
        </w:tc>
        <w:tc>
          <w:tcPr>
            <w:tcW w:w="77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н/д</w:t>
            </w:r>
          </w:p>
        </w:tc>
        <w:tc>
          <w:tcPr>
            <w:tcW w:w="77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около 1,12</w:t>
            </w:r>
          </w:p>
        </w:tc>
        <w:tc>
          <w:tcPr>
            <w:tcW w:w="170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более 1,3</w:t>
            </w:r>
          </w:p>
        </w:tc>
        <w:tc>
          <w:tcPr>
            <w:tcW w:w="295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w:t>
            </w:r>
          </w:p>
        </w:tc>
      </w:tr>
      <w:tr>
        <w:trPr>
          <w:cantSplit/>
        </w:trPr>
        <w:tc>
          <w:tcPr>
            <w:tcW w:w="34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Зарегистрированных пользователей в ЕБС, млн</w:t>
            </w:r>
          </w:p>
        </w:tc>
        <w:tc>
          <w:tcPr>
            <w:tcW w:w="77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менее 5</w:t>
            </w:r>
          </w:p>
        </w:tc>
        <w:tc>
          <w:tcPr>
            <w:tcW w:w="77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около 7</w:t>
            </w:r>
          </w:p>
        </w:tc>
        <w:tc>
          <w:tcPr>
            <w:tcW w:w="170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более 10 (на нач. 2026)</w:t>
            </w:r>
          </w:p>
        </w:tc>
        <w:tc>
          <w:tcPr>
            <w:tcW w:w="295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по данным [36; 32; 34]</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Соотношение цифр в таблице 2.2.1 показывает, что рост рынка идёт прежде всего по числу транзакций при стабильном среднем чеке около 770 рублей: биометрия закрепляется в сценариях массовых небольших платежей, а не премиальных операций. Это смещает оптимальную стратегию продвижения биометрических продуктов с премиум-позиционирования на массовое использование в высокочастотных сценариях: транспорт, ритейл повседневного спроса, оплата услуг.</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Лидер рынка биометрических платежей в Российской Федерации — ПАО Сбербанк со своим сервисом «Оплата улыбкой»: на август 2024 года — 2 млн биометрических транзакций в месяц, более 700 тыс. установленных терминалов и 30 млн зарегистрированных в собственной биометрической системе банка клиентов [38]. Этот масштаб задаёт верхнюю планку рынка и ориентир для всех остальных игроков.</w:t>
      </w:r>
    </w:p>
    <w:p>
      <w:pPr>
        <w:keepNext/>
        <w:keepLines/>
        <w:spacing w:before="200" w:after="120" w:line="36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8"/>
          <w:szCs w:val="28"/>
          <w:lang w:val="ru-RU"/>
        </w:rPr>
        <w:t xml:space="preserve">Сегментная структура рынка биометрии в России</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К началу 2026 года биометрические сервисы покрывают шесть устойчивых сегментов российского рынка: государственная идентификация через ЕБС/ЕСИА, финансовый сектор (биоэквайринг и онлайн-обслуживание), транспорт, СКУД режимных объектов, ритейл с возрастной верификацией и гостиничный сегмент [36; 32]. Каждый сегмент закреплён за своим типом заказчика и имеет собственный драйвер спроса; их характеристики собраны в таблице 2.2.2.</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2.2.2</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Сегменты применения биометрии на российском рынке и их характеристики</w:t>
      </w:r>
    </w:p>
    <w:tbl>
      <w:tblPr>
        <w:tblW w:w="9635"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94"/>
        <w:gridCol w:w="2753"/>
        <w:gridCol w:w="1835"/>
        <w:gridCol w:w="2753"/>
      </w:tblGrid>
      <w:tr>
        <w:trPr>
          <w:tblHeader/>
          <w:cantSplit/>
        </w:trPr>
        <w:tc>
          <w:tcPr>
            <w:tcW w:w="2294"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Сегмент</w:t>
            </w:r>
          </w:p>
        </w:tc>
        <w:tc>
          <w:tcPr>
            <w:tcW w:w="2753"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Типовой сценарий</w:t>
            </w:r>
          </w:p>
        </w:tc>
        <w:tc>
          <w:tcPr>
            <w:tcW w:w="1835"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Тип заказчика</w:t>
            </w:r>
          </w:p>
        </w:tc>
        <w:tc>
          <w:tcPr>
            <w:tcW w:w="2753"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Драйвер спроса</w:t>
            </w:r>
          </w:p>
        </w:tc>
      </w:tr>
      <w:tr>
        <w:trPr>
          <w:cantSplit/>
        </w:trPr>
        <w:tc>
          <w:tcPr>
            <w:tcW w:w="229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Государственная идентификация</w:t>
            </w:r>
          </w:p>
        </w:tc>
        <w:tc>
          <w:tcPr>
            <w:tcW w:w="275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Подтверждение личности при дистанционных услугах через ЕСИА и ЕБС</w:t>
            </w:r>
          </w:p>
        </w:tc>
        <w:tc>
          <w:tcPr>
            <w:tcW w:w="183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Граждане, госорганизации</w:t>
            </w:r>
          </w:p>
        </w:tc>
        <w:tc>
          <w:tcPr>
            <w:tcW w:w="275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Перевод госуслуг в цифру, ЕСИА как точка доступа</w:t>
            </w:r>
          </w:p>
        </w:tc>
      </w:tr>
      <w:tr>
        <w:trPr>
          <w:cantSplit/>
        </w:trPr>
        <w:tc>
          <w:tcPr>
            <w:tcW w:w="229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Финансовый сектор (эквайринг и онлайн-обслуживание)</w:t>
            </w:r>
          </w:p>
        </w:tc>
        <w:tc>
          <w:tcPr>
            <w:tcW w:w="275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Оплата лицом, удалённое открытие счёта, подтверждение операций</w:t>
            </w:r>
          </w:p>
        </w:tc>
        <w:tc>
          <w:tcPr>
            <w:tcW w:w="183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Банки, МФО, ритейл, маркетплейсы</w:t>
            </w:r>
          </w:p>
        </w:tc>
        <w:tc>
          <w:tcPr>
            <w:tcW w:w="275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Сокращение времени операции, антифрод, экономия на комиссии</w:t>
            </w:r>
          </w:p>
        </w:tc>
      </w:tr>
      <w:tr>
        <w:trPr>
          <w:cantSplit/>
        </w:trPr>
        <w:tc>
          <w:tcPr>
            <w:tcW w:w="229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Транспорт</w:t>
            </w:r>
          </w:p>
        </w:tc>
        <w:tc>
          <w:tcPr>
            <w:tcW w:w="275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Биометрический проход и оплата проезда; бизнес-залы аэропортов</w:t>
            </w:r>
          </w:p>
        </w:tc>
        <w:tc>
          <w:tcPr>
            <w:tcW w:w="183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Метрополитены, авиакомпании, аэропорты</w:t>
            </w:r>
          </w:p>
        </w:tc>
        <w:tc>
          <w:tcPr>
            <w:tcW w:w="275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Массовый высокочастотный сценарий, привычка пассажира</w:t>
            </w:r>
          </w:p>
        </w:tc>
      </w:tr>
      <w:tr>
        <w:trPr>
          <w:cantSplit/>
        </w:trPr>
        <w:tc>
          <w:tcPr>
            <w:tcW w:w="229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Контроль доступа (СКУД)</w:t>
            </w:r>
          </w:p>
        </w:tc>
        <w:tc>
          <w:tcPr>
            <w:tcW w:w="275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Биометрический проход сотрудников, учёт рабочего времени</w:t>
            </w:r>
          </w:p>
        </w:tc>
        <w:tc>
          <w:tcPr>
            <w:tcW w:w="183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Промпредприятия, БЦ, госучреждения, вузы</w:t>
            </w:r>
          </w:p>
        </w:tc>
        <w:tc>
          <w:tcPr>
            <w:tcW w:w="275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Безопасность, исключение передачи карт, точный учёт времени</w:t>
            </w:r>
          </w:p>
        </w:tc>
      </w:tr>
      <w:tr>
        <w:trPr>
          <w:cantSplit/>
        </w:trPr>
        <w:tc>
          <w:tcPr>
            <w:tcW w:w="229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Ритейл и общественные пространства</w:t>
            </w:r>
          </w:p>
        </w:tc>
        <w:tc>
          <w:tcPr>
            <w:tcW w:w="275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Возрастная верификация (алкоголь, рецептурные лекарства); биометрическая лояльность</w:t>
            </w:r>
          </w:p>
        </w:tc>
        <w:tc>
          <w:tcPr>
            <w:tcW w:w="183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Сетевой ритейл, аптеки, общепит</w:t>
            </w:r>
          </w:p>
        </w:tc>
        <w:tc>
          <w:tcPr>
            <w:tcW w:w="275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Регуляторные требования возрастной верификации, разгрузка кассира</w:t>
            </w:r>
          </w:p>
        </w:tc>
      </w:tr>
      <w:tr>
        <w:trPr>
          <w:cantSplit/>
        </w:trPr>
        <w:tc>
          <w:tcPr>
            <w:tcW w:w="229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Гостеприимство</w:t>
            </w:r>
          </w:p>
        </w:tc>
        <w:tc>
          <w:tcPr>
            <w:tcW w:w="275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Заселение без паспорта, доступ в номер по лицу</w:t>
            </w:r>
          </w:p>
        </w:tc>
        <w:tc>
          <w:tcPr>
            <w:tcW w:w="183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Гостиничные сети, апарт-отели, БЦ</w:t>
            </w:r>
          </w:p>
        </w:tc>
        <w:tc>
          <w:tcPr>
            <w:tcW w:w="275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Сокращение времени заселения, новый клиентский опыт</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по данным [27; 26, с. 30–31; 36; 32]</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Распределение драйверов в таблице 2.2.2 показывает, что один и тот же биометрический продукт продвигается в разных сегментах через разные ключевые сообщения: транзакционная скорость в финансовом и транспортном секторах, безопасность и точность учёта в СКУД, регуляторные требования в ритейле и гостиничном секторе. Для Face2 это уже учтено в продуктовой линейке (Face2Pay для эквайринга, Face2Pass для СКУД, Face2Check-in для гостиничного сегмента и подтверждения возраста, КБС под ключ для крупных заказчиков из государственного и корпоративного сегмента) [27]: каждый продукт линейки соответствует устойчивому рыночному сегменту со сформированным спросом.</w:t>
      </w:r>
    </w:p>
    <w:p>
      <w:pPr>
        <w:keepNext/>
        <w:keepLines/>
        <w:spacing w:before="200" w:after="120" w:line="36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8"/>
          <w:szCs w:val="28"/>
          <w:lang w:val="ru-RU"/>
        </w:rPr>
        <w:t xml:space="preserve">Регуляторный и инфраструктурный контур рынка</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Рынок биометрической идентификации в Российской Федерации работает в одном из самых жёстких регуляторных контуров среди мировых юрисдикций. Базой регулирования служит Федеральный закон от 29 декабря 2022 года № 572-ФЗ, относящий биометрические данные к специальной категории персональных данных, обязывающий хранить их в ГИС ЕБС и разрешающий аутентификацию по биометрии только аккредитованным организациям при наличии письменного согласия гражданина [1]. Архитектура работы пользователя с ЕБС строится на связке ЕСИА и ЕБС: первичная регистрация с явкой в уполномоченный банк, последующее использование биометрии через сайты или мобильные приложения подключённых организаций; регистрация для гражданина добровольна и бесплатна, что одновременно расширяет потенциальный круг пользователей и ограничивает массовые инструменты стимулирования сдачи биометрии [36].</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Регуляторный контур ужесточился в конце 2024 года. Федеральные законы от 30 ноября 2024 года № 420-ФЗ и № 421-ФЗ ввели крупные административные штрафы и уголовную ответственность за неправомерное обращение с биометрическими персональными данными: лишение свободы до пяти лет, штрафы до 20 млн рублей и до 1–3% годового дохода компании при повторных нарушениях [27]. Этот сдвиг превратил аккредитацию КБС и сертификацию ФСБ из формального статуса в жёсткий барьер входа на рынок. В сумме 572-ФЗ, законы об ужесточении ответственности от 30.11.2024 и подзаконный блок Банка России образуют пятиуровневую регуляторную конструкцию (федеральный закон, подзаконные акты ЦБ, сертификации ФСБ и ФСТЭК, реестр отечественного ПО, отраслевая аккредитация Минцифры), повышающую капиталоёмкость входа для нового игрока [2; 3; 4].</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Круг банков-операторов рынка количественно ограничен: по данным Банка России на 4 мая 2026 года, в перечень банков, имеющих право проводить идентификацию клиента в ЕБС по п. 5.7 ст. 7 № 115-ФЗ, входят 194 кредитные организации; ПАО «АК БАРС» БАНК числится в нём под номером 101 [35]. В сочетании с аккредитацией Минцифры (Решение № 4-А от 15 ноября 2023 года), сертификациями ФСБ и ФСТЭК и присутствием в реестре отечественного ПО это образует регуляторный фундамент, на который опирается весь дальнейший анализ конкурентной среды [27].</w:t>
      </w:r>
    </w:p>
    <w:p>
      <w:pPr>
        <w:keepNext/>
        <w:keepLines/>
        <w:spacing w:before="200" w:after="120" w:line="36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8"/>
          <w:szCs w:val="28"/>
          <w:lang w:val="ru-RU"/>
        </w:rPr>
        <w:t xml:space="preserve">PESTEL-анализ российского рынка биометрии</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Предыдущие три подраздела зафиксировали разные проекции внешней среды: масштаб и динамику рынка, сегментную структуру и регуляторно-инфраструктурный контур. Чтобы перевести эти проекции в управленческий вход для стратегии продвижения, разрозненные факторы целесообразно собрать в единую рамку макроанализа. PESTEL не дублирует регуляторный подраздел: правовое поле в нём представлено сжато и сопоставлено с пятью другими измерениями макросреды, что позволяет оценить относительный вес регуляторных факторов рядом с экономическими, технологическими и социальными — детальный разбор нормативной базы при этом сохраняется в подразделе «Регуляторный и инфраструктурный контур рынка». Методологически выбор PESTEL обусловлен тем, что продукт Face2 одновременно находится на пересечении шести крупных полей — государственного курса на цифровой суверенитет, банковской экономики высокочастотных микроплатежей, поколенческих сдвигов в потребительском поведении, быстро развивающихся алгоритмов компьютерного зрения, ESG-повестки крупного банка и особого режима оборота биометрических персональных данных. Эти шесть полей чисто соотносятся с шестью измерениями PESTEL и позволяют построить однородную карту факторов, влияющих на коммерциализацию Face2. Сводный анализ собран в таблице 2.2.3.</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2.2.3</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Сводный PESTEL-анализ российского рынка биометрии (на начало 2026 года)</w:t>
      </w:r>
    </w:p>
    <w:tbl>
      <w:tblPr>
        <w:tblW w:w="9637"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127"/>
        <w:gridCol w:w="3755"/>
        <w:gridCol w:w="3755"/>
      </w:tblGrid>
      <w:tr>
        <w:trPr>
          <w:tblHeader/>
          <w:cantSplit/>
        </w:trPr>
        <w:tc>
          <w:tcPr>
            <w:tcW w:w="2127"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Фактор</w:t>
            </w:r>
          </w:p>
        </w:tc>
        <w:tc>
          <w:tcPr>
            <w:tcW w:w="3755"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Содержание фактора</w:t>
            </w:r>
          </w:p>
        </w:tc>
        <w:tc>
          <w:tcPr>
            <w:tcW w:w="3755"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Влияние на продвижение Face2</w:t>
            </w:r>
          </w:p>
        </w:tc>
      </w:tr>
      <w:tr>
        <w:trPr>
          <w:cantSplit/>
        </w:trPr>
        <w:tc>
          <w:tcPr>
            <w:tcW w:w="212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4"/>
                <w:szCs w:val="24"/>
                <w:lang w:val="ru-RU"/>
              </w:rPr>
              <w:t xml:space="preserve">P — политические</w:t>
            </w:r>
          </w:p>
        </w:tc>
        <w:tc>
          <w:tcPr>
            <w:tcW w:w="375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Курс на технологический суверенитет и импортозамещение; ЕБС как ГИС под управлением АО «ЦБТ»; Минцифры — регулятор аккредитации операторов КБС; вытеснение иностранных вендоров после 2022 г.; реестр отечественного ПО как условие участия в госзакупках [27; 1; 36; 37].</w:t>
            </w:r>
          </w:p>
        </w:tc>
        <w:tc>
          <w:tcPr>
            <w:tcW w:w="375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Положительное. Аккредитация Минцифры (Решение № 4-А от 15.11.2023) и реестр отечественного ПО открывают B2G-сегмент, закрытый для иностранных вендоров [27].</w:t>
            </w:r>
          </w:p>
        </w:tc>
      </w:tr>
      <w:tr>
        <w:trPr>
          <w:cantSplit/>
        </w:trPr>
        <w:tc>
          <w:tcPr>
            <w:tcW w:w="212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4"/>
                <w:szCs w:val="24"/>
                <w:lang w:val="ru-RU"/>
              </w:rPr>
              <w:t xml:space="preserve">E — экономические</w:t>
            </w:r>
          </w:p>
        </w:tc>
        <w:tc>
          <w:tcPr>
            <w:tcW w:w="375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Девятикратный рост числа биометрических платежей за 9 мес. 2025 г. (145,9 млн транзакций, оборот 112,5 млрд руб.); средний чек ≈ 770 руб. — массовый розничный сценарий; пониженная эквайринговая комиссия; финансовый сектор — 15% мирового рынка биометрии при CAGR 18,6% [33, с. 3, 6; 32; 34].</w:t>
            </w:r>
          </w:p>
        </w:tc>
        <w:tc>
          <w:tcPr>
            <w:tcW w:w="375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Положительное по динамике. Биоэквайринг экономически выгоден торговой рознице за счёт пониженной комиссии; крупные B2B/B2G-заказчики ориентируются на регуляторный статус, а не на цену.</w:t>
            </w:r>
          </w:p>
        </w:tc>
      </w:tr>
      <w:tr>
        <w:trPr>
          <w:cantSplit/>
        </w:trPr>
        <w:tc>
          <w:tcPr>
            <w:tcW w:w="212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4"/>
                <w:szCs w:val="24"/>
                <w:lang w:val="ru-RU"/>
              </w:rPr>
              <w:t xml:space="preserve">S — социальные</w:t>
            </w:r>
          </w:p>
        </w:tc>
        <w:tc>
          <w:tcPr>
            <w:tcW w:w="375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Свыше 10 млн пользователей ЕБС к началу 2026 г.; привычка оплачивать проезд и покупки лицом в Московском и Казанском метро; устойчивые барьеры доверия — страх утечки, невозможность отозвать образец; поколенческая поляризация принятия [16, с. 41; 25, с. 112; 32; 37].</w:t>
            </w:r>
          </w:p>
        </w:tc>
        <w:tc>
          <w:tcPr>
            <w:tcW w:w="375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Двойное. Привычка к оплате лицом в массовых сценариях работает в пользу Face2Pay; барьеры доверия требуют большой доли бюджета на образовательный контент и демонстрацию защиты данных.</w:t>
            </w:r>
          </w:p>
        </w:tc>
      </w:tr>
      <w:tr>
        <w:trPr>
          <w:cantSplit/>
        </w:trPr>
        <w:tc>
          <w:tcPr>
            <w:tcW w:w="212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4"/>
                <w:szCs w:val="24"/>
                <w:lang w:val="ru-RU"/>
              </w:rPr>
              <w:t xml:space="preserve">T — технологические</w:t>
            </w:r>
          </w:p>
        </w:tc>
        <w:tc>
          <w:tcPr>
            <w:tcW w:w="375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Зрелость алгоритмов: точность 99,5%, сканирование ≈ 2 с; антиспуфинг и детекция дипфейков; объединение биометрии с QR и СБП; рост требований к обработке векторов в реальном времени [27; 38; 40; 34].</w:t>
            </w:r>
          </w:p>
        </w:tc>
        <w:tc>
          <w:tcPr>
            <w:tcW w:w="375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Положительное по уровню зрелости. Критическая зона для Face2 — публично не зафиксирована независимая верификация точности (NIST FRTE) и не заявлено отдельное решение по дипфейкам.</w:t>
            </w:r>
          </w:p>
        </w:tc>
      </w:tr>
      <w:tr>
        <w:trPr>
          <w:cantSplit/>
        </w:trPr>
        <w:tc>
          <w:tcPr>
            <w:tcW w:w="212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4"/>
                <w:szCs w:val="24"/>
                <w:lang w:val="ru-RU"/>
              </w:rPr>
              <w:t xml:space="preserve">E — экологические</w:t>
            </w:r>
          </w:p>
        </w:tc>
        <w:tc>
          <w:tcPr>
            <w:tcW w:w="375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Снижение оборота пластиковых карт в массовой рознице за счёт перехода на биометрию и QR; безбумажная удалённая идентификация; энергоёмкость дата-центров; ESG-повестка как требование к корпоративному поставщику [26, с. 17, 33; 32].</w:t>
            </w:r>
          </w:p>
        </w:tc>
        <w:tc>
          <w:tcPr>
            <w:tcW w:w="375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Слабо положительное. ESG-статус АББ снимает часть барьеров входа в B2G-закупки; самостоятельного маркетингового плеча у фактора нет — работает фоном.</w:t>
            </w:r>
          </w:p>
        </w:tc>
      </w:tr>
      <w:tr>
        <w:trPr>
          <w:cantSplit/>
        </w:trPr>
        <w:tc>
          <w:tcPr>
            <w:tcW w:w="212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4"/>
                <w:szCs w:val="24"/>
                <w:lang w:val="ru-RU"/>
              </w:rPr>
              <w:t xml:space="preserve">L — правовые</w:t>
            </w:r>
          </w:p>
        </w:tc>
        <w:tc>
          <w:tcPr>
            <w:tcW w:w="375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572-ФЗ — биометрия как спецкатегория ПДн, хранение в ГИС ЕБС; 420-ФЗ и 421-ФЗ от 30.11.2024 — штрафы до 20 млн руб. и 1–3% годового дохода, уголовная ответственность до 5 лет; обязательное письменное согласие на каждое использование; статус оператора по № 115-ФЗ — 194 банка; аккредитация Минцифры; сертификация ФСБ и ФСТЭК [27; 1; 36; 35].</w:t>
            </w:r>
          </w:p>
        </w:tc>
        <w:tc>
          <w:tcPr>
            <w:tcW w:w="375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Двойное. Положительное — жёсткая рамка превращает аккредитацию КБС, статус по № 115-ФЗ и сертификации в защитный «ров» для Face2. Отрицательное — обязательное согласие на каждое использование исключает массовые B2C-стимулы (кешбэки, промокоды) и переводит продвижение в формат экспертного контента.</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по данным [16, с. 41; 25, с. 112; 27; 26, с. 17, 33; 38; 1; 36; 33, с. 3, 6; 35; 40; 32; 37; 34]</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Сопоставление шести факторов даёт макрорамку для последующего конкурентного анализа. Три фактора (P, T, L) работают преимущественно в плюс: государственный курс на технологический суверенитет вместе с жёсткой регуляторной рамкой создаёт защищённый рынок аккредитованных операторов, в который Face2 уже встроен, а зрелость алгоритмов обеспечивает технологическую состоятельность продукта. Экономический и социальный факторы (E, S) двойственны: динамика рынка положительна, но ценовое преимущество биоэквайринга вторично для целевого B2B/B2G-сегмента, а массовая привычка к оплате лицом сосуществует с устойчивым психологическим барьером недоверия. Правовой фактор одновременно открывает рынок для аккредитованных игроков и закрывает каналы массового стимулирования (запрет акций по сдаче биометрии, обязательное согласие на каждое использование), переводя продвижение в формат экспертного контента, пилотных проектов и B2B-референсов; экологический фактор работает фоном через ESG-статус банка. Регуляторно-политический фактор работает фильтром входа и оставляет в качестве реальных конкурентов Face2 ограниченный круг аккредитованных операторов и банков-операторов биометрии — состав этого круга и силы, действующие внутри него, разбираются ниже через рамку пяти сил М. Портера.</w:t>
      </w:r>
    </w:p>
    <w:p>
      <w:pPr>
        <w:keepNext/>
        <w:keepLines/>
        <w:spacing w:before="200" w:after="120" w:line="36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8"/>
          <w:szCs w:val="28"/>
          <w:lang w:val="ru-RU"/>
        </w:rPr>
        <w:t xml:space="preserve">Конкурентная среда и пять сил Портера на российском рынке биометрии</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Российский рынок биометрии организован в три различающихся по типу деятельности слоя. Первый — банки-разработчики собственных биометрических сервисов: ПАО Сбербанк с сервисом «Оплата улыбкой» (СберPay Smile) и ПАО «АК БАРС» БАНК с линейкой Face2; для них биометрия одновременно работает внутренним средством обслуживания и самостоятельным коммерческим продуктом. Второй — технологические вендоры алгоритмов и платформ: VisionLabs (с декабря 2021 года в структуре ПАО МТС) и NtechLab с системой FindFace [40; 32]. Третий — производители полного цикла СКУД, объединяющие в одном предложении ПО, собственное оборудование и сервис: OVISION (Ханты-Мансийск) и BioSmart (Прософт-Биометрикс) [41]. Над этими тремя слоями работает государственная инфраструктура — оператор ЕБС АО «Центр биометрических технологий», обеспечивающий централизованное хранение биометрических векторов и подтверждение личности [36; 32]. Каждый слой отвечает на свой тип спроса и предъявляет свой набор аккредитаций, поэтому Face2 не пересекается с лидерами других слоёв напрямую: со Сбером — по объёму массового B2C-биоэквайринга, с VisionLabs — по горизонтальным алгоритмическим платформам, с OVISION — по аппаратному стеку.</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Чтобы оценить, насколько привлекателен этот рынок для Face2 и какие силы определяют интенсивность конкуренции внутри него, многослойная карта дополняется рамкой пяти конкурентных сил М. Портера. Согласно его методике, средний уровень прибыльности отрасли и устойчивость позиции отдельной фирмы определяются балансом пяти структурных факторов: угрозы со стороны новых участников, рыночной силы поставщиков, рыночной силы покупателей, угрозы товаров-заменителей и интенсивности соперничества между действующими конкурентами [11, с. 39]. Сводная оценка приведена в таблице 2.2.4.</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2.2.4</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Анализ пяти конкурентных сил М. Портера на российском рынке биометрии применительно к продукту Face2</w:t>
      </w:r>
    </w:p>
    <w:tbl>
      <w:tblPr>
        <w:tblW w:w="9637"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969"/>
        <w:gridCol w:w="1450"/>
        <w:gridCol w:w="3109"/>
        <w:gridCol w:w="3109"/>
      </w:tblGrid>
      <w:tr>
        <w:trPr>
          <w:tblHeader/>
          <w:cantSplit/>
        </w:trPr>
        <w:tc>
          <w:tcPr>
            <w:tcW w:w="1969"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Сила</w:t>
            </w:r>
          </w:p>
        </w:tc>
        <w:tc>
          <w:tcPr>
            <w:tcW w:w="1450"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Уровень</w:t>
            </w:r>
          </w:p>
        </w:tc>
        <w:tc>
          <w:tcPr>
            <w:tcW w:w="3109"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Ключевые факторы</w:t>
            </w:r>
          </w:p>
        </w:tc>
        <w:tc>
          <w:tcPr>
            <w:tcW w:w="3109"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Влияние на Face2</w:t>
            </w:r>
          </w:p>
        </w:tc>
      </w:tr>
      <w:tr>
        <w:trPr>
          <w:cantSplit/>
        </w:trPr>
        <w:tc>
          <w:tcPr>
            <w:tcW w:w="196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 Угроза новых участников</w:t>
            </w:r>
          </w:p>
        </w:tc>
        <w:tc>
          <w:tcPr>
            <w:tcW w:w="145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низкий</w:t>
            </w:r>
          </w:p>
        </w:tc>
        <w:tc>
          <w:tcPr>
            <w:tcW w:w="310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Регуляторные барьеры: 572-ФЗ, аккредитация Минцифры по правилам КБС, статус оператора по № 115-ФЗ, сертификация ФСБ и ФСТЭК, реестр отечественного ПО, подзаконный блок Банка России (Указание № 6541-У; МР № 18-МР, № 19-МР) [27; 1; 35; 2; 3; 4]. Ужесточение по 420-ФЗ и 421-ФЗ от 30.11.2024 (штрафы до 1–3% дохода, уголовная ответственность) [27]. Высокая капиталоёмкость алгоритмической базы и многолетняя наработка референсной базы.</w:t>
            </w:r>
          </w:p>
        </w:tc>
        <w:tc>
          <w:tcPr>
            <w:tcW w:w="310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Защищает позицию Face2: набор статусов (аккредитация № 4-А от 15.11.2023, № 101 в перечне по № 115-ФЗ, ФСБ и ФСТЭК) недоступен новым игрокам без многолетней подготовки [27; 35].</w:t>
            </w:r>
          </w:p>
        </w:tc>
      </w:tr>
      <w:tr>
        <w:trPr>
          <w:cantSplit/>
        </w:trPr>
        <w:tc>
          <w:tcPr>
            <w:tcW w:w="196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 Рыночная сила поставщиков</w:t>
            </w:r>
          </w:p>
        </w:tc>
        <w:tc>
          <w:tcPr>
            <w:tcW w:w="145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средний</w:t>
            </w:r>
          </w:p>
        </w:tc>
        <w:tc>
          <w:tcPr>
            <w:tcW w:w="310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Производители биотерминалов; внешние алгоритмические вендоры; АО «ЦБТ» — монополист хранения векторов в ГИС ЕБС [36; 37]. Тарифы и регламент работы с ЕБС задаются 572-ФЗ [1].</w:t>
            </w:r>
          </w:p>
        </w:tc>
        <w:tc>
          <w:tcPr>
            <w:tcW w:w="310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Смешанная: собственные алгоритмы (99,5%) снимают зависимость от VisionLabs и NtechLab; сохраняется зависимость от партнёра по терминалам (в отличие от OVISION) и от ЦБТ как единственного оператора ЕБС [27; 41; 37].</w:t>
            </w:r>
          </w:p>
        </w:tc>
      </w:tr>
      <w:tr>
        <w:trPr>
          <w:cantSplit/>
        </w:trPr>
        <w:tc>
          <w:tcPr>
            <w:tcW w:w="196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3. Рыночная сила покупателей</w:t>
            </w:r>
          </w:p>
        </w:tc>
        <w:tc>
          <w:tcPr>
            <w:tcW w:w="145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средне-высокий</w:t>
            </w:r>
          </w:p>
        </w:tc>
        <w:tc>
          <w:tcPr>
            <w:tcW w:w="310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 B2B/B2G заказчики крупны и концентрированы — сильная переговорная позиция. В технологическом слое издержки переключения низкие; в нише «банк + биометрия + ЕБС» — высокие из-за зависимости от регуляторного статуса банка-партнёра.</w:t>
            </w:r>
          </w:p>
        </w:tc>
        <w:tc>
          <w:tcPr>
            <w:tcW w:w="310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 технологическом слое Face2 конкурирует с VisionLabs и OVISION по цене и функционалу; в нише «банк + ЕБС» сила покупателей снижается — аналоги предлагает узкий круг банков-операторов [27; 35].</w:t>
            </w:r>
          </w:p>
        </w:tc>
      </w:tr>
      <w:tr>
        <w:trPr>
          <w:cantSplit/>
        </w:trPr>
        <w:tc>
          <w:tcPr>
            <w:tcW w:w="196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4. Угроза товаров-заменителей</w:t>
            </w:r>
          </w:p>
        </w:tc>
        <w:tc>
          <w:tcPr>
            <w:tcW w:w="145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средний</w:t>
            </w:r>
          </w:p>
        </w:tc>
        <w:tc>
          <w:tcPr>
            <w:tcW w:w="310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Заменители: пластиковые карты, NFC, QR-эквайринг, push, SMS-OTP, голосовая биометрия. Во II кв. 2025 QR превысил биометрию по числу операций в 16 раз (≈ 990 млн против ≈ 60 млн), но темпы роста биометрии выше (+50% против +25%) [34]. В СКУД — карточные пропуска и мобильные ключи.</w:t>
            </w:r>
          </w:p>
        </w:tc>
        <w:tc>
          <w:tcPr>
            <w:tcW w:w="310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 регулируемых сценариях (открытие счёта, возрастная верификация, транспорт) субституты ограничены законом. В массовом эквайринге QR доминирует по обороту, но не вытесняет биометрию: оба канала растут параллельно [32; 34].</w:t>
            </w:r>
          </w:p>
        </w:tc>
      </w:tr>
      <w:tr>
        <w:trPr>
          <w:cantSplit/>
        </w:trPr>
        <w:tc>
          <w:tcPr>
            <w:tcW w:w="196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5. Внутриотраслевая конкуренция</w:t>
            </w:r>
          </w:p>
        </w:tc>
        <w:tc>
          <w:tcPr>
            <w:tcW w:w="145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средне-высокий</w:t>
            </w:r>
          </w:p>
        </w:tc>
        <w:tc>
          <w:tcPr>
            <w:tcW w:w="310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Лидеры по слоям: Сбер в B2C-биоэквайринге (700+ тыс. терминалов, 30 млн зарегистрированных, 116 млрд руб. за 2025 г.); VisionLabs в технологическом слое (1,7 млн камер, 38 стран); OVISION в полном цикле СКУД (OGATE, референсы РЖД, Мосэнергосбыт) [38; 40; 41]. Девятикратный рост платежей и пятикратный рост оборота снижают остроту ценовой конкуренции [32].</w:t>
            </w:r>
          </w:p>
        </w:tc>
        <w:tc>
          <w:tcPr>
            <w:tcW w:w="310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Прямой лобовой конкуренции в нише Face2 мало: банк не пересекается со Сбером по объёму, с VisionLabs по верификации алгоритмов, с OVISION по аппаратному стеку. Конкуренция идёт на узком пересечении — B2B/B2G со сценариями работы с физлицами через ЕБС в банковской экосистеме.</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по данным [11, с. 39; 27; 26, с. 17, 30–31, 33; 38; 1; 36; 35; 40; 32; 41; 37; 34]</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Из таблицы 2.2.4 складывается единая структурная картина. Угроза новых участников и рыночная сила поставщиков (в части алгоритмов) оказывают на Face2 ослабленное давление: жёсткая регуляторная рамка отсекает несертифицированных игроков, а собственная алгоритмическая база банка снимает зависимость от внешних вендоров [27; 1; 35]. Сила покупателей и угроза заменителей расщепляются по сегментам — высоки в технологическом слое и снижаются в нише «банк + ЕБС» из-за недоступности эквивалентов у вендоров [32; 34]. Внутриотраслевая конкуренция остаётся средне-высокой, но смягчается многослойностью рынка и кратным ростом спроса, позволяющим нескольким игрокам одновременно расширять долю без прямого вытеснения [38; 40; 32; 41]. Совокупно российский рынок биометрии относится к структурно привлекательным отраслям с высокими барьерами входа и умеренной интенсивностью соперничества внутри отдельных слоёв; стратегия продвижения Face2 рационально опирается на регуляторный капитал и банковскую экосистему, а две силы задают пробелы для главы 3 — необходимость партнёрского или собственного аппаратного стека и бесперспективность лобовой конкуренции с QR-эквайрингом по числу операций.</w:t>
      </w:r>
    </w:p>
    <w:p>
      <w:pPr>
        <w:keepNext/>
        <w:keepLines/>
        <w:spacing w:before="200" w:after="120" w:line="36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8"/>
          <w:szCs w:val="28"/>
          <w:lang w:val="ru-RU"/>
        </w:rPr>
        <w:t xml:space="preserve">Сравнительный анализ Face2 и ключевых конкурентов</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Сравнительный анализ строится по семи параметрам, существенным для выбора биометрического решения корпоративным и розничным заказчиком: тип игрока, продуктовая линейка по форм-факторам и сценариям, формальные регуляторные статусы, независимая верификация точности, географический охват, типовая бизнес-модель и наличие банковской/инфраструктурной экосистемы. Результаты сравнения собраны в таблице 2.2.5.</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2.2.5</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Сравнение Face2 и ключевых конкурентов на российском рынке биометрии</w:t>
      </w:r>
    </w:p>
    <w:tbl>
      <w:tblPr>
        <w:tblW w:w="9635"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07"/>
        <w:gridCol w:w="2258"/>
        <w:gridCol w:w="1957"/>
        <w:gridCol w:w="2258"/>
        <w:gridCol w:w="1355"/>
      </w:tblGrid>
      <w:tr>
        <w:trPr>
          <w:tblHeader/>
          <w:cantSplit/>
        </w:trPr>
        <w:tc>
          <w:tcPr>
            <w:tcW w:w="1807"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Параметр</w:t>
            </w:r>
          </w:p>
        </w:tc>
        <w:tc>
          <w:tcPr>
            <w:tcW w:w="2258"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Face2 (АК БАРС БАНК)</w:t>
            </w:r>
          </w:p>
        </w:tc>
        <w:tc>
          <w:tcPr>
            <w:tcW w:w="1957"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Сбер</w:t>
            </w:r>
          </w:p>
        </w:tc>
        <w:tc>
          <w:tcPr>
            <w:tcW w:w="2258"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VisionLabs</w:t>
            </w:r>
          </w:p>
        </w:tc>
        <w:tc>
          <w:tcPr>
            <w:tcW w:w="1355"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OVISION</w:t>
            </w:r>
          </w:p>
        </w:tc>
      </w:tr>
      <w:tr>
        <w:trPr>
          <w:cantSplit/>
        </w:trPr>
        <w:tc>
          <w:tcPr>
            <w:tcW w:w="180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Тип игрока</w:t>
            </w:r>
          </w:p>
        </w:tc>
        <w:tc>
          <w:tcPr>
            <w:tcW w:w="225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Банк-разработчик</w:t>
            </w:r>
          </w:p>
        </w:tc>
        <w:tc>
          <w:tcPr>
            <w:tcW w:w="195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Банк-разработчик</w:t>
            </w:r>
          </w:p>
        </w:tc>
        <w:tc>
          <w:tcPr>
            <w:tcW w:w="225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Технологический вендор</w:t>
            </w:r>
          </w:p>
        </w:tc>
        <w:tc>
          <w:tcPr>
            <w:tcW w:w="135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Производитель полного цикла</w:t>
            </w:r>
          </w:p>
        </w:tc>
      </w:tr>
      <w:tr>
        <w:trPr>
          <w:cantSplit/>
        </w:trPr>
        <w:tc>
          <w:tcPr>
            <w:tcW w:w="180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Аккредитация Минцифры (КБС)</w:t>
            </w:r>
          </w:p>
        </w:tc>
        <w:tc>
          <w:tcPr>
            <w:tcW w:w="225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Решение № 4-А от 15.11.2023 [27]</w:t>
            </w:r>
          </w:p>
        </w:tc>
        <w:tc>
          <w:tcPr>
            <w:tcW w:w="195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Через дочерние структуры</w:t>
            </w:r>
          </w:p>
        </w:tc>
        <w:tc>
          <w:tcPr>
            <w:tcW w:w="225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Партнёр ЦБТ [40]</w:t>
            </w:r>
          </w:p>
        </w:tc>
        <w:tc>
          <w:tcPr>
            <w:tcW w:w="135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Есть [41]</w:t>
            </w:r>
          </w:p>
        </w:tc>
      </w:tr>
      <w:tr>
        <w:trPr>
          <w:cantSplit/>
        </w:trPr>
        <w:tc>
          <w:tcPr>
            <w:tcW w:w="180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Право регистрации БПд граждан в ЕБС (по № 115-ФЗ)</w:t>
            </w:r>
          </w:p>
        </w:tc>
        <w:tc>
          <w:tcPr>
            <w:tcW w:w="225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101 в перечне [35]</w:t>
            </w:r>
          </w:p>
        </w:tc>
        <w:tc>
          <w:tcPr>
            <w:tcW w:w="195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Есть</w:t>
            </w:r>
          </w:p>
        </w:tc>
        <w:tc>
          <w:tcPr>
            <w:tcW w:w="225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Нет (B2B-вендор)</w:t>
            </w:r>
          </w:p>
        </w:tc>
        <w:tc>
          <w:tcPr>
            <w:tcW w:w="135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Нет (B2B-вендор)</w:t>
            </w:r>
          </w:p>
        </w:tc>
      </w:tr>
      <w:tr>
        <w:trPr>
          <w:cantSplit/>
        </w:trPr>
        <w:tc>
          <w:tcPr>
            <w:tcW w:w="180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Реестр отечественного ПО</w:t>
            </w:r>
          </w:p>
        </w:tc>
        <w:tc>
          <w:tcPr>
            <w:tcW w:w="225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Есть [27]</w:t>
            </w:r>
          </w:p>
        </w:tc>
        <w:tc>
          <w:tcPr>
            <w:tcW w:w="195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Есть</w:t>
            </w:r>
          </w:p>
        </w:tc>
        <w:tc>
          <w:tcPr>
            <w:tcW w:w="225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Есть [40]</w:t>
            </w:r>
          </w:p>
        </w:tc>
        <w:tc>
          <w:tcPr>
            <w:tcW w:w="135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Есть [41]</w:t>
            </w:r>
          </w:p>
        </w:tc>
      </w:tr>
      <w:tr>
        <w:trPr>
          <w:cantSplit/>
        </w:trPr>
        <w:tc>
          <w:tcPr>
            <w:tcW w:w="180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Сертификация ФСБ и ФСТЭК</w:t>
            </w:r>
          </w:p>
        </w:tc>
        <w:tc>
          <w:tcPr>
            <w:tcW w:w="225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Есть [27]</w:t>
            </w:r>
          </w:p>
        </w:tc>
        <w:tc>
          <w:tcPr>
            <w:tcW w:w="195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Есть</w:t>
            </w:r>
          </w:p>
        </w:tc>
        <w:tc>
          <w:tcPr>
            <w:tcW w:w="225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Через ПАК «ВЛ-БИО» [40]</w:t>
            </w:r>
          </w:p>
        </w:tc>
        <w:tc>
          <w:tcPr>
            <w:tcW w:w="135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Есть, право установки СКЗИ [41]</w:t>
            </w:r>
          </w:p>
        </w:tc>
      </w:tr>
      <w:tr>
        <w:trPr>
          <w:cantSplit/>
        </w:trPr>
        <w:tc>
          <w:tcPr>
            <w:tcW w:w="180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Независимая верификация (NIST FRTE, iBeta, CVPR)</w:t>
            </w:r>
          </w:p>
        </w:tc>
        <w:tc>
          <w:tcPr>
            <w:tcW w:w="225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Публично не зафиксирована</w:t>
            </w:r>
          </w:p>
        </w:tc>
        <w:tc>
          <w:tcPr>
            <w:tcW w:w="195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Публично не зафиксирована</w:t>
            </w:r>
          </w:p>
        </w:tc>
        <w:tc>
          <w:tcPr>
            <w:tcW w:w="225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Подтверждена [40]</w:t>
            </w:r>
          </w:p>
        </w:tc>
        <w:tc>
          <w:tcPr>
            <w:tcW w:w="135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Публично не зафиксирована</w:t>
            </w:r>
          </w:p>
        </w:tc>
      </w:tr>
      <w:tr>
        <w:trPr>
          <w:cantSplit/>
        </w:trPr>
        <w:tc>
          <w:tcPr>
            <w:tcW w:w="180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Заявленная точность</w:t>
            </w:r>
          </w:p>
        </w:tc>
        <w:tc>
          <w:tcPr>
            <w:tcW w:w="225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99,5% [27]</w:t>
            </w:r>
          </w:p>
        </w:tc>
        <w:tc>
          <w:tcPr>
            <w:tcW w:w="195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Косвенно через VisionLabs</w:t>
            </w:r>
          </w:p>
        </w:tc>
        <w:tc>
          <w:tcPr>
            <w:tcW w:w="225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Лидерство в NIST FRTE [40]</w:t>
            </w:r>
          </w:p>
        </w:tc>
        <w:tc>
          <w:tcPr>
            <w:tcW w:w="135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99,9% [41]</w:t>
            </w:r>
          </w:p>
        </w:tc>
      </w:tr>
      <w:tr>
        <w:trPr>
          <w:cantSplit/>
        </w:trPr>
        <w:tc>
          <w:tcPr>
            <w:tcW w:w="180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Время сканирования</w:t>
            </w:r>
          </w:p>
        </w:tc>
        <w:tc>
          <w:tcPr>
            <w:tcW w:w="225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2 с [27]</w:t>
            </w:r>
          </w:p>
        </w:tc>
        <w:tc>
          <w:tcPr>
            <w:tcW w:w="195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6 с (цель — 2 с к 2025) [38]</w:t>
            </w:r>
          </w:p>
        </w:tc>
        <w:tc>
          <w:tcPr>
            <w:tcW w:w="225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2,5 с (LUNA)</w:t>
            </w:r>
          </w:p>
        </w:tc>
        <w:tc>
          <w:tcPr>
            <w:tcW w:w="135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0,3 с [41]</w:t>
            </w:r>
          </w:p>
        </w:tc>
      </w:tr>
      <w:tr>
        <w:trPr>
          <w:cantSplit/>
        </w:trPr>
        <w:tc>
          <w:tcPr>
            <w:tcW w:w="180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Собственное производство терминалов</w:t>
            </w:r>
          </w:p>
        </w:tc>
        <w:tc>
          <w:tcPr>
            <w:tcW w:w="225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Нет (партнёрское)</w:t>
            </w:r>
          </w:p>
        </w:tc>
        <w:tc>
          <w:tcPr>
            <w:tcW w:w="195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Нет</w:t>
            </w:r>
          </w:p>
        </w:tc>
        <w:tc>
          <w:tcPr>
            <w:tcW w:w="225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Нет (модуль ПАК «ВЛ-БИО»)</w:t>
            </w:r>
          </w:p>
        </w:tc>
        <w:tc>
          <w:tcPr>
            <w:tcW w:w="135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Есть (OGATE One/Mini/Thermo) [41]</w:t>
            </w:r>
          </w:p>
        </w:tc>
      </w:tr>
      <w:tr>
        <w:trPr>
          <w:cantSplit/>
        </w:trPr>
        <w:tc>
          <w:tcPr>
            <w:tcW w:w="180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Продуктовая линейка</w:t>
            </w:r>
          </w:p>
        </w:tc>
        <w:tc>
          <w:tcPr>
            <w:tcW w:w="225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Face2Pay, Face2Pass, Face2Check-in, КБС под ключ — по сценариям банковской вертикали</w:t>
            </w:r>
          </w:p>
        </w:tc>
        <w:tc>
          <w:tcPr>
            <w:tcW w:w="195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СберPay Smile — преимущественно эквайринг</w:t>
            </w:r>
          </w:p>
        </w:tc>
        <w:tc>
          <w:tcPr>
            <w:tcW w:w="225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LUNA Platform/Cars/ID/Pass/Kiosk + Deepfake Detection — по форм-факторам</w:t>
            </w:r>
          </w:p>
        </w:tc>
        <w:tc>
          <w:tcPr>
            <w:tcW w:w="135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OGATE + OGATE Control + КБС OVISION</w:t>
            </w:r>
          </w:p>
        </w:tc>
      </w:tr>
      <w:tr>
        <w:trPr>
          <w:cantSplit/>
        </w:trPr>
        <w:tc>
          <w:tcPr>
            <w:tcW w:w="180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География</w:t>
            </w:r>
          </w:p>
        </w:tc>
        <w:tc>
          <w:tcPr>
            <w:tcW w:w="225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Татарстан + федеральные пилоты (Минцифры, Минтранс, НСПК)</w:t>
            </w:r>
          </w:p>
        </w:tc>
        <w:tc>
          <w:tcPr>
            <w:tcW w:w="195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Вся РФ и новые территории [38]</w:t>
            </w:r>
          </w:p>
        </w:tc>
        <w:tc>
          <w:tcPr>
            <w:tcW w:w="225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38 стран, 9 представительств [40]</w:t>
            </w:r>
          </w:p>
        </w:tc>
        <w:tc>
          <w:tcPr>
            <w:tcW w:w="135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Вся РФ</w:t>
            </w:r>
          </w:p>
        </w:tc>
      </w:tr>
      <w:tr>
        <w:trPr>
          <w:cantSplit/>
        </w:trPr>
        <w:tc>
          <w:tcPr>
            <w:tcW w:w="180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Антифрод (детекция дипфейков)</w:t>
            </w:r>
          </w:p>
        </w:tc>
        <w:tc>
          <w:tcPr>
            <w:tcW w:w="225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 публичной линейке отдельное решение не зафиксировано</w:t>
            </w:r>
          </w:p>
        </w:tc>
        <w:tc>
          <w:tcPr>
            <w:tcW w:w="195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Многоконтурная защита: liveness + AI-фрод + ПИН [38]</w:t>
            </w:r>
          </w:p>
        </w:tc>
        <w:tc>
          <w:tcPr>
            <w:tcW w:w="225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Отдельный продукт Deepfake Detection [40]</w:t>
            </w:r>
          </w:p>
        </w:tc>
        <w:tc>
          <w:tcPr>
            <w:tcW w:w="135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Антиспуфинг и детекция дипфейков [41]</w:t>
            </w:r>
          </w:p>
        </w:tc>
      </w:tr>
      <w:tr>
        <w:trPr>
          <w:cantSplit/>
        </w:trPr>
        <w:tc>
          <w:tcPr>
            <w:tcW w:w="180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Банковская / инфраструктурная экосистема</w:t>
            </w:r>
          </w:p>
        </w:tc>
        <w:tc>
          <w:tcPr>
            <w:tcW w:w="225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АББ, Карта жителя РТ, СБП, мобильное приложение [26, с. 17, 33]</w:t>
            </w:r>
          </w:p>
        </w:tc>
        <w:tc>
          <w:tcPr>
            <w:tcW w:w="195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Сбер, СберPay, СберID</w:t>
            </w:r>
          </w:p>
        </w:tc>
        <w:tc>
          <w:tcPr>
            <w:tcW w:w="225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ЦБТ, ЦРТ, Нетрис, ITV, ВК ИТС, Macroscop [40]</w:t>
            </w:r>
          </w:p>
        </w:tc>
        <w:tc>
          <w:tcPr>
            <w:tcW w:w="135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Без банковской экосистемы</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по данным [27; 26, с. 17, 33; 38; 35; 40; 41]</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Сравнение в таблице 2.2.5 фиксирует четыре чётко различимые позиции на рынке. Сбер закрывает массовый B2C-биоэквайринг масштабом и инфраструктурой; VisionLabs закрывает технологический слой и сильнее всех по независимой верификации точности через NIST FRTE и iBeta; OVISION закрывает рынок полного цикла СКУД (собственное оборудование плюс программное ядро плюс полный набор регуляторных статусов) и силён в государственном сегменте за счёт референсов федерального уровня (РЖД, Мосэнергосбыт, Правительство Тульской области). Face2 не вступает в эти три позиции лоб в лоб, а занимает четвёртую — банковский сервисный игрок с правом регистрации биометрических данных граждан в ЕБС через статус по № 115-ФЗ и с продуктовой линейкой, выстроенной не по форм-факторам, а по банковским сценариям.</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Конкурентные преимущества Face2 складываются из пяти позиций: (1) статус банка-оператора по № 115-ФЗ с правом регистрации биометрических векторов граждан в ЕБС, недоступный технологическим вендорам и производителям СКУД; (2) аккредитация Минцифры как оператора КБС (Решение № 4-А от 15 ноября 2023 года), особенно ценная после ужесточения ответственности по 420-ФЗ и 421-ФЗ [27]; (3) институциональный стаж работы с ЕБС с июля 2018 года и положение первого банка ПФО, подключённого к этой инфраструктуре, снимающий риск восприятия Face2 как «нового и непроверенного» сервиса [39]; (4) банковская экосистема (934 тыс. розничных и 33,9 тыс. корпоративных клиентов, 930 тыс. в АБО, 450 тыс. Карт жителя РТ, рейтинги «A» и подтверждённый ESG-статус) [26, с. 17, 33]; (5) продуктовая вертикаль под банковский сценарий, закрывающая оплату, проход и подтверждение возраста внутри одной экосистемы клиента, что отличает Face2 от горизонтальных платформ технологических вендоров.</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Пробелы — четыре: (1) публично не зафиксированная независимая международная верификация точности (NIST FRTE, iBeta, CVPR), на которой VisionLabs строит значимую часть позиционирования [40]; (2) отсутствие собственного производства биометрических терминалов и частичная зависимость от партнёрского оборудования при том, что OVISION предлагает полный аппаратный стек одного производителя со всеми статусами (Минпромторг, реестр радиоэлектронной продукции, СКЗИ) [41]; (3) локальный масштаб — ядро коммерческой базы Face2 в Татарстане при федеральном охвате Сбера и международном — VisionLabs (38 стран); (4) в публичной линейке Face2 не зафиксировано отдельное решение по детекции дипфейков, представленное у VisionLabs (Deepfake Detection), у OVISION (антиспуфинг и детекция дипфейков) и в виде многоконтурной защиты у Сбера [38; 40; 41].</w:t>
      </w:r>
    </w:p>
    <w:p>
      <w:pPr>
        <w:keepNext/>
        <w:keepLines/>
        <w:spacing w:before="200" w:after="120" w:line="36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8"/>
          <w:szCs w:val="28"/>
          <w:lang w:val="ru-RU"/>
        </w:rPr>
        <w:t xml:space="preserve">Балльная экспертная оценка решений на основе сравнительной матрицы</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Сравнительная матрица в таблице 2.2.5 фиксирует, по каким параметрам игроки различаются, но не отвечает на вопрос, какие из этих параметров критичны для победы в отрасли, а какие — второстепенны. Этот разрыв снимается через ключевые факторы успеха (КФУ) — управляемые ресурсы и характеристики продукта, владение которыми обеспечивает устойчивое конкурентное преимущество и без которых даже технологически сильное решение не выходит на коммерческий контур заказчика [11, с. 39; 25, с. 112]. На основании трёх рамок предыдущих подразделов (регуляторного контура, PESTEL-анализа и пяти сил Портера) и сравнительной матрицы выделяются восемь КФУ российского рынка биометрии: регуляторно-правовой капитал, технологическая зрелость алгоритмов, доказательная база точности, продуктовая полнота под B2B/B2G, географический охват и референсная база, экосистемная интеграция, контроль аппаратного стека и антифрод-функциональность. Эти восемь факторов одновременно служат критериями балльной оценки в таблице 2.2.6.</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КФУ не равноправны: для типового заказчика биометрии регуляторный статус важнее аппаратного стека, а банковская экосистема — важнее географии присутствия вендора. Восемь критериев переведены в шкалу от 1 до 5 баллов: 5 — лидерство, подтверждённое внешними источниками; 4 — устойчивая позиция с публично заявленными подтверждениями; 3 — позиция выше средней без независимой верификации; 2 — отдельные элементы реализованы, но не образуют системы; 1 — параметр публично не подтверждён. Веса критериев настроены под целевой сегмент Face2 — заказчиков B2B и B2G со сценариями работы с физическими лицами через ЕБС внутри банковской экосистемы: регуляторный статус и банковская экосистема выходят на первый план (вес 0,30 и 0,25), а второстепенные для этого сегмента критерии — географический охват, собственный аппаратный стек, заявленные технические характеристики и независимая верификация точности — понижаются до 0,05.</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2.2.6</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Балльная экспертная оценка под целевой сегмент Face2 — B2B и B2G-заказчики со сценариями работы с физическими лицами через ЕБС в банковской экосистеме</w:t>
      </w:r>
    </w:p>
    <w:tbl>
      <w:tblPr>
        <w:tblW w:w="9635"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643"/>
        <w:gridCol w:w="3646"/>
        <w:gridCol w:w="1215"/>
        <w:gridCol w:w="972"/>
        <w:gridCol w:w="972"/>
        <w:gridCol w:w="1215"/>
        <w:gridCol w:w="972"/>
      </w:tblGrid>
      <w:tr>
        <w:trPr>
          <w:tblHeader/>
          <w:cantSplit/>
        </w:trPr>
        <w:tc>
          <w:tcPr>
            <w:tcW w:w="643"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w:t>
            </w:r>
          </w:p>
        </w:tc>
        <w:tc>
          <w:tcPr>
            <w:tcW w:w="3646"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Критерий (КФУ)</w:t>
            </w:r>
          </w:p>
        </w:tc>
        <w:tc>
          <w:tcPr>
            <w:tcW w:w="1215"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Сегментный вес</w:t>
            </w:r>
          </w:p>
        </w:tc>
        <w:tc>
          <w:tcPr>
            <w:tcW w:w="972"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Face2</w:t>
            </w:r>
          </w:p>
        </w:tc>
        <w:tc>
          <w:tcPr>
            <w:tcW w:w="972"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Сбер</w:t>
            </w:r>
          </w:p>
        </w:tc>
        <w:tc>
          <w:tcPr>
            <w:tcW w:w="1215"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VisionLabs</w:t>
            </w:r>
          </w:p>
        </w:tc>
        <w:tc>
          <w:tcPr>
            <w:tcW w:w="972"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OVISION</w:t>
            </w:r>
          </w:p>
        </w:tc>
      </w:tr>
      <w:tr>
        <w:trPr>
          <w:cantSplit/>
        </w:trPr>
        <w:tc>
          <w:tcPr>
            <w:tcW w:w="64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w:t>
            </w:r>
          </w:p>
        </w:tc>
        <w:tc>
          <w:tcPr>
            <w:tcW w:w="364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Регуляторный статус: аккредитация КБС, статус оператора биометрии, право регистрации в ЕБС</w:t>
            </w:r>
          </w:p>
        </w:tc>
        <w:tc>
          <w:tcPr>
            <w:tcW w:w="121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0,30</w:t>
            </w:r>
          </w:p>
        </w:tc>
        <w:tc>
          <w:tcPr>
            <w:tcW w:w="97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5</w:t>
            </w:r>
          </w:p>
        </w:tc>
        <w:tc>
          <w:tcPr>
            <w:tcW w:w="97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5</w:t>
            </w:r>
          </w:p>
        </w:tc>
        <w:tc>
          <w:tcPr>
            <w:tcW w:w="121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4</w:t>
            </w:r>
          </w:p>
        </w:tc>
        <w:tc>
          <w:tcPr>
            <w:tcW w:w="97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4</w:t>
            </w:r>
          </w:p>
        </w:tc>
      </w:tr>
      <w:tr>
        <w:trPr>
          <w:cantSplit/>
        </w:trPr>
        <w:tc>
          <w:tcPr>
            <w:tcW w:w="64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w:t>
            </w:r>
          </w:p>
        </w:tc>
        <w:tc>
          <w:tcPr>
            <w:tcW w:w="364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Заявленные точность и скорость распознавания</w:t>
            </w:r>
          </w:p>
        </w:tc>
        <w:tc>
          <w:tcPr>
            <w:tcW w:w="121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0,05</w:t>
            </w:r>
          </w:p>
        </w:tc>
        <w:tc>
          <w:tcPr>
            <w:tcW w:w="97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4</w:t>
            </w:r>
          </w:p>
        </w:tc>
        <w:tc>
          <w:tcPr>
            <w:tcW w:w="97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4</w:t>
            </w:r>
          </w:p>
        </w:tc>
        <w:tc>
          <w:tcPr>
            <w:tcW w:w="121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5</w:t>
            </w:r>
          </w:p>
        </w:tc>
        <w:tc>
          <w:tcPr>
            <w:tcW w:w="97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5</w:t>
            </w:r>
          </w:p>
        </w:tc>
      </w:tr>
      <w:tr>
        <w:trPr>
          <w:cantSplit/>
        </w:trPr>
        <w:tc>
          <w:tcPr>
            <w:tcW w:w="64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3</w:t>
            </w:r>
          </w:p>
        </w:tc>
        <w:tc>
          <w:tcPr>
            <w:tcW w:w="364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Независимая верификация точности (NIST FRTE, iBeta, CVPR)</w:t>
            </w:r>
          </w:p>
        </w:tc>
        <w:tc>
          <w:tcPr>
            <w:tcW w:w="121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0,05</w:t>
            </w:r>
          </w:p>
        </w:tc>
        <w:tc>
          <w:tcPr>
            <w:tcW w:w="97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w:t>
            </w:r>
          </w:p>
        </w:tc>
        <w:tc>
          <w:tcPr>
            <w:tcW w:w="97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w:t>
            </w:r>
          </w:p>
        </w:tc>
        <w:tc>
          <w:tcPr>
            <w:tcW w:w="121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5</w:t>
            </w:r>
          </w:p>
        </w:tc>
        <w:tc>
          <w:tcPr>
            <w:tcW w:w="97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w:t>
            </w:r>
          </w:p>
        </w:tc>
      </w:tr>
      <w:tr>
        <w:trPr>
          <w:cantSplit/>
        </w:trPr>
        <w:tc>
          <w:tcPr>
            <w:tcW w:w="64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4</w:t>
            </w:r>
          </w:p>
        </w:tc>
        <w:tc>
          <w:tcPr>
            <w:tcW w:w="364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Продуктовая линейка под B2B и B2G сценарии</w:t>
            </w:r>
          </w:p>
        </w:tc>
        <w:tc>
          <w:tcPr>
            <w:tcW w:w="121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0,15</w:t>
            </w:r>
          </w:p>
        </w:tc>
        <w:tc>
          <w:tcPr>
            <w:tcW w:w="97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4</w:t>
            </w:r>
          </w:p>
        </w:tc>
        <w:tc>
          <w:tcPr>
            <w:tcW w:w="97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3</w:t>
            </w:r>
          </w:p>
        </w:tc>
        <w:tc>
          <w:tcPr>
            <w:tcW w:w="121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5</w:t>
            </w:r>
          </w:p>
        </w:tc>
        <w:tc>
          <w:tcPr>
            <w:tcW w:w="97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4</w:t>
            </w:r>
          </w:p>
        </w:tc>
      </w:tr>
      <w:tr>
        <w:trPr>
          <w:cantSplit/>
        </w:trPr>
        <w:tc>
          <w:tcPr>
            <w:tcW w:w="64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5</w:t>
            </w:r>
          </w:p>
        </w:tc>
        <w:tc>
          <w:tcPr>
            <w:tcW w:w="364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Географический охват и референсная база</w:t>
            </w:r>
          </w:p>
        </w:tc>
        <w:tc>
          <w:tcPr>
            <w:tcW w:w="121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0,05</w:t>
            </w:r>
          </w:p>
        </w:tc>
        <w:tc>
          <w:tcPr>
            <w:tcW w:w="97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3</w:t>
            </w:r>
          </w:p>
        </w:tc>
        <w:tc>
          <w:tcPr>
            <w:tcW w:w="97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5</w:t>
            </w:r>
          </w:p>
        </w:tc>
        <w:tc>
          <w:tcPr>
            <w:tcW w:w="121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5</w:t>
            </w:r>
          </w:p>
        </w:tc>
        <w:tc>
          <w:tcPr>
            <w:tcW w:w="97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4</w:t>
            </w:r>
          </w:p>
        </w:tc>
      </w:tr>
      <w:tr>
        <w:trPr>
          <w:cantSplit/>
        </w:trPr>
        <w:tc>
          <w:tcPr>
            <w:tcW w:w="64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6</w:t>
            </w:r>
          </w:p>
        </w:tc>
        <w:tc>
          <w:tcPr>
            <w:tcW w:w="364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Банковская и инфраструктурная экосистема</w:t>
            </w:r>
          </w:p>
        </w:tc>
        <w:tc>
          <w:tcPr>
            <w:tcW w:w="121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0,25</w:t>
            </w:r>
          </w:p>
        </w:tc>
        <w:tc>
          <w:tcPr>
            <w:tcW w:w="97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5</w:t>
            </w:r>
          </w:p>
        </w:tc>
        <w:tc>
          <w:tcPr>
            <w:tcW w:w="97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5</w:t>
            </w:r>
          </w:p>
        </w:tc>
        <w:tc>
          <w:tcPr>
            <w:tcW w:w="121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3</w:t>
            </w:r>
          </w:p>
        </w:tc>
        <w:tc>
          <w:tcPr>
            <w:tcW w:w="97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w:t>
            </w:r>
          </w:p>
        </w:tc>
      </w:tr>
      <w:tr>
        <w:trPr>
          <w:cantSplit/>
        </w:trPr>
        <w:tc>
          <w:tcPr>
            <w:tcW w:w="64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7</w:t>
            </w:r>
          </w:p>
        </w:tc>
        <w:tc>
          <w:tcPr>
            <w:tcW w:w="364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Собственный аппаратный стек</w:t>
            </w:r>
          </w:p>
        </w:tc>
        <w:tc>
          <w:tcPr>
            <w:tcW w:w="121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0,05</w:t>
            </w:r>
          </w:p>
        </w:tc>
        <w:tc>
          <w:tcPr>
            <w:tcW w:w="97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w:t>
            </w:r>
          </w:p>
        </w:tc>
        <w:tc>
          <w:tcPr>
            <w:tcW w:w="97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w:t>
            </w:r>
          </w:p>
        </w:tc>
        <w:tc>
          <w:tcPr>
            <w:tcW w:w="121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3</w:t>
            </w:r>
          </w:p>
        </w:tc>
        <w:tc>
          <w:tcPr>
            <w:tcW w:w="97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5</w:t>
            </w:r>
          </w:p>
        </w:tc>
      </w:tr>
      <w:tr>
        <w:trPr>
          <w:cantSplit/>
        </w:trPr>
        <w:tc>
          <w:tcPr>
            <w:tcW w:w="64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8</w:t>
            </w:r>
          </w:p>
        </w:tc>
        <w:tc>
          <w:tcPr>
            <w:tcW w:w="364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Антифрод-функциональность: детекция дипфейков, антиспуфинг</w:t>
            </w:r>
          </w:p>
        </w:tc>
        <w:tc>
          <w:tcPr>
            <w:tcW w:w="121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0,10</w:t>
            </w:r>
          </w:p>
        </w:tc>
        <w:tc>
          <w:tcPr>
            <w:tcW w:w="97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w:t>
            </w:r>
          </w:p>
        </w:tc>
        <w:tc>
          <w:tcPr>
            <w:tcW w:w="97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4</w:t>
            </w:r>
          </w:p>
        </w:tc>
        <w:tc>
          <w:tcPr>
            <w:tcW w:w="121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5</w:t>
            </w:r>
          </w:p>
        </w:tc>
        <w:tc>
          <w:tcPr>
            <w:tcW w:w="97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4</w:t>
            </w:r>
          </w:p>
        </w:tc>
      </w:tr>
      <w:tr>
        <w:trPr>
          <w:cantSplit/>
        </w:trPr>
        <w:tc>
          <w:tcPr>
            <w:tcW w:w="64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364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4"/>
                <w:szCs w:val="24"/>
                <w:lang w:val="ru-RU"/>
              </w:rPr>
              <w:t xml:space="preserve">Взвешенный итоговый балл</w:t>
            </w:r>
          </w:p>
        </w:tc>
        <w:tc>
          <w:tcPr>
            <w:tcW w:w="121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1,00</w:t>
            </w:r>
          </w:p>
        </w:tc>
        <w:tc>
          <w:tcPr>
            <w:tcW w:w="97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4"/>
                <w:szCs w:val="24"/>
                <w:lang w:val="ru-RU"/>
              </w:rPr>
              <w:t xml:space="preserve">4,10</w:t>
            </w:r>
          </w:p>
        </w:tc>
        <w:tc>
          <w:tcPr>
            <w:tcW w:w="97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4"/>
                <w:szCs w:val="24"/>
                <w:lang w:val="ru-RU"/>
              </w:rPr>
              <w:t xml:space="preserve">4,25</w:t>
            </w:r>
          </w:p>
        </w:tc>
        <w:tc>
          <w:tcPr>
            <w:tcW w:w="121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4"/>
                <w:szCs w:val="24"/>
                <w:lang w:val="ru-RU"/>
              </w:rPr>
              <w:t xml:space="preserve">4,10</w:t>
            </w:r>
          </w:p>
        </w:tc>
        <w:tc>
          <w:tcPr>
            <w:tcW w:w="97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4"/>
                <w:szCs w:val="24"/>
                <w:lang w:val="ru-RU"/>
              </w:rPr>
              <w:t xml:space="preserve">3,50</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оценки автора по данным [11, с. 39; 25, с. 112; 27; 26, с. 17, 33; 38; 35; 40; 41]</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Лидерство по целевому сегменту удерживает Сбер за счёт федерального охвата и многоконтурной антифрод-защиты [38]. Face2 разделяет вторую позицию с VisionLabs, опережая OVISION на 0,60 балла за счёт регуляторного статуса банка-оператора биометрии и собственной банковской экосистемы [27; 26, с. 17, 33; 35]. Балльный расчёт подтверждает качественный вывод параграфа: Face2 не претендует на универсальное лидерство, но входит в группу лидеров своего целевого сегмента — B2B и B2G-заказчиков со смешанными сценариями платежей, прохода и подтверждения возраста на биометрии физических лиц через ЕБС.</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Полученный результат чувствителен к выбору весов: при равных весах (по 0,125 на каждый критерий) первое место занимает VisionLabs (≈ 4,38) за счёт независимой верификации точности, продуктовой полноты и антифрод-функциональности, второе — Сбер и OVISION с одинаковым средним (≈ 3,75), Face2 опускается на четвёртую позицию (≈ 3,38). Использованная в таблице 2.2.6 шкала весов настроена под целевой сегмент Face2 (B2B/B2G со сценариями работы с физическими лицами через ЕБС в банковской экосистеме) и поэтому даёт повышенную оценку именно для этого сегмента; для других сегментов рынка ранжирование изменится. Это не методологическая слабость, а свойство сегментно-ориентированной балльной оценки: она измеряет соответствие игрока заданному сегменту, а не универсальную «силу» решения.</w:t>
      </w:r>
    </w:p>
    <w:p>
      <w:pPr>
        <w:keepNext/>
        <w:keepLines/>
        <w:spacing w:before="200" w:after="120" w:line="36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8"/>
          <w:szCs w:val="28"/>
          <w:lang w:val="ru-RU"/>
        </w:rPr>
        <w:t xml:space="preserve">Конкурентная позиция Face2 на российском рынке биометрии</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Жёсткая регуляторная рамка 572-ФЗ и закона № 115-ФЗ ограничивает круг операторов биометрии до организаций, аккредитованных Минцифры, и до банков, имеющих право регистрации векторов в ЕБС [1; 27; 35]; именно внутри этого ограниченного поля и формируется собственный конкурентный сегмент Face2 — B2B и B2G-заказчики со сценариями, где одновременно нужны работа с физическими лицами через ЕБС, банковская инфраструктура и продуктовая линейка под платежи, проход и подтверждение возраста. Face2 не конкурирует со Сбером по объёму, с VisionLabs — по верификации алгоритмов и международному охвату, с OVISION — по аппаратному стеку, но в собственном сегменте получает уникальную для рынка комбинацию преимуществ: статус оператора по № 115-ФЗ под № 101 в перечне Банка России, аккредитацию КБС № 4-А от 15.11.2023, шестилетний стаж работы с ЕБС, банковскую экосистему и первую референтную базу федерального уровня в проектах с Минцифры, Минтрансом, ЦБТ и НСПК [27; 26, с. 4, 17, 30–31, 33; 35]. Ограничения позиции — локальный географический охват и публично не зафиксированные независимая верификация точности и отдельное решение по детекции дипфейков. Драйверы спроса работают в пользу Face2 одновременно: ужесточение ответственности по 420-ФЗ и 421-ФЗ вытесняет неаккредитованные локальные решения, а девятикратный годовой рост биометрических платежей и 10+ млн зарегистрированных в ЕБС создают эффект повседневности и снимают часть барьера доверия [27; 32]. Управленческое следствие для главы 3 — анализ должен сосредоточиться не на технологических доработках, а на маркетинговых инструментах: насколько текущее продвижение продукта соответствует уже занятой банком конкурентной нише, какие каналы коммуникации задействованы и где находятся пробелы относительно сильных сторон, выявленных выше. Этому посвящён параграф 2.3.</w:t>
      </w:r>
    </w:p>
    <w:p>
      <w:pPr>
        <w:spacing w:before="0" w:after="0" w:line="240" w:lineRule="auto"/>
        <w:jc w:val="both"/>
        <w:rPr>
          <w:rFonts w:ascii="Times New Roman" w:hAnsi="Times New Roman" w:cs="Times New Roman" w:eastAsia="Times New Roman"/>
          <w:sz w:val="28"/>
          <w:szCs w:val="28"/>
          <w:lang w:val="ru-RU"/>
        </w:rPr>
      </w:pPr>
    </w:p>
    <w:p>
      <w:pPr>
        <w:keepNext/>
        <w:keepLines/>
        <w:spacing w:before="240" w:after="120" w:line="36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8"/>
          <w:szCs w:val="28"/>
          <w:lang w:val="ru-RU"/>
        </w:rPr>
        <w:t xml:space="preserve">2.3. АНАЛИЗ ТЕКУЩЕГО ПРОДВИЖЕНИЯ ПРОДУКТА И ЕГО ПОЗИЦИИ НА РЫНКЕ</w:t>
      </w:r>
    </w:p>
    <w:p>
      <w:pPr>
        <w:keepNext/>
        <w:keepLines/>
        <w:spacing w:before="200" w:after="120" w:line="36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8"/>
          <w:szCs w:val="28"/>
          <w:lang w:val="ru-RU"/>
        </w:rPr>
        <w:t xml:space="preserve">Постановка задачи и метод анализа</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Опираясь на конкурентную позицию Face2, зафиксированную в параграфе 2.2, настоящий параграф проверяет, насколько текущая практика продвижения соответствует уже занятой банком нише, какие каналы и сегменты задействованы и где находятся пробелы. Текущее продвижение рассматривается через четыре аналитические рамки, введённые в параграфах 1.2 и 1.3: модель STP, расширенный комплекс маркетинга 7P (с особым весом People, Process и Physical evidence для биометрии), маркетинговая воронка с обязательным этапом «Доверие» и карта каналов из таблицы 1.2.5 в её биометрической конфигурации. Эмпирическая база — корпоративные материалы по продукту [27], годовой отчёт банка за 2024 год [26], проектная карточка TAdviser о подключении АББ к ЕБС в 2018 году [39], перечень банков по № 115-ФЗ [35] и рыночный фон по данным Банка России и деловой прессы [38; 32].</w:t>
      </w:r>
    </w:p>
    <w:p>
      <w:pPr>
        <w:keepNext/>
        <w:keepLines/>
        <w:spacing w:before="200" w:after="120" w:line="36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8"/>
          <w:szCs w:val="28"/>
          <w:lang w:val="ru-RU"/>
        </w:rPr>
        <w:t xml:space="preserve">Сегментация, таргетинг и позиционирование Face2</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Продуктовая линейка Face2, описанная в параграфе 2.1, формирует адресный набор сегментов: каждое из четырёх продуктов закрывает собственный тип заказчика и сценарий использования. На уровне коммуникации между заявленным продуктовым сегментом и реальной публичной активностью банка возможен зазор — продукт может быть выведен на рынок продуктово, но не выведен коммуникативно. Сопоставление шести сегментов рынка из таблицы 2.2.2 с тем, как они отыграны в публичных коммуникациях Face2, дано в таблице 2.3.1.</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2.3.1</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Сегментная карта продвижения Face2: продуктовая декларация и реальная коммуникативная активность</w:t>
      </w:r>
    </w:p>
    <w:tbl>
      <w:tblPr>
        <w:tblW w:w="9637"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465"/>
        <w:gridCol w:w="2017"/>
        <w:gridCol w:w="3362"/>
        <w:gridCol w:w="1793"/>
      </w:tblGrid>
      <w:tr>
        <w:trPr>
          <w:tblHeader/>
          <w:cantSplit/>
        </w:trPr>
        <w:tc>
          <w:tcPr>
            <w:tcW w:w="2465"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Сегмент рынка (по табл. 2.2.2)</w:t>
            </w:r>
          </w:p>
        </w:tc>
        <w:tc>
          <w:tcPr>
            <w:tcW w:w="2017"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Продукт линейки</w:t>
            </w:r>
          </w:p>
        </w:tc>
        <w:tc>
          <w:tcPr>
            <w:tcW w:w="3362"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Реальная коммуникативная активность Face2</w:t>
            </w:r>
          </w:p>
        </w:tc>
        <w:tc>
          <w:tcPr>
            <w:tcW w:w="1793"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Тип активности</w:t>
            </w:r>
          </w:p>
        </w:tc>
      </w:tr>
      <w:tr>
        <w:trPr>
          <w:cantSplit/>
        </w:trPr>
        <w:tc>
          <w:tcPr>
            <w:tcW w:w="246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Финансовый сектор: B2C-биоэквайринг</w:t>
            </w:r>
          </w:p>
        </w:tc>
        <w:tc>
          <w:tcPr>
            <w:tcW w:w="201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Face2Pay</w:t>
            </w:r>
          </w:p>
        </w:tc>
        <w:tc>
          <w:tcPr>
            <w:tcW w:w="336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Оплата по биометрии в мобильном приложении АБО</w:t>
            </w:r>
          </w:p>
        </w:tc>
        <w:tc>
          <w:tcPr>
            <w:tcW w:w="179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Внутренний продукт</w:t>
            </w:r>
          </w:p>
        </w:tc>
      </w:tr>
      <w:tr>
        <w:trPr>
          <w:cantSplit/>
        </w:trPr>
        <w:tc>
          <w:tcPr>
            <w:tcW w:w="246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Финансовый сектор: B2B (КБС для банков и МФО)</w:t>
            </w:r>
          </w:p>
        </w:tc>
        <w:tc>
          <w:tcPr>
            <w:tcW w:w="201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КБС под ключ</w:t>
            </w:r>
          </w:p>
        </w:tc>
        <w:tc>
          <w:tcPr>
            <w:tcW w:w="336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Заявлена в линейке; публичных кейсов нет</w:t>
            </w:r>
          </w:p>
        </w:tc>
        <w:tc>
          <w:tcPr>
            <w:tcW w:w="179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Декларация</w:t>
            </w:r>
          </w:p>
        </w:tc>
      </w:tr>
      <w:tr>
        <w:trPr>
          <w:cantSplit/>
        </w:trPr>
        <w:tc>
          <w:tcPr>
            <w:tcW w:w="246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Транспорт</w:t>
            </w:r>
          </w:p>
        </w:tc>
        <w:tc>
          <w:tcPr>
            <w:tcW w:w="201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Face2Pay</w:t>
            </w:r>
          </w:p>
        </w:tc>
        <w:tc>
          <w:tcPr>
            <w:tcW w:w="336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Биоэквайринг через СБП в Казанском метро (с Минцифры, Минтрансом, ЦБТ, НСПК)</w:t>
            </w:r>
          </w:p>
        </w:tc>
        <w:tc>
          <w:tcPr>
            <w:tcW w:w="179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Действующий пилот</w:t>
            </w:r>
          </w:p>
        </w:tc>
      </w:tr>
      <w:tr>
        <w:trPr>
          <w:cantSplit/>
        </w:trPr>
        <w:tc>
          <w:tcPr>
            <w:tcW w:w="246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Государственная идентификация / B2G</w:t>
            </w:r>
          </w:p>
        </w:tc>
        <w:tc>
          <w:tcPr>
            <w:tcW w:w="201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КБС под ключ</w:t>
            </w:r>
          </w:p>
        </w:tc>
        <w:tc>
          <w:tcPr>
            <w:tcW w:w="336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Карта жителя РТ — 450 131 карта на 01.01.2025; биометрию можно сдать в приложении</w:t>
            </w:r>
          </w:p>
        </w:tc>
        <w:tc>
          <w:tcPr>
            <w:tcW w:w="179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Действующий пилот</w:t>
            </w:r>
          </w:p>
        </w:tc>
      </w:tr>
      <w:tr>
        <w:trPr>
          <w:cantSplit/>
        </w:trPr>
        <w:tc>
          <w:tcPr>
            <w:tcW w:w="246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СКУД: внутренний контур</w:t>
            </w:r>
          </w:p>
        </w:tc>
        <w:tc>
          <w:tcPr>
            <w:tcW w:w="201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Face2Pass + Face2Pass.Terminal</w:t>
            </w:r>
          </w:p>
        </w:tc>
        <w:tc>
          <w:tcPr>
            <w:tcW w:w="336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5 000+ сотрудников АББ; 200 биотерминалов; внешние внедрения 200/500/5 000/15 000 векторов</w:t>
            </w:r>
          </w:p>
        </w:tc>
        <w:tc>
          <w:tcPr>
            <w:tcW w:w="179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Производственный кейс</w:t>
            </w:r>
          </w:p>
        </w:tc>
      </w:tr>
      <w:tr>
        <w:trPr>
          <w:cantSplit/>
        </w:trPr>
        <w:tc>
          <w:tcPr>
            <w:tcW w:w="246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СКУД: внешние коммерческие</w:t>
            </w:r>
          </w:p>
        </w:tc>
        <w:tc>
          <w:tcPr>
            <w:tcW w:w="201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Face2Pass</w:t>
            </w:r>
          </w:p>
        </w:tc>
        <w:tc>
          <w:tcPr>
            <w:tcW w:w="336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Возможность заявлена, конкретные кейсы не названы</w:t>
            </w:r>
          </w:p>
        </w:tc>
        <w:tc>
          <w:tcPr>
            <w:tcW w:w="179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Декларация</w:t>
            </w:r>
          </w:p>
        </w:tc>
      </w:tr>
      <w:tr>
        <w:trPr>
          <w:cantSplit/>
        </w:trPr>
        <w:tc>
          <w:tcPr>
            <w:tcW w:w="246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Ритейл / возрастная верификация</w:t>
            </w:r>
          </w:p>
        </w:tc>
        <w:tc>
          <w:tcPr>
            <w:tcW w:w="201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Face2Check-in</w:t>
            </w:r>
          </w:p>
        </w:tc>
        <w:tc>
          <w:tcPr>
            <w:tcW w:w="336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Заявлен в 2025 году, кейсов нет</w:t>
            </w:r>
          </w:p>
        </w:tc>
        <w:tc>
          <w:tcPr>
            <w:tcW w:w="179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Декларация</w:t>
            </w:r>
          </w:p>
        </w:tc>
      </w:tr>
      <w:tr>
        <w:trPr>
          <w:cantSplit/>
        </w:trPr>
        <w:tc>
          <w:tcPr>
            <w:tcW w:w="246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Гостиничный сектор</w:t>
            </w:r>
          </w:p>
        </w:tc>
        <w:tc>
          <w:tcPr>
            <w:tcW w:w="201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Face2Check-in</w:t>
            </w:r>
          </w:p>
        </w:tc>
        <w:tc>
          <w:tcPr>
            <w:tcW w:w="336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Заявлено заселение без паспорта, кейсов нет</w:t>
            </w:r>
          </w:p>
        </w:tc>
        <w:tc>
          <w:tcPr>
            <w:tcW w:w="179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Декларация</w:t>
            </w:r>
          </w:p>
        </w:tc>
      </w:tr>
      <w:tr>
        <w:trPr>
          <w:cantSplit/>
        </w:trPr>
        <w:tc>
          <w:tcPr>
            <w:tcW w:w="246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Социально-культурный</w:t>
            </w:r>
          </w:p>
        </w:tc>
        <w:tc>
          <w:tcPr>
            <w:tcW w:w="201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Face2Pass</w:t>
            </w:r>
          </w:p>
        </w:tc>
        <w:tc>
          <w:tcPr>
            <w:tcW w:w="336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Электронный читательский билет — вход в Нацбиблиотеку РТ по биометрии</w:t>
            </w:r>
          </w:p>
        </w:tc>
        <w:tc>
          <w:tcPr>
            <w:tcW w:w="179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Действующий пилот</w:t>
            </w:r>
          </w:p>
        </w:tc>
      </w:tr>
      <w:tr>
        <w:trPr>
          <w:cantSplit/>
        </w:trPr>
        <w:tc>
          <w:tcPr>
            <w:tcW w:w="246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Биоэквайринг через СБП на POS</w:t>
            </w:r>
          </w:p>
        </w:tc>
        <w:tc>
          <w:tcPr>
            <w:tcW w:w="201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Face2Pay</w:t>
            </w:r>
          </w:p>
        </w:tc>
        <w:tc>
          <w:tcPr>
            <w:tcW w:w="336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Запущен пилот</w:t>
            </w:r>
          </w:p>
        </w:tc>
        <w:tc>
          <w:tcPr>
            <w:tcW w:w="179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Пилот</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по данным [27; 26, с. 28–33]</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Сопоставление в таблице 2.3.1 показывает, что из шести сегментов рынка коммуникативно активно охвачены четыре — финансовый, транспортный, государственный (через социальную инфраструктуру РТ) и СКУД (через внутренний контур банка). Сегменты «гостиничный» и «возрастная верификация в ритейле» заявлены в продуктовой линейке, но публичные референсные кейсы по ним отсутствуют. Это первый зафиксированный пробел продвижения — сегментный.</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Таргетинг продвижения сосредоточен по двум осям. Географическая ось — Республика Татарстан плюс точечные федеральные пилоты в связке с Минцифры РФ, Минтрансом РФ, Центром биометрических технологий и Национальной системой платёжных карт [26, с. 30–31]. По оси типа заказчика основные ресурсы направлены на B2B и B2G, а массовый B2C-сегмент охвачен только через банковскую экосистему в пределах Татарстана — мобильное приложение АБО, приложение «Карта жителя РТ» и портал государственных услуг РТ через СБП (количественные показатели приведены в параграфе 2.1) [26, с. 17, 28–29, 33]. Эта концентрация одновременно использует региональное преимущество и ограничивает рыночный охват за пределами региона.</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Позиционирование Face2 в открытых коммуникациях опирается на четыре содержательных оси: регуляторный статус (оператор КБС с аккредитацией Минцифры решением № 4-А от 15.11.2023, сертификация ФСБ и ФСТЭК, реестр отечественного ПО), архитектурная безопасность (хранение биометрических векторов в ГИС ЕБС, опора на государственную инфраструктуру), технологичность (заявленная точность 99,5%, время сканирования около двух секунд) и противопоставление локальным биометриям, нарушающим 572-ФЗ [27]. Дополнительная опорная ось — ассоциация с банковской инфраструктурой АББ: рейтинги «A» по национальной шкале, ESG-A, статус оператора по № 115-ФЗ под номером 101 в перечне Банка России [26, с. 4; 35]. Содержательно это позиционирование точно соответствует конкурентной нише, выявленной в параграфе 2.2.</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Однако исходная маркетинговая гипотеза, на которой строилось продвижение, — гипотеза органического спроса 2018 года, рассчитывавшая на «рост интереса по мере планомерного перевода государственных услуг в систему ЕСИА» [39], — рынком 2025 года уже не подтверждается. Девятикратный рост числа биометрических платежей за 9 месяцев 2025 года к аналогичному периоду 2024 года, оборот 112,5 млрд рублей и более 10 млн пользователей ЕБС [32] показывают, что рынок перешёл в фазу зрелого спроса с активной конкурентной борьбой за долю, и пассивная стратегия органического притяжения проигрывает активной стратегии Сбера с парком в 700 тыс. терминалов и оборотом 116 млрд рублей за 2025 год [38]. Несоответствие между фазой рынка и исходной маркетинговой гипотезой банка — фундаментальная характеристика текущего продвижения Face2.</w:t>
      </w:r>
    </w:p>
    <w:p>
      <w:pPr>
        <w:keepNext/>
        <w:keepLines/>
        <w:spacing w:before="200" w:after="120" w:line="36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8"/>
          <w:szCs w:val="28"/>
          <w:lang w:val="ru-RU"/>
        </w:rPr>
        <w:t xml:space="preserve">Инвентаризация каналов продвижения</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Сетка каналов из таблицы 1.2.5 в параграфе 1.3 переконфигурирована для биометрии: вес массовой рекламы снижен, удельный вес образовательно-демонстрационных и экспертных форматов повышен, push в B2B/B2G сочетается с pull в B2C при первичности push. Инвентаризация каналов Face2 по этой сетке дана в таблице 2.3.2.</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2.3.2</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Инвентаризация каналов продвижения Face2</w:t>
      </w:r>
    </w:p>
    <w:tbl>
      <w:tblPr>
        <w:tblW w:w="9636"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409"/>
        <w:gridCol w:w="2409"/>
        <w:gridCol w:w="2409"/>
        <w:gridCol w:w="2409"/>
      </w:tblGrid>
      <w:tr>
        <w:trPr>
          <w:tblHeader/>
          <w:cantSplit/>
        </w:trPr>
        <w:tc>
          <w:tcPr>
            <w:tcW w:w="2409"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Канал из табл. 1.2.5</w:t>
            </w:r>
          </w:p>
        </w:tc>
        <w:tc>
          <w:tcPr>
            <w:tcW w:w="2409"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Реализация у Face2</w:t>
            </w:r>
          </w:p>
        </w:tc>
        <w:tc>
          <w:tcPr>
            <w:tcW w:w="2409"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Метрика / факт</w:t>
            </w:r>
          </w:p>
        </w:tc>
        <w:tc>
          <w:tcPr>
            <w:tcW w:w="2409"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Оценка</w:t>
            </w:r>
          </w:p>
        </w:tc>
      </w:tr>
      <w:tr>
        <w:trPr>
          <w:cantSplit/>
        </w:trPr>
        <w:tc>
          <w:tcPr>
            <w:tcW w:w="240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Внутренний контур банка как «послы бренда»</w:t>
            </w:r>
          </w:p>
        </w:tc>
        <w:tc>
          <w:tcPr>
            <w:tcW w:w="240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Сотрудники-пользователи продукта</w:t>
            </w:r>
          </w:p>
        </w:tc>
        <w:tc>
          <w:tcPr>
            <w:tcW w:w="240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5 000+ сотрудников АББ; 200 биотерминалов</w:t>
            </w:r>
          </w:p>
        </w:tc>
        <w:tc>
          <w:tcPr>
            <w:tcW w:w="240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сильный</w:t>
            </w:r>
          </w:p>
        </w:tc>
      </w:tr>
      <w:tr>
        <w:trPr>
          <w:cantSplit/>
        </w:trPr>
        <w:tc>
          <w:tcPr>
            <w:tcW w:w="240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Партнёрские каналы федерального уровня</w:t>
            </w:r>
          </w:p>
        </w:tc>
        <w:tc>
          <w:tcPr>
            <w:tcW w:w="240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Связка Минцифры + Минтранс + ЦБТ + НСПК в одном проекте; АО «Социальная карта» по Карте жителя РТ; Ростелеком (подключение к ЕБС в 2018 г.)</w:t>
            </w:r>
          </w:p>
        </w:tc>
        <w:tc>
          <w:tcPr>
            <w:tcW w:w="240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Биоэквайринг в Казанском метро как референс; 450 131 действующая Карта жителя РТ</w:t>
            </w:r>
          </w:p>
        </w:tc>
        <w:tc>
          <w:tcPr>
            <w:tcW w:w="240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сильный</w:t>
            </w:r>
          </w:p>
        </w:tc>
      </w:tr>
      <w:tr>
        <w:trPr>
          <w:cantSplit/>
        </w:trPr>
        <w:tc>
          <w:tcPr>
            <w:tcW w:w="240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Демонстрационные каналы</w:t>
            </w:r>
          </w:p>
        </w:tc>
        <w:tc>
          <w:tcPr>
            <w:tcW w:w="240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Пилоты в Казанском метро, Нацбиблиотеке РТ; биоэквайринг через СБП на POS, оплата в АБО, заселение в гостиницу</w:t>
            </w:r>
          </w:p>
        </w:tc>
        <w:tc>
          <w:tcPr>
            <w:tcW w:w="240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200 биотерминалов в офисах как постоянная демосеть</w:t>
            </w:r>
          </w:p>
        </w:tc>
        <w:tc>
          <w:tcPr>
            <w:tcW w:w="240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сильный</w:t>
            </w:r>
          </w:p>
        </w:tc>
      </w:tr>
      <w:tr>
        <w:trPr>
          <w:cantSplit/>
        </w:trPr>
        <w:tc>
          <w:tcPr>
            <w:tcW w:w="240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Цифровые каналы банка как носитель Face2</w:t>
            </w:r>
          </w:p>
        </w:tc>
        <w:tc>
          <w:tcPr>
            <w:tcW w:w="240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Оплата по биометрии в АБО; сдача биометрии в приложении «Карта жителя РТ»; портал госуслуг РТ через СБП</w:t>
            </w:r>
          </w:p>
        </w:tc>
        <w:tc>
          <w:tcPr>
            <w:tcW w:w="240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930 тыс. активных в АБО, 12 млн транзакций за 2024 г.; 1,2 млн транзакций через СБП на портале госуслуг РТ</w:t>
            </w:r>
          </w:p>
        </w:tc>
        <w:tc>
          <w:tcPr>
            <w:tcW w:w="240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средний — Face2 встроен как функционал, не как самостоятельный бренд</w:t>
            </w:r>
          </w:p>
        </w:tc>
      </w:tr>
      <w:tr>
        <w:trPr>
          <w:cantSplit/>
        </w:trPr>
        <w:tc>
          <w:tcPr>
            <w:tcW w:w="240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Сайт продукта (face2.ru) и сайт банка</w:t>
            </w:r>
          </w:p>
        </w:tc>
        <w:tc>
          <w:tcPr>
            <w:tcW w:w="240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Сайт-визитка с описанием продукта; контакт продаж — Салахов А. А.</w:t>
            </w:r>
          </w:p>
        </w:tc>
        <w:tc>
          <w:tcPr>
            <w:tcW w:w="240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Формы заявки, ROI-калькулятора и витрины кейсов в открытых данных не зафиксировано</w:t>
            </w:r>
          </w:p>
        </w:tc>
        <w:tc>
          <w:tcPr>
            <w:tcW w:w="240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средний</w:t>
            </w:r>
          </w:p>
        </w:tc>
      </w:tr>
      <w:tr>
        <w:trPr>
          <w:cantSplit/>
        </w:trPr>
        <w:tc>
          <w:tcPr>
            <w:tcW w:w="240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Прямые продажи (B2B/B2G)</w:t>
            </w:r>
          </w:p>
        </w:tc>
        <w:tc>
          <w:tcPr>
            <w:tcW w:w="240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Классическая B2B-модель через одного публичного контактного менеджера</w:t>
            </w:r>
          </w:p>
        </w:tc>
        <w:tc>
          <w:tcPr>
            <w:tcW w:w="240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Один публичный контакт продаж</w:t>
            </w:r>
          </w:p>
        </w:tc>
        <w:tc>
          <w:tcPr>
            <w:tcW w:w="240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средний — эффективен при исходящем поиске, не утилизирует входящий интерес</w:t>
            </w:r>
          </w:p>
        </w:tc>
      </w:tr>
      <w:tr>
        <w:trPr>
          <w:cantSplit/>
        </w:trPr>
        <w:tc>
          <w:tcPr>
            <w:tcW w:w="240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PR в деловых СМИ</w:t>
            </w:r>
          </w:p>
        </w:tc>
        <w:tc>
          <w:tcPr>
            <w:tcW w:w="240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Точечные релизы, преимущественно в татарстанских изданиях; в федеральной прессе АББ упомянут без отдельной редпрограммы</w:t>
            </w:r>
          </w:p>
        </w:tc>
        <w:tc>
          <w:tcPr>
            <w:tcW w:w="240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Один полнотекстовый материал федерального уровня — TAdviser (10.07.2018) [39]</w:t>
            </w:r>
          </w:p>
        </w:tc>
        <w:tc>
          <w:tcPr>
            <w:tcW w:w="240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средний</w:t>
            </w:r>
          </w:p>
        </w:tc>
      </w:tr>
      <w:tr>
        <w:trPr>
          <w:cantSplit/>
        </w:trPr>
        <w:tc>
          <w:tcPr>
            <w:tcW w:w="240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Отраслевые мероприятия (FINOPOLIS, конференции по биометрии)</w:t>
            </w:r>
          </w:p>
        </w:tc>
        <w:tc>
          <w:tcPr>
            <w:tcW w:w="240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Участие в форумах заявлено, программа выступлений по Face2 в открытых источниках не зафиксирована</w:t>
            </w:r>
          </w:p>
        </w:tc>
        <w:tc>
          <w:tcPr>
            <w:tcW w:w="240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Публичная программа выступлений по Face2 в открытых данных не зафиксирована</w:t>
            </w:r>
          </w:p>
        </w:tc>
        <w:tc>
          <w:tcPr>
            <w:tcW w:w="240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средний</w:t>
            </w:r>
          </w:p>
        </w:tc>
      </w:tr>
      <w:tr>
        <w:trPr>
          <w:cantSplit/>
        </w:trPr>
        <w:tc>
          <w:tcPr>
            <w:tcW w:w="240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Соцсети под отдельным брендом Face2</w:t>
            </w:r>
          </w:p>
        </w:tc>
        <w:tc>
          <w:tcPr>
            <w:tcW w:w="240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Отдельных сообществ под брендом не зафиксировано; продукт идёт «внутри» аккаунтов АББ</w:t>
            </w:r>
          </w:p>
        </w:tc>
        <w:tc>
          <w:tcPr>
            <w:tcW w:w="240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Соцсети АББ описаны как канал работы с обращениями розничных клиентов в целом</w:t>
            </w:r>
          </w:p>
        </w:tc>
        <w:tc>
          <w:tcPr>
            <w:tcW w:w="240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слабый</w:t>
            </w:r>
          </w:p>
        </w:tc>
      </w:tr>
      <w:tr>
        <w:trPr>
          <w:cantSplit/>
        </w:trPr>
        <w:tc>
          <w:tcPr>
            <w:tcW w:w="240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Контент-маркетинг и экспертная база</w:t>
            </w:r>
          </w:p>
        </w:tc>
        <w:tc>
          <w:tcPr>
            <w:tcW w:w="240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Разъяснения 572-ФЗ и схемы ГИС ЕБС → КБС → продукт точечно в корпматериалах; систематической рубрики нет</w:t>
            </w:r>
          </w:p>
        </w:tc>
        <w:tc>
          <w:tcPr>
            <w:tcW w:w="240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Для сравнения: VisionLabs ведёт блог на Habr [40], OVISION публикует кейсы РЖД, Мосэнергосбыта, Правительства Тульской области [41]</w:t>
            </w:r>
          </w:p>
        </w:tc>
        <w:tc>
          <w:tcPr>
            <w:tcW w:w="240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слабый</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по данным [27; 26, с. 28–33; 40; 32; 41; 39]</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Раскладка показывает, что у Face2 три канала развиты сильно, четыре — на среднем уровне, два — слабо или отсутствуют. Сильный push-контур образуют внутренний контур банка (5 000+ сотрудников × 200 биотерминалов как естественный «полигон» отладки клиентского опыта и сообщество ранних последователей), партнёрские каналы федерального уровня (одновременная связка с Минцифры, Минтрансом, ЦБТ и НСПК в одном проекте не имеет публично подтверждённых аналогов на рынке [40; 41]) и демонстрационные каналы внутри Татарстана.</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Средняя группа каналов работает, но с интенсивностью значительно ниже, чем у конкурентов: канал прямых продаж замкнут на одного контактного менеджера [27] и не утилизирует входящий интерес, сайт face2.ru представляет продукт, но автоматическая лидогенерация (форма заявки, ROI-калькулятор, чат-бот) и публичная витрина коммерческих кейсов в открытых данных не зафиксированы. Третья группа — отсутствие отдельного бренда Face2 в социальных сетях и фрагментарность экспертного контента: работа с соцсетями описана в годовом отчёте 2024 года как канал работы с обращениями розничных клиентов в целом по банку [26, с. 33], систематических активностей под брендом Face2 публично не зафиксировано, тогда как у VisionLabs ведётся корпоративный блог на Habr [40], OVISION публикует кейсы внедрений [41], а Сбер транслирует свою биометрию в массовых СМИ как «оплата улыбкой» [38].</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Главный вывод инвентаризации каналов: коммуникационная архитектура Face2 асимметрична — push-каналы (B2B/B2G, партнёрства, пилоты) работают сильно, pull-каналы (массовые СМИ за пределами Татарстана, отдельный бренд в социальных сетях, экспертный контент) фрагментарны. Эта асимметрия зеркально соответствует выводу параграфа 2.2 о локальном масштабе коммерческого присутствия: маркетинговая активность банка отражает географическую структуру его операций, а не потенциал рынка.</w:t>
      </w:r>
    </w:p>
    <w:p>
      <w:pPr>
        <w:keepNext/>
        <w:keepLines/>
        <w:spacing w:before="200" w:after="120" w:line="36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8"/>
          <w:szCs w:val="28"/>
          <w:lang w:val="ru-RU"/>
        </w:rPr>
        <w:t xml:space="preserve">Реализация комплекса маркетинга 7P</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Конфигурация 7P для биометрии, выведенная в параграфе 1.3, предполагает непропорционально высокий вес элементов People, Process и Physical evidence — именно они закрывают психологический и регуляторно-репутационный барьеры сильнее, чем элементы Promotion и Price в их классической форме. Сопоставление этой конфигурации с реальной практикой Face2 дано в таблице 2.3.3.</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2.3.3</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Реализация комплекса маркетинга 7P в продвижении Face2</w:t>
      </w:r>
    </w:p>
    <w:tbl>
      <w:tblPr>
        <w:tblW w:w="9636"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876"/>
        <w:gridCol w:w="2920"/>
        <w:gridCol w:w="2920"/>
        <w:gridCol w:w="2920"/>
      </w:tblGrid>
      <w:tr>
        <w:trPr>
          <w:tblHeader/>
          <w:cantSplit/>
        </w:trPr>
        <w:tc>
          <w:tcPr>
            <w:tcW w:w="876"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Элемент 7P</w:t>
            </w:r>
          </w:p>
        </w:tc>
        <w:tc>
          <w:tcPr>
            <w:tcW w:w="2920"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Что должно быть для биометрии (по 1.3)</w:t>
            </w:r>
          </w:p>
        </w:tc>
        <w:tc>
          <w:tcPr>
            <w:tcW w:w="2920"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Реализация у Face2</w:t>
            </w:r>
          </w:p>
        </w:tc>
        <w:tc>
          <w:tcPr>
            <w:tcW w:w="2920"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Оценка / пробел</w:t>
            </w:r>
          </w:p>
        </w:tc>
      </w:tr>
      <w:tr>
        <w:trPr>
          <w:cantSplit/>
        </w:trPr>
        <w:tc>
          <w:tcPr>
            <w:tcW w:w="87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Product</w:t>
            </w:r>
          </w:p>
        </w:tc>
        <w:tc>
          <w:tcPr>
            <w:tcW w:w="292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Продуктовая вертикаль под банковский сценарий</w:t>
            </w:r>
          </w:p>
        </w:tc>
        <w:tc>
          <w:tcPr>
            <w:tcW w:w="292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Face2Pay, Face2Pass + Face2Pass.Terminal, Face2Check-in, КБС под ключ; видеоаналитика (драки, упавшие люди, оружие, автономера, подсчёт людей)</w:t>
            </w:r>
          </w:p>
        </w:tc>
        <w:tc>
          <w:tcPr>
            <w:tcW w:w="292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сильно; пробел — нет публичного решения по детекции дипфейков, тогда как у конкурентов антифрод вынесен в коммуникацию [38; 40; 41]</w:t>
            </w:r>
          </w:p>
        </w:tc>
      </w:tr>
      <w:tr>
        <w:trPr>
          <w:cantSplit/>
        </w:trPr>
        <w:tc>
          <w:tcPr>
            <w:tcW w:w="87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Price</w:t>
            </w:r>
          </w:p>
        </w:tc>
        <w:tc>
          <w:tcPr>
            <w:tcW w:w="292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Прозрачные коммерческие условия для B2B</w:t>
            </w:r>
          </w:p>
        </w:tc>
        <w:tc>
          <w:tcPr>
            <w:tcW w:w="292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Цена не раскрывается; ROI-калькулятор отсутствует</w:t>
            </w:r>
          </w:p>
        </w:tc>
        <w:tc>
          <w:tcPr>
            <w:tcW w:w="292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слабо — каждое B2B-обращение начинается с нуля</w:t>
            </w:r>
          </w:p>
        </w:tc>
      </w:tr>
      <w:tr>
        <w:trPr>
          <w:cantSplit/>
        </w:trPr>
        <w:tc>
          <w:tcPr>
            <w:tcW w:w="87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Place</w:t>
            </w:r>
          </w:p>
        </w:tc>
        <w:tc>
          <w:tcPr>
            <w:tcW w:w="292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География + интеграция в инфраструктуру заказчика</w:t>
            </w:r>
          </w:p>
        </w:tc>
        <w:tc>
          <w:tcPr>
            <w:tcW w:w="292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Татарстан + федеральные пилоты</w:t>
            </w:r>
          </w:p>
        </w:tc>
        <w:tc>
          <w:tcPr>
            <w:tcW w:w="292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средне — публичной витрины кейсов вне РТ нет</w:t>
            </w:r>
          </w:p>
        </w:tc>
      </w:tr>
      <w:tr>
        <w:trPr>
          <w:cantSplit/>
        </w:trPr>
        <w:tc>
          <w:tcPr>
            <w:tcW w:w="87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Promotion</w:t>
            </w:r>
          </w:p>
        </w:tc>
        <w:tc>
          <w:tcPr>
            <w:tcW w:w="292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Образовательный контент, экспертные публикации, демонстрации</w:t>
            </w:r>
          </w:p>
        </w:tc>
        <w:tc>
          <w:tcPr>
            <w:tcW w:w="292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Пилоты, отдельные релизы, демозоны в офисах</w:t>
            </w:r>
          </w:p>
        </w:tc>
        <w:tc>
          <w:tcPr>
            <w:tcW w:w="292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средне — нет регулярного контент-конвейера и редпрограммы</w:t>
            </w:r>
          </w:p>
        </w:tc>
      </w:tr>
      <w:tr>
        <w:trPr>
          <w:cantSplit/>
        </w:trPr>
        <w:tc>
          <w:tcPr>
            <w:tcW w:w="87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People</w:t>
            </w:r>
          </w:p>
        </w:tc>
        <w:tc>
          <w:tcPr>
            <w:tcW w:w="292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Публичные эксперты</w:t>
            </w:r>
          </w:p>
        </w:tc>
        <w:tc>
          <w:tcPr>
            <w:tcW w:w="292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Один публичный контакт продаж (Салахов А. А.) [27]; в TAdviser 2018 г. — Д. Галиев, рук. проектного офиса инновационного развития АББ [39]</w:t>
            </w:r>
          </w:p>
        </w:tc>
        <w:tc>
          <w:tcPr>
            <w:tcW w:w="292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слабо — нет линейки спикеров (CISO, юрист по 572-ФЗ, продакт, разработка)</w:t>
            </w:r>
          </w:p>
        </w:tc>
      </w:tr>
      <w:tr>
        <w:trPr>
          <w:cantSplit/>
        </w:trPr>
        <w:tc>
          <w:tcPr>
            <w:tcW w:w="87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Process</w:t>
            </w:r>
          </w:p>
        </w:tc>
        <w:tc>
          <w:tcPr>
            <w:tcW w:w="292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Простой пользовательский путь</w:t>
            </w:r>
          </w:p>
        </w:tc>
        <w:tc>
          <w:tcPr>
            <w:tcW w:w="292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Четыре шага: «Госуслуги Биометрия» → сдача упрощённой биометрии → согласие на использование вектора КБС АББ → проход / оплата</w:t>
            </w:r>
          </w:p>
        </w:tc>
        <w:tc>
          <w:tcPr>
            <w:tcW w:w="292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сильно содержательно, но узко по охвату — путь подробен в корпматериалах, не упакован для массового читателя</w:t>
            </w:r>
          </w:p>
        </w:tc>
      </w:tr>
      <w:tr>
        <w:trPr>
          <w:cantSplit/>
        </w:trPr>
        <w:tc>
          <w:tcPr>
            <w:tcW w:w="87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Physical evidence</w:t>
            </w:r>
          </w:p>
        </w:tc>
        <w:tc>
          <w:tcPr>
            <w:tcW w:w="292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Сертификаты, рейтинги, кейсы, независимая верификация</w:t>
            </w:r>
          </w:p>
        </w:tc>
        <w:tc>
          <w:tcPr>
            <w:tcW w:w="292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КБС, аккредитация Минцифры (Решение № 4-А от 15.11.2023), ФСБ, ФСТЭК, реестр отечественного ПО, статус оператора по № 115-ФЗ (№ 101 в перечне Банка России), стаж в ЕБС с 10.07.2018, рейтинги «A», ESG-A</w:t>
            </w:r>
          </w:p>
        </w:tc>
        <w:tc>
          <w:tcPr>
            <w:tcW w:w="292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сильно по формальным признакам; пробел — публично не зафиксирована независимая международная верификация точности (NIST FRTE, iBeta, CVPR), которой пользуется VisionLabs [40]</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по данным [27; 26, с. 4, 28–33; 38; 35; 40; 41; 39]</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Сопоставление в таблице 2.3.3 показывает, что Physical evidence — самый сильный элемент комплекса маркетинга Face2 по всем формальным признакам: полный набор регуляторных статусов (КБС, ФСБ, ФСТЭК, реестр отечественного ПО, оператор биометрии под № 101 в перечне Банка России [35], шестилетний стаж в ЕБС с 10 июля 2018 года [39]) выводит Face2 в группу из менее чем двухсот банков страны, имеющих все необходимые формальные статусы для работы с биометрией физических лиц. Однако этот регуляторный капитал транслируется языком, понятным специалистам по информационной безопасности и юристам, а не массовой аудитории, и поэтому не конвертируется в массовое сообщение «доверие» — это </w:t>
      </w:r>
      <w:r>
        <w:rPr>
          <w:rFonts w:ascii="Times New Roman" w:hAnsi="Times New Roman" w:cs="Times New Roman" w:eastAsia="Times New Roman"/>
          <w:b/>
          <w:bCs/>
          <w:color w:val="000000"/>
          <w:sz w:val="28"/>
          <w:szCs w:val="28"/>
          <w:lang w:val="ru-RU"/>
        </w:rPr>
        <w:t xml:space="preserve">контентный пробел</w:t>
      </w:r>
      <w:r>
        <w:rPr>
          <w:rFonts w:ascii="Times New Roman" w:hAnsi="Times New Roman" w:cs="Times New Roman" w:eastAsia="Times New Roman"/>
          <w:color w:val="000000"/>
          <w:sz w:val="28"/>
          <w:szCs w:val="28"/>
          <w:lang w:val="ru-RU"/>
        </w:rPr>
        <w:t xml:space="preserve">, второй после сегментного.</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Остальные элементы 7P формируют ещё три пробела. </w:t>
      </w:r>
      <w:r>
        <w:rPr>
          <w:rFonts w:ascii="Times New Roman" w:hAnsi="Times New Roman" w:cs="Times New Roman" w:eastAsia="Times New Roman"/>
          <w:b/>
          <w:bCs/>
          <w:color w:val="000000"/>
          <w:sz w:val="28"/>
          <w:szCs w:val="28"/>
          <w:lang w:val="ru-RU"/>
        </w:rPr>
        <w:t xml:space="preserve">People</w:t>
      </w:r>
      <w:r>
        <w:rPr>
          <w:rFonts w:ascii="Times New Roman" w:hAnsi="Times New Roman" w:cs="Times New Roman" w:eastAsia="Times New Roman"/>
          <w:color w:val="000000"/>
          <w:sz w:val="28"/>
          <w:szCs w:val="28"/>
          <w:lang w:val="ru-RU"/>
        </w:rPr>
        <w:t xml:space="preserve">: один публичный контакт продаж [27] вместо линейки экспертных спикеров (CISO, юрист по 572-ФЗ, продакт-менеджер, разработка), которая у VisionLabs работает через корпоративный блог на Habr и публичные выступления топ-менеджмента [40]. </w:t>
      </w:r>
      <w:r>
        <w:rPr>
          <w:rFonts w:ascii="Times New Roman" w:hAnsi="Times New Roman" w:cs="Times New Roman" w:eastAsia="Times New Roman"/>
          <w:b/>
          <w:bCs/>
          <w:color w:val="000000"/>
          <w:sz w:val="28"/>
          <w:szCs w:val="28"/>
          <w:lang w:val="ru-RU"/>
        </w:rPr>
        <w:t xml:space="preserve">Process</w:t>
      </w:r>
      <w:r>
        <w:rPr>
          <w:rFonts w:ascii="Times New Roman" w:hAnsi="Times New Roman" w:cs="Times New Roman" w:eastAsia="Times New Roman"/>
          <w:color w:val="000000"/>
          <w:sz w:val="28"/>
          <w:szCs w:val="28"/>
          <w:lang w:val="ru-RU"/>
        </w:rPr>
        <w:t xml:space="preserve">: четырёхшаговый пользовательский путь подключения проработан содержательно, но описан в корпоративных материалах [27] и не упакован в массовое объяснение для внешнего читателя; B2B-заказчик получает требования к инфраструктуре, но не наглядный бизнес-кейс с расчётом окупаемости. </w:t>
      </w:r>
      <w:r>
        <w:rPr>
          <w:rFonts w:ascii="Times New Roman" w:hAnsi="Times New Roman" w:cs="Times New Roman" w:eastAsia="Times New Roman"/>
          <w:b/>
          <w:bCs/>
          <w:color w:val="000000"/>
          <w:sz w:val="28"/>
          <w:szCs w:val="28"/>
          <w:lang w:val="ru-RU"/>
        </w:rPr>
        <w:t xml:space="preserve">Доказательный пробел</w:t>
      </w:r>
      <w:r>
        <w:rPr>
          <w:rFonts w:ascii="Times New Roman" w:hAnsi="Times New Roman" w:cs="Times New Roman" w:eastAsia="Times New Roman"/>
          <w:color w:val="000000"/>
          <w:sz w:val="28"/>
          <w:szCs w:val="28"/>
          <w:lang w:val="ru-RU"/>
        </w:rPr>
        <w:t xml:space="preserve"> в Product: в открытой линейке Face2 нет отдельного решения по детекции дипфейков, тогда как у VisionLabs существует продукт Deepfake Detection, у OVISION антиспуфинг и детекция дипфейков встроены в СКУД-комплекты, у Сбера действует многоконтурная защита liveness + AI-фрод + ПИН [38; 40; 41]; к этому добавляется публично не зафиксированная независимая международная верификация точности (NIST FRTE, iBeta, CVPR), отдельно отмеченная в параграфе 2.2. Promotion реализуется через точечные релизы без регулярного контент-конвейера, Price публично не раскрывается совсем.</w:t>
      </w:r>
    </w:p>
    <w:p>
      <w:pPr>
        <w:keepNext/>
        <w:keepLines/>
        <w:spacing w:before="200" w:after="120" w:line="36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8"/>
          <w:szCs w:val="28"/>
          <w:lang w:val="ru-RU"/>
        </w:rPr>
        <w:t xml:space="preserve">Маркетинговая воронка Face2</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Эталонная воронка биометрии в банковском секторе, выведенная в параграфе 1.3, имеет специфическую форму: между этапами «Интерес» и «Пробное использование» встроен длинный этап «Доверие», и именно на нём концентрируется основная часть коммуникационных усилий до этапа массового принятия. Сопоставление эталонной воронки с фактической раскладкой активностей Face2 показывает асимметрию противоположного характера, чем у эталонной модели. У эталонной воронки этап «Доверие» расширен по сравнению с традиционным товаром, но расширен равномерно — чтобы перевести в пробное использование как можно большую долю аудитории, проявившей интерес. У Face2 этап «Доверие» содержательно сильный, но узкий: его пропускная способность ограничена тем, что доказательная база подаётся языком, понятным специалистам, и не достигает массового пользователя. Этап «Пробное использование» сильный для B2B и для жителей Татарстана (внутренняя инсталляция, демозоны, региональные пилоты), но фактически нулевой для всех остальных регионов — получить пользовательский опыт Face2 за пределами РТ практически негде. Этапы «Осведомлённость» и «Лояльность» работают слабо: первый — из-за фрагментарности pull-каналов, второй — из-за отсутствия системной программы работы с референс-клиентами, NPS и кейс-стади. Графически распределение активностей Face2 по этапам воронки в сопоставлении с эталонной формой представлено на рисунке 2.3.1.</w:t>
      </w:r>
    </w:p>
    <w:p>
      <w:pPr>
        <w:keepLines/>
        <w:spacing w:before="0" w:after="0" w:line="240" w:lineRule="auto"/>
        <w:jc w:val="left"/>
        <w:rPr>
          <w:rFonts w:ascii="Times New Roman" w:hAnsi="Times New Roman" w:cs="Times New Roman" w:eastAsia="Times New Roman"/>
          <w:sz w:val="28"/>
          <w:szCs w:val="28"/>
          <w:lang w:val="ru-RU"/>
        </w:rPr>
      </w:pPr>
      <w:r>
        <w:rPr>
          <w:rFonts w:ascii="Courier New" w:hAnsi="Courier New" w:cs="Courier New" w:eastAsia="Courier New"/>
          <w:color w:val="000000"/>
          <w:sz w:val="18"/>
          <w:szCs w:val="18"/>
          <w:lang w:val="ru-RU"/>
        </w:rPr>
        <w:t xml:space="preserve">       Этап воронки                Эталонная воронка биометрии (1.3)        Воронка Face2 (факт)</w:t>
      </w:r>
    </w:p>
    <w:p>
      <w:pPr>
        <w:spacing w:before="0" w:after="0" w:line="240" w:lineRule="auto"/>
        <w:jc w:val="both"/>
        <w:rPr>
          <w:rFonts w:ascii="Times New Roman" w:hAnsi="Times New Roman" w:cs="Times New Roman" w:eastAsia="Times New Roman"/>
          <w:sz w:val="28"/>
          <w:szCs w:val="28"/>
          <w:lang w:val="ru-RU"/>
        </w:rPr>
      </w:pPr>
    </w:p>
    <w:p>
      <w:pPr>
        <w:keepLines/>
        <w:spacing w:before="0" w:after="0" w:line="240" w:lineRule="auto"/>
        <w:jc w:val="left"/>
        <w:rPr>
          <w:rFonts w:ascii="Times New Roman" w:hAnsi="Times New Roman" w:cs="Times New Roman" w:eastAsia="Times New Roman"/>
          <w:sz w:val="28"/>
          <w:szCs w:val="28"/>
          <w:lang w:val="ru-RU"/>
        </w:rPr>
      </w:pPr>
      <w:r>
        <w:rPr>
          <w:rFonts w:ascii="Courier New" w:hAnsi="Courier New" w:cs="Courier New" w:eastAsia="Courier New"/>
          <w:color w:val="000000"/>
          <w:sz w:val="18"/>
          <w:szCs w:val="18"/>
          <w:lang w:val="ru-RU"/>
        </w:rPr>
        <w:t xml:space="preserve">       Осведомлённость             ████████████████                          ████</w:t>
      </w:r>
    </w:p>
    <w:p>
      <w:pPr>
        <w:keepLines/>
        <w:spacing w:before="0" w:after="0" w:line="240" w:lineRule="auto"/>
        <w:jc w:val="left"/>
        <w:rPr>
          <w:rFonts w:ascii="Times New Roman" w:hAnsi="Times New Roman" w:cs="Times New Roman" w:eastAsia="Times New Roman"/>
          <w:sz w:val="28"/>
          <w:szCs w:val="28"/>
          <w:lang w:val="ru-RU"/>
        </w:rPr>
      </w:pPr>
      <w:r>
        <w:rPr>
          <w:rFonts w:ascii="Courier New" w:hAnsi="Courier New" w:cs="Courier New" w:eastAsia="Courier New"/>
          <w:color w:val="000000"/>
          <w:sz w:val="18"/>
          <w:szCs w:val="18"/>
          <w:lang w:val="ru-RU"/>
        </w:rPr>
        <w:t xml:space="preserve">       Интерес                     ██████████████                            ███</w:t>
      </w:r>
    </w:p>
    <w:p>
      <w:pPr>
        <w:keepLines/>
        <w:spacing w:before="0" w:after="0" w:line="240" w:lineRule="auto"/>
        <w:jc w:val="left"/>
        <w:rPr>
          <w:rFonts w:ascii="Times New Roman" w:hAnsi="Times New Roman" w:cs="Times New Roman" w:eastAsia="Times New Roman"/>
          <w:sz w:val="28"/>
          <w:szCs w:val="28"/>
          <w:lang w:val="ru-RU"/>
        </w:rPr>
      </w:pPr>
      <w:r>
        <w:rPr>
          <w:rFonts w:ascii="Courier New" w:hAnsi="Courier New" w:cs="Courier New" w:eastAsia="Courier New"/>
          <w:color w:val="000000"/>
          <w:sz w:val="18"/>
          <w:szCs w:val="18"/>
          <w:lang w:val="ru-RU"/>
        </w:rPr>
        <w:t xml:space="preserve">       Доверие (ядро)              ████████████████████████                  ████████████████████████ (содержательно)</w:t>
      </w:r>
    </w:p>
    <w:p>
      <w:pPr>
        <w:keepLines/>
        <w:spacing w:before="0" w:after="0" w:line="240" w:lineRule="auto"/>
        <w:jc w:val="left"/>
        <w:rPr>
          <w:rFonts w:ascii="Times New Roman" w:hAnsi="Times New Roman" w:cs="Times New Roman" w:eastAsia="Times New Roman"/>
          <w:sz w:val="28"/>
          <w:szCs w:val="28"/>
          <w:lang w:val="ru-RU"/>
        </w:rPr>
      </w:pPr>
      <w:r>
        <w:rPr>
          <w:rFonts w:ascii="Courier New" w:hAnsi="Courier New" w:cs="Courier New" w:eastAsia="Courier New"/>
          <w:color w:val="000000"/>
          <w:sz w:val="18"/>
          <w:szCs w:val="18"/>
          <w:lang w:val="ru-RU"/>
        </w:rPr>
        <w:t xml:space="preserve">                                                                             ██████ (массовый охват)</w:t>
      </w:r>
    </w:p>
    <w:p>
      <w:pPr>
        <w:keepLines/>
        <w:spacing w:before="0" w:after="0" w:line="240" w:lineRule="auto"/>
        <w:jc w:val="left"/>
        <w:rPr>
          <w:rFonts w:ascii="Times New Roman" w:hAnsi="Times New Roman" w:cs="Times New Roman" w:eastAsia="Times New Roman"/>
          <w:sz w:val="28"/>
          <w:szCs w:val="28"/>
          <w:lang w:val="ru-RU"/>
        </w:rPr>
      </w:pPr>
      <w:r>
        <w:rPr>
          <w:rFonts w:ascii="Courier New" w:hAnsi="Courier New" w:cs="Courier New" w:eastAsia="Courier New"/>
          <w:color w:val="000000"/>
          <w:sz w:val="18"/>
          <w:szCs w:val="18"/>
          <w:lang w:val="ru-RU"/>
        </w:rPr>
        <w:t xml:space="preserve">       Пробное использование       ████████████████                          ████████████████ (РТ + B2B)</w:t>
      </w:r>
    </w:p>
    <w:p>
      <w:pPr>
        <w:keepLines/>
        <w:spacing w:before="0" w:after="0" w:line="240" w:lineRule="auto"/>
        <w:jc w:val="left"/>
        <w:rPr>
          <w:rFonts w:ascii="Times New Roman" w:hAnsi="Times New Roman" w:cs="Times New Roman" w:eastAsia="Times New Roman"/>
          <w:sz w:val="28"/>
          <w:szCs w:val="28"/>
          <w:lang w:val="ru-RU"/>
        </w:rPr>
      </w:pPr>
      <w:r>
        <w:rPr>
          <w:rFonts w:ascii="Courier New" w:hAnsi="Courier New" w:cs="Courier New" w:eastAsia="Courier New"/>
          <w:color w:val="000000"/>
          <w:sz w:val="18"/>
          <w:szCs w:val="18"/>
          <w:lang w:val="ru-RU"/>
        </w:rPr>
        <w:t xml:space="preserve">                                                                             ▌ (вне РТ)</w:t>
      </w:r>
    </w:p>
    <w:p>
      <w:pPr>
        <w:keepLines/>
        <w:spacing w:before="0" w:after="0" w:line="240" w:lineRule="auto"/>
        <w:jc w:val="left"/>
        <w:rPr>
          <w:rFonts w:ascii="Times New Roman" w:hAnsi="Times New Roman" w:cs="Times New Roman" w:eastAsia="Times New Roman"/>
          <w:sz w:val="28"/>
          <w:szCs w:val="28"/>
          <w:lang w:val="ru-RU"/>
        </w:rPr>
      </w:pPr>
      <w:r>
        <w:rPr>
          <w:rFonts w:ascii="Courier New" w:hAnsi="Courier New" w:cs="Courier New" w:eastAsia="Courier New"/>
          <w:color w:val="000000"/>
          <w:sz w:val="18"/>
          <w:szCs w:val="18"/>
          <w:lang w:val="ru-RU"/>
        </w:rPr>
        <w:t xml:space="preserve">       Принятие                    ██████████████                            ████████</w:t>
      </w:r>
    </w:p>
    <w:p>
      <w:pPr>
        <w:keepLines/>
        <w:spacing w:before="0" w:after="0" w:line="240" w:lineRule="auto"/>
        <w:jc w:val="left"/>
        <w:rPr>
          <w:rFonts w:ascii="Times New Roman" w:hAnsi="Times New Roman" w:cs="Times New Roman" w:eastAsia="Times New Roman"/>
          <w:sz w:val="28"/>
          <w:szCs w:val="28"/>
          <w:lang w:val="ru-RU"/>
        </w:rPr>
      </w:pPr>
      <w:r>
        <w:rPr>
          <w:rFonts w:ascii="Courier New" w:hAnsi="Courier New" w:cs="Courier New" w:eastAsia="Courier New"/>
          <w:color w:val="000000"/>
          <w:sz w:val="18"/>
          <w:szCs w:val="18"/>
          <w:lang w:val="ru-RU"/>
        </w:rPr>
        <w:t xml:space="preserve">       Лояльность                  ██████████                                ██</w:t>
      </w:r>
    </w:p>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по данным [27; 26, с. 28–33; 35; 39]</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Рис. 2.3.1. Воронка продвижения Face2 в сопоставлении с эталонной воронкой биометрического продукта в банковском секторе</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Содержательно фигура на рисунке 2.3.1 показывает, что у Face2 архитектурно перегружен центральный этап «Доверие» по содержательной составляющей и недогружены полюса (Осведомлённость, Лояльность) и массовый охват самого ядра. Это совпадает со структурой коммерческого присутствия из параграфа 2.2: банк глубоко работает в немногих сегментах и в одном регионе вместо широкого покрытия рынка.</w:t>
      </w:r>
    </w:p>
    <w:p>
      <w:pPr>
        <w:keepNext/>
        <w:keepLines/>
        <w:spacing w:before="200" w:after="120" w:line="36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8"/>
          <w:szCs w:val="28"/>
          <w:lang w:val="ru-RU"/>
        </w:rPr>
        <w:t xml:space="preserve">SWOT-анализ продвижения Face2</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Сводная характеристика продвижения Face2 в формате SWOT дана в таблице 2.3.5. SWOT строится строго в маркетинговой плоскости — общая характеристика продукта и банка собрана в параграфе 2.1, рыночный контекст и конкурентные позиции — в параграфе 2.2, и здесь они не повторяются. Зона интереса — только то, что относится к коммуникационному контуру и его инструментам.</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2.3.5</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SWOT-анализ продвижения Face2</w:t>
      </w:r>
    </w:p>
    <w:tbl>
      <w:tblPr>
        <w:tblW w:w="9638"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4819"/>
        <w:gridCol w:w="4819"/>
      </w:tblGrid>
      <w:tr>
        <w:trPr>
          <w:tblHeader/>
          <w:cantSplit/>
        </w:trPr>
        <w:tc>
          <w:tcPr>
            <w:tcW w:w="4819"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S — сильные стороны продвижения</w:t>
            </w:r>
          </w:p>
        </w:tc>
        <w:tc>
          <w:tcPr>
            <w:tcW w:w="4819"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W — слабые стороны продвижения</w:t>
            </w:r>
          </w:p>
        </w:tc>
      </w:tr>
      <w:tr>
        <w:trPr>
          <w:cantSplit/>
        </w:trPr>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Полный пул Physical evidence: КБС, ФСБ, ФСТЭК, реестр ПО, № 115-ФЗ (№ 101) [27; 35]</w:t>
            </w:r>
          </w:p>
        </w:tc>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Локальный охват СМИ — концентрация в Татарстане</w:t>
            </w:r>
          </w:p>
        </w:tc>
      </w:tr>
      <w:tr>
        <w:trPr>
          <w:cantSplit/>
        </w:trPr>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Партнёрства федерального уровня в одном проекте: Минцифры, Минтранс, ЦБТ, НСПК [26, с. 30–31]</w:t>
            </w:r>
          </w:p>
        </w:tc>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Нет отдельного бренда Face2 в соцсетях [26, с. 33]</w:t>
            </w:r>
          </w:p>
        </w:tc>
      </w:tr>
      <w:tr>
        <w:trPr>
          <w:cantSplit/>
        </w:trPr>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Внутренняя демозона: 5 000+ сотрудников × 200 биотерминалов [27]</w:t>
            </w:r>
          </w:p>
        </w:tc>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Нет регулярного контент-конвейера и редпрограммы</w:t>
            </w:r>
          </w:p>
        </w:tc>
      </w:tr>
      <w:tr>
        <w:trPr>
          <w:cantSplit/>
        </w:trPr>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Карта жителя РТ как канал через социальную инфраструктуру (450 тыс. карт, биометрия в приложении) [26, с. 28–29]</w:t>
            </w:r>
          </w:p>
        </w:tc>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Независимая верификация точности (NIST FRTE, iBeta, CVPR) публично не зафиксирована</w:t>
            </w:r>
          </w:p>
        </w:tc>
      </w:tr>
      <w:tr>
        <w:trPr>
          <w:cantSplit/>
        </w:trPr>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Стаж в ЕБС с 10.07.2018 — готовый сторителлинг [39]</w:t>
            </w:r>
          </w:p>
        </w:tc>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Публичные тарифы, ROI-калькулятор, конверсионная механика на сайте отсутствуют</w:t>
            </w:r>
          </w:p>
        </w:tc>
      </w:tr>
      <w:tr>
        <w:trPr>
          <w:cantSplit/>
        </w:trPr>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Рейтинги «A» и ESG-A банка как Physical evidence второго уровня [26, с. 4]</w:t>
            </w:r>
          </w:p>
        </w:tc>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Минимальная публичная экспертная команда (один контакт продаж) [27]</w:t>
            </w:r>
          </w:p>
        </w:tc>
      </w:tr>
      <w:tr>
        <w:trPr>
          <w:cantSplit/>
        </w:trPr>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Необновлённая исходная маркетинговая гипотеза 2018 г. об органическом спросе [39]</w:t>
            </w:r>
          </w:p>
        </w:tc>
      </w:tr>
      <w:tr>
        <w:trPr>
          <w:cantSplit/>
        </w:trPr>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4"/>
                <w:szCs w:val="24"/>
                <w:lang w:val="ru-RU"/>
              </w:rPr>
              <w:t xml:space="preserve">O — возможности рынка</w:t>
            </w:r>
          </w:p>
        </w:tc>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4"/>
                <w:szCs w:val="24"/>
                <w:lang w:val="ru-RU"/>
              </w:rPr>
              <w:t xml:space="preserve">T — угрозы продвижения</w:t>
            </w:r>
          </w:p>
        </w:tc>
      </w:tr>
      <w:tr>
        <w:trPr>
          <w:cantSplit/>
        </w:trPr>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Девятикратный рост числа биометрических платежей (9 мес. 2025 / 9 мес. 2024) [32]</w:t>
            </w:r>
          </w:p>
        </w:tc>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Доминирование Сбера в B2C-биоэквайринге: 700 тыс. терминалов, 30 млн зарегистрированных, 116 млрд руб. за 2025 г. [38]</w:t>
            </w:r>
          </w:p>
        </w:tc>
      </w:tr>
      <w:tr>
        <w:trPr>
          <w:cantSplit/>
        </w:trPr>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420-ФЗ и 421-ФЗ — растёт ценность аккредитованных операторов [27]</w:t>
            </w:r>
          </w:p>
        </w:tc>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Отрыв VisionLabs по NIST FRTE и работа в 38 странах [40]</w:t>
            </w:r>
          </w:p>
        </w:tc>
      </w:tr>
      <w:tr>
        <w:trPr>
          <w:cantSplit/>
        </w:trPr>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10+ млн пользователей в ЕБС к началу 2026 г. — клиентская база без повторной сдачи [32]</w:t>
            </w:r>
          </w:p>
        </w:tc>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OVISION — полный цикл СКУД с собственным аппаратом и федеральными референсами (РЖД, Мосэнергосбыт, Тульская обл.) [41]</w:t>
            </w:r>
          </w:p>
        </w:tc>
      </w:tr>
      <w:tr>
        <w:trPr>
          <w:cantSplit/>
        </w:trPr>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Фаза массовой коммерциализации: средний чек ≈ 770 руб., рост по числу транзакций [32]</w:t>
            </w:r>
          </w:p>
        </w:tc>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Репутационный риск утечек у любого аккредитованного оператора — удар по доверию ко всему классу</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по данным [27; 26, с. 4, 28–33; 38; 35; 40; 32; 41; 39]</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Структурный вывод SWOT: сильные стороны продвижения Face2 сосредоточены в push-контуре, слабые — в pull-контуре, при этом возможности рынка (рост биометрических платежей, ужесточение 420-ФЗ и 421-ФЗ, накопление 10+ млн пользователей ЕБС [27; 32]) работают в пользу банка, а угрозы распределены по трём осям — масштабу (Сбер [38]), технологической верификации (VisionLabs [40]) и полному циклу СКУД (OVISION [41]). Продвижение находится в диспозиции, при которой слабые стороны сосредоточены в той части маркетингового инструментария, где у банка уже есть необходимые ресурсы (банковская экосистема, рейтинги, региональные данные). Это вопрос конфигурации, а не дополнительных вложений — основа для управленческой повестки главы 3.</w:t>
      </w:r>
    </w:p>
    <w:p>
      <w:pPr>
        <w:keepNext/>
        <w:keepLines/>
        <w:spacing w:before="200" w:after="120" w:line="36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8"/>
          <w:szCs w:val="28"/>
          <w:lang w:val="ru-RU"/>
        </w:rPr>
        <w:t xml:space="preserve">Сводный перечень пробелов продвижения и переход к главе 3</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Восемь пробелов продвижения, последовательно зафиксированных в предыдущих подразделах настоящего параграфа, агрегированы в таблицу 2.3.6. Эта таблица одновременно завершает анализ текущего состояния и формирует управленческую повестку для главы 3 — каждый пробел переходит в задачу разработки стратегии продвижения.</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2.3.6</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Сводный перечень пробелов продвижения Face2 как управленческая повестка для главы 3</w:t>
      </w:r>
    </w:p>
    <w:tbl>
      <w:tblPr>
        <w:tblW w:w="9634"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643"/>
        <w:gridCol w:w="1748"/>
        <w:gridCol w:w="3747"/>
        <w:gridCol w:w="1748"/>
        <w:gridCol w:w="1748"/>
      </w:tblGrid>
      <w:tr>
        <w:trPr>
          <w:tblHeader/>
          <w:cantSplit/>
        </w:trPr>
        <w:tc>
          <w:tcPr>
            <w:tcW w:w="643"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w:t>
            </w:r>
          </w:p>
        </w:tc>
        <w:tc>
          <w:tcPr>
            <w:tcW w:w="1748"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Пробел</w:t>
            </w:r>
          </w:p>
        </w:tc>
        <w:tc>
          <w:tcPr>
            <w:tcW w:w="3747"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Содержание</w:t>
            </w:r>
          </w:p>
        </w:tc>
        <w:tc>
          <w:tcPr>
            <w:tcW w:w="1748"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Группа пробелов</w:t>
            </w:r>
          </w:p>
        </w:tc>
        <w:tc>
          <w:tcPr>
            <w:tcW w:w="1748"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Где зафиксирован</w:t>
            </w:r>
          </w:p>
        </w:tc>
      </w:tr>
      <w:tr>
        <w:trPr>
          <w:cantSplit/>
        </w:trPr>
        <w:tc>
          <w:tcPr>
            <w:tcW w:w="64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w:t>
            </w:r>
          </w:p>
        </w:tc>
        <w:tc>
          <w:tcPr>
            <w:tcW w:w="174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Канальный</w:t>
            </w:r>
          </w:p>
        </w:tc>
        <w:tc>
          <w:tcPr>
            <w:tcW w:w="374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Push-каналы (B2B/B2G, партнёрства, пилоты) сильны; pull-каналы (массовые СМИ вне РТ, отдельный бренд в соцсетях) фрагментарны</w:t>
            </w:r>
          </w:p>
        </w:tc>
        <w:tc>
          <w:tcPr>
            <w:tcW w:w="174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Охват</w:t>
            </w:r>
          </w:p>
        </w:tc>
        <w:tc>
          <w:tcPr>
            <w:tcW w:w="174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Инвентаризация каналов</w:t>
            </w:r>
          </w:p>
        </w:tc>
      </w:tr>
      <w:tr>
        <w:trPr>
          <w:cantSplit/>
        </w:trPr>
        <w:tc>
          <w:tcPr>
            <w:tcW w:w="64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w:t>
            </w:r>
          </w:p>
        </w:tc>
        <w:tc>
          <w:tcPr>
            <w:tcW w:w="174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Контентный</w:t>
            </w:r>
          </w:p>
        </w:tc>
        <w:tc>
          <w:tcPr>
            <w:tcW w:w="374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Регуляторный капитал (КБС, аккредитации, № 115-ФЗ, стаж с 2018 г.) не переведён в массовое сообщение «доверие»</w:t>
            </w:r>
          </w:p>
        </w:tc>
        <w:tc>
          <w:tcPr>
            <w:tcW w:w="174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Аргументация</w:t>
            </w:r>
          </w:p>
        </w:tc>
        <w:tc>
          <w:tcPr>
            <w:tcW w:w="174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7P</w:t>
            </w:r>
          </w:p>
        </w:tc>
      </w:tr>
      <w:tr>
        <w:trPr>
          <w:cantSplit/>
        </w:trPr>
        <w:tc>
          <w:tcPr>
            <w:tcW w:w="64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3</w:t>
            </w:r>
          </w:p>
        </w:tc>
        <w:tc>
          <w:tcPr>
            <w:tcW w:w="174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Сегментный</w:t>
            </w:r>
          </w:p>
        </w:tc>
        <w:tc>
          <w:tcPr>
            <w:tcW w:w="374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«Гостеприимство» и «возрастная верификация в ритейле» заявлены продуктово, публичных кейсов нет</w:t>
            </w:r>
          </w:p>
        </w:tc>
        <w:tc>
          <w:tcPr>
            <w:tcW w:w="174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Охват</w:t>
            </w:r>
          </w:p>
        </w:tc>
        <w:tc>
          <w:tcPr>
            <w:tcW w:w="174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Сегментация</w:t>
            </w:r>
          </w:p>
        </w:tc>
      </w:tr>
      <w:tr>
        <w:trPr>
          <w:cantSplit/>
        </w:trPr>
        <w:tc>
          <w:tcPr>
            <w:tcW w:w="64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4</w:t>
            </w:r>
          </w:p>
        </w:tc>
        <w:tc>
          <w:tcPr>
            <w:tcW w:w="174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Доказательный</w:t>
            </w:r>
          </w:p>
        </w:tc>
        <w:tc>
          <w:tcPr>
            <w:tcW w:w="374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Публично не зафиксирована независимая международная верификация точности (NIST FRTE, iBeta, CVPR)</w:t>
            </w:r>
          </w:p>
        </w:tc>
        <w:tc>
          <w:tcPr>
            <w:tcW w:w="174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Аргументация</w:t>
            </w:r>
          </w:p>
        </w:tc>
        <w:tc>
          <w:tcPr>
            <w:tcW w:w="174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7P</w:t>
            </w:r>
          </w:p>
        </w:tc>
      </w:tr>
      <w:tr>
        <w:trPr>
          <w:cantSplit/>
        </w:trPr>
        <w:tc>
          <w:tcPr>
            <w:tcW w:w="64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5</w:t>
            </w:r>
          </w:p>
        </w:tc>
        <w:tc>
          <w:tcPr>
            <w:tcW w:w="174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People</w:t>
            </w:r>
          </w:p>
        </w:tc>
        <w:tc>
          <w:tcPr>
            <w:tcW w:w="374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Нет публичной линейки спикеров (CISO, юрист по 572-ФЗ, продакт-менеджер); один публичный контакт продаж</w:t>
            </w:r>
          </w:p>
        </w:tc>
        <w:tc>
          <w:tcPr>
            <w:tcW w:w="174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Аргументация</w:t>
            </w:r>
          </w:p>
        </w:tc>
        <w:tc>
          <w:tcPr>
            <w:tcW w:w="174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7P</w:t>
            </w:r>
          </w:p>
        </w:tc>
      </w:tr>
      <w:tr>
        <w:trPr>
          <w:cantSplit/>
        </w:trPr>
        <w:tc>
          <w:tcPr>
            <w:tcW w:w="64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6</w:t>
            </w:r>
          </w:p>
        </w:tc>
        <w:tc>
          <w:tcPr>
            <w:tcW w:w="174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Конверсионный</w:t>
            </w:r>
          </w:p>
        </w:tc>
        <w:tc>
          <w:tcPr>
            <w:tcW w:w="374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На face2.ru нет CTA-механики (заявка на пилот, демо-доступ, ROI-калькулятор), автоматическая воронка не оформлена</w:t>
            </w:r>
          </w:p>
        </w:tc>
        <w:tc>
          <w:tcPr>
            <w:tcW w:w="174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Инфраструктура воронки</w:t>
            </w:r>
          </w:p>
        </w:tc>
        <w:tc>
          <w:tcPr>
            <w:tcW w:w="174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Инвентаризация каналов; 7P</w:t>
            </w:r>
          </w:p>
        </w:tc>
      </w:tr>
      <w:tr>
        <w:trPr>
          <w:cantSplit/>
        </w:trPr>
        <w:tc>
          <w:tcPr>
            <w:tcW w:w="64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7</w:t>
            </w:r>
          </w:p>
        </w:tc>
        <w:tc>
          <w:tcPr>
            <w:tcW w:w="174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Лояльностный / референсный</w:t>
            </w:r>
          </w:p>
        </w:tc>
        <w:tc>
          <w:tcPr>
            <w:tcW w:w="374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Нет системной работы с референс-клиентами: отзывы, кейсы, NPS, повторные продажи модулей</w:t>
            </w:r>
          </w:p>
        </w:tc>
        <w:tc>
          <w:tcPr>
            <w:tcW w:w="174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Инфраструктура воронки</w:t>
            </w:r>
          </w:p>
        </w:tc>
        <w:tc>
          <w:tcPr>
            <w:tcW w:w="174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Маркетинговая воронка</w:t>
            </w:r>
          </w:p>
        </w:tc>
      </w:tr>
      <w:tr>
        <w:trPr>
          <w:cantSplit/>
        </w:trPr>
        <w:tc>
          <w:tcPr>
            <w:tcW w:w="64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8</w:t>
            </w:r>
          </w:p>
        </w:tc>
        <w:tc>
          <w:tcPr>
            <w:tcW w:w="174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Географический</w:t>
            </w:r>
          </w:p>
        </w:tc>
        <w:tc>
          <w:tcPr>
            <w:tcW w:w="374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Коммерческое присутствие сконцентрировано в РТ; банковская экосистема (АБО — 930 тыс.) и Карта жителя РТ как ресурсы распространения вне РТ не задействованы</w:t>
            </w:r>
          </w:p>
        </w:tc>
        <w:tc>
          <w:tcPr>
            <w:tcW w:w="174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Охват</w:t>
            </w:r>
          </w:p>
        </w:tc>
        <w:tc>
          <w:tcPr>
            <w:tcW w:w="174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Сегментация</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по результатам предыдущих подразделов настоящего параграфа</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Восемь пробелов в таблице 2.3.6 не независимы — они группируются в три кластера: пробелы охвата (1, 3, 8 — канальный, сегментный, географический), пробелы аргументации (2, 4, 5 — контентный, доказательный, People) и пробелы инфраструктуры воронки (6, 7 — конверсионный, лояльностный). Управленческая повестка главы 3 распадается на эти три параллельных направления.</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Приоритеты повестки задаются связью с уже занятой конкурентной нишей: регуляторное преимущество, банковская экосистема и шестилетний стаж в ЕБС — ресурсы, которые в продвижении нужно не создавать, а активизировать. Стратегия Face2 не должна строиться ни как догоняющий марш к Сберу, ни как верификационное состязание с VisionLabs — обе траектории требуют ресурсов, которых у банка нет в нужных объёмах. Содержательная задача — конвертация уже накопленного институционального и инфраструктурного капитала в массовое сообщение и в массовый канал при сохранении сильной B2B-составляющей и без размывания регуляторного позиционирования. На этой рамке строится глава 3: 3.1 переводит повестку в цели и задачи стратегии и обновляет позиционирование, 3.2 разрабатывает комплекс маркетинговых мероприятий и дорожную карту, 3.3 проверяет стратегию через KPI, экономический эффект, оценку рисков и план внедрения.</w:t>
      </w:r>
    </w:p>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jc w:val="both"/>
        <w:rPr>
          <w:rFonts w:ascii="Times New Roman" w:hAnsi="Times New Roman" w:cs="Times New Roman" w:eastAsia="Times New Roman"/>
          <w:sz w:val="28"/>
          <w:szCs w:val="28"/>
          <w:lang w:val="ru-RU"/>
        </w:rPr>
      </w:pPr>
      <w:r>
        <w:br w:type="page"/>
      </w:r>
    </w:p>
    <w:p>
      <w:pPr>
        <w:keepNext/>
        <w:keepLines/>
        <w:spacing w:before="240" w:after="120" w:line="36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8"/>
          <w:szCs w:val="28"/>
          <w:lang w:val="ru-RU"/>
        </w:rPr>
        <w:t xml:space="preserve">ВЫВОД ПО ГЛАВЕ 2</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Глава 2 описала Ак Барс Банк как разработчика Face2 — крупный региональный банк с активами 1,16 трлн рублей, рейтингами «A» по национальной шкале и собственной биометрической вертикалью с аккредитацией Минцифры по правилам КБС, сертификацией ФСБ и ФСТЭК, внутренней инсталляцией на 5 000+ сотрудников и пилотами с Минцифры, Минтрансом и НСПК [31, с. 1–3; 27; 26, с. 30–31]. Российский рынок биометрии прошёл точку массовой коммерциализации — 145,9 млн платежей и 112,5 млрд рублей оборота за девять месяцев 2025 года, свыше 10 млн пользователей ЕБС — и работает в жёсткой регуляторной рамке 572-ФЗ, ограничивающей круг операторов аккредитованными игроками [1; 32; 34]. Балльная экспертная оценка под целевой сегмент B2B и B2G со сценариями работы с физическими лицами через ЕБС вывела Face2 на разделённую вторую позицию (4,10) после Сбера (4,25), а собственный конкурентный сегмент банка — пересечение банковской экосистемы, права работы с биометрией физических лиц через ЕБС и продуктовой линейки под платежи, проход и подтверждение возраста — у ключевых конкурентов отсутствует [27; 38; 35; 40; 41]. Анализ текущего продвижения через STP, 7P, маркетинговую воронку с этапом «Доверие» и карту каналов выявил структурную асимметрию: push-каналы развиты сильно, pull-каналы фрагментарны, что собирается в восемь связанных пробелов — канальный, контентный, сегментный, доказательный, People, конверсионный, лояльностный и географический [27; 26, с. 28–33; 35; 39]. Эта расстановка задаёт управленческую повестку для главы 3 — спроектировать стратегию продвижения, опирающуюся на сильные стороны Face2 (регуляторный капитал, банковская экосистема, стаж в ЕБС с 2018 года) и закрывающую выявленные пробелы по трём направлениям: расширение охвата, усиление аргументации и достройка инфраструктуры воронки.</w:t>
      </w:r>
    </w:p>
    <w:p>
      <w:pPr>
        <w:spacing w:before="0" w:after="0" w:line="240" w:lineRule="auto"/>
        <w:jc w:val="both"/>
        <w:rPr>
          <w:rFonts w:ascii="Times New Roman" w:hAnsi="Times New Roman" w:cs="Times New Roman" w:eastAsia="Times New Roman"/>
          <w:sz w:val="28"/>
          <w:szCs w:val="28"/>
          <w:lang w:val="ru-RU"/>
        </w:rPr>
      </w:pPr>
    </w:p>
    <w:p>
      <w:pPr>
        <w:keepNext/>
        <w:keepLines/>
        <w:spacing w:before="240" w:after="120" w:line="36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8"/>
          <w:szCs w:val="28"/>
          <w:lang w:val="ru-RU"/>
        </w:rPr>
        <w:t xml:space="preserve">ГЛАВА 3. РАЗРАБОТКА СТРАТЕГИИ ПРОДВИЖЕНИЯ ИННОВАЦИОННОГО ПРОДУКТА FACE2</w:t>
      </w:r>
    </w:p>
    <w:p>
      <w:pPr>
        <w:keepNext/>
        <w:keepLines/>
        <w:spacing w:before="200" w:after="120" w:line="36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8"/>
          <w:szCs w:val="28"/>
          <w:lang w:val="ru-RU"/>
        </w:rPr>
        <w:t xml:space="preserve">3.1. Обоснование стратегии продвижения продукта Face2</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Настоящий параграф переводит управленческую повестку, сформированную в параграфе 2.3, в стратегическую рамку: восемь пробелов продвижения Face2, агрегированных в таблице 2.3.6, и три кластера, на которые они группируются (пробелы охвата, аргументации и инфраструктуры воронки), переоформляются в цели, задачи, приоритетные сегменты, позиционирование и тип стратегии. Методическую основу разработки составляют инструменты, выведенные в главе 1: модель STP для сегментации и позиционирования [8, с. 314; 10, с. 175], расширенный комплекс маркетинга 7P для биометрии с особым весом элементов People, Process и Physical evidence [16, с. 48; 24, с. 106], маркетинговая воронка с обязательным этапом «Доверие» между интересом и пробным использованием [6, с. 64; 20, с. 11; 19, с. 6], рамка push/pull-стратегий и интегрированный подход [16, с. 48; 24, с. 106], а также теория диффузии инноваций Э. Роджерса [14, с. 156], задающая логику последовательной работы с разными группами аудитории — от новаторов и ранних последователей к раннему и позднему большинству.</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Разработка стратегии продвижения опирается на результаты второй главы. В параграфе 2.1 показано, что Face2 прошёл путь от тестового внедрения в офисах банка в 2019 году до коммерческой биометрической системы с аккредитацией Минцифры России в 2023 году, биоэквайринга в Казанском метрополитене в 2024 году и сервисов подтверждения возраста и регистрации в гостинице без паспорта в 2025 году [27; 26, с. 28–33; 28; 29]. Согласно теории диффузии Роджерса, продукт находится на стыке стадий ранних последователей и раннего большинства: тестовый и пилотный контуры пройдены, начат этап коммерческого масштабирования, при котором ключевой задачей продвижения становится перевод накопленной доказательной базы в массовое сообщение и в массовый канал [14, с. 156, 161].</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Параграф 2.2 зафиксировал конкурентную позицию Face2: сравнительная матрица (таблица 2.2.5) и балльная экспертная оценка по восьми ключевым факторам успеха (таблица 2.2.6) показали, что банк удерживает сильные позиции по регуляторно-правовому капиталу (аккредитация КБС, сертификация ФСБ и ФСТЭК, реестр отечественного ПО, шестилетний стаж в ЕБС), сегментной полноте под B2B/B2G и экосистемной интеграции, но уступает лидерам по независимой верификации точности и масштабу присутствия [27; 26; 38; 35; 40; 41]. Параграф 2.3 диагностировал асимметрию коммуникационной архитектуры: push-каналы (B2B/B2G, партнёрства, пилоты) развиты сильно, pull-каналы (массовые СМИ за пределами Татарстана, отдельный бренд в социальных сетях, экспертный контент) фрагментарны (таблица 2.3.2 и рисунок 2.3.1). Этот диагноз — отправная точка для стратегии: задача не в смене инструментов, а в их перенастройке.</w:t>
      </w:r>
    </w:p>
    <w:p>
      <w:pPr>
        <w:keepNext/>
        <w:keepLines/>
        <w:spacing w:before="200" w:after="120" w:line="36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8"/>
          <w:szCs w:val="28"/>
          <w:lang w:val="ru-RU"/>
        </w:rPr>
        <w:t xml:space="preserve">3.1.1. Проблемы продвижения, выявленные по результатам анализа</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Перечень проблем продвижения Face2 формируется на основе сводной таблицы 2.3.6 параграфа 2.3, в которой зафиксированы восемь пробелов, сгруппированных в три кластера. Корректное стратегическое прочтение этих пробелов требует разделения трёх содержательно разных классов проблем: внешних барьеров биометрии как технологии (формируются на уровне рынка и регулирования и описаны в параграфе 1.3, таблица 1.3.1), особенностей самого продукта Face2 (внутренние ограничения линейки и масштаба) и собственно дефицитов продвижения (коммуникационная архитектура банка). Стратегия продвижения формируется прежде всего по третьему классу, но учитывает первые два как условия успешной коммуникации.</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Первый класс — внешние барьеры биометрии. Согласно классификации параграфа 1.3 (таблица 1.3.1), они распадаются на четыре группы: психологические (страх утечки биометрии, опасения злоупотреблений, ощущение невозможности «отозвать» сданный образец), поведенческие (привычка к карточкам и паролям, низкая осведомлённость о сценариях использования), организационные для B2B-заказчиков (длительный цикл согласований, требования к интеграции и сертификации) и регуляторно-репутационные (риск штрафов и медийных кейсов утечек) [16, с. 43–48; 24, с. 100–110; 25, с. 112–115]. Эти барьеры не уникальны для Face2 — они характеризуют биометрию как технологию и определяют рамки любой стратегии продвижения на этом рынке.</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Второй класс — особенности продукта Face2. Линейка охватывает девять продуктов (коммерческая биометрическая система, Face2Pay, Face2Pass, Face2Check-in, подтверждение возраста, биометрический СКУД, доступ к ПК по биометрии, SDK, внедрение КБС под ключ) и обращена к одиннадцати отраслям применения (банки, МФО, ритейл, вендинг, маркетплейсы, аэропорты, спортивные объекты, промышленные предприятия, вузы, государственные организации, крупные корпорации) [27; 28; 29]. Соответствие продуктов и отраслей не является взаимно однозначным: один продукт линейки закрывает несколько сегментов, а один сегмент может потребовать нескольких продуктов в комплекте. Сегментная карта рынка из параграфа 2.2 (таблица 2.2.2) и продуктовая раскладка из параграфа 2.1 (таблица 2.1.4) задают матричную структуру «продукт × сегмент», которая в коммуникации переводится в необходимость отдельного ценностного предложения для каждого сегмента. Дополнительно особенностью Face2 является двухуровневая модель продаж, введённая в таблице 2.1.4: уровень 1 — поставка полного программного контура КБС аккредитованной организации-оператору биометрии (длительный цикл, единичные сделки); уровень 2 — подключение конечного объекта (магазин, турникет, бизнес-центр, спортивная арена, точка продажи алкоголя) к КБС, размещённой у Ак Барс Банка, по транзакционной или абонементной модели [27; 28; 29]. Эти два уровня требуют принципиально разных каналов, ЛПР и экономических конфигураций продвижения.</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Третий класс — собственно дефициты продвижения, выявленные в параграфе 2.3. По данным таблицы 2.3.6 они группируются в три кластера. Кластер охвата объединяет канальный пробел (асимметрия push и pull, фрагментарность pull-каналов за пределами Татарстана), сегментный пробел (отсутствие публичных кейсов по гостиничному сегменту и возрастной верификации в ритейле, заявленным в продуктовой линейке) и географический пробел (концентрация коммерческого присутствия в Республике Татарстан при недостаточном использовании банковской экосистемы и Карты жителя РТ как ресурса распространения вне региона). Кластер аргументации объединяет контентный пробел (регуляторный капитал — КБС, аккредитации, включение в перечень банков по № 115-ФЗ под номером 101 [35], стаж в ЕБС с 2018 года [39] — не переведён в массовое сообщение «доверие»), доказательный пробел (отсутствие публично зафиксированной независимой международной верификации точности — NIST FRTE, iBeta, CVPR) и пробел People (нет публичной линейки спикеров — CISO, юриста по 572-ФЗ, продакт-менеджера). Кластер инфраструктуры воронки объединяет конверсионный пробел (на face2.ru нет CTA-механики — заявки на пилот, демо-доступа, ROI-калькулятора, не оформлена автоматическая воронка) и лояльностный пробел (нет системной работы с референс-клиентами: отзывы, кейсы, NPS, повторные продажи модулей). Дополнительно в параграфе 2.2 зафиксирован конкурентный фон: VisionLabs и OVISION удерживают сильные позиции по независимой верификации точности, продуктовой полноте и антифрод-функциональности, что задаёт давление по доказательной базе [40; 41] и таблица 2.2.6.</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Сводное представление выявленных проблем продвижения, синхронизированное с тремя кластерами таблицы 2.3.6 и тремя классами указанных выше проблем, дано в таблице 3.1.1.</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3.1.1</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Основные проблемы продвижения продукта Face2</w:t>
      </w:r>
    </w:p>
    <w:tbl>
      <w:tblPr>
        <w:tblW w:w="9635"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642"/>
        <w:gridCol w:w="2719"/>
        <w:gridCol w:w="3137"/>
        <w:gridCol w:w="3137"/>
      </w:tblGrid>
      <w:tr>
        <w:trPr>
          <w:tblHeader/>
          <w:cantSplit/>
        </w:trPr>
        <w:tc>
          <w:tcPr>
            <w:tcW w:w="642"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w:t>
            </w:r>
          </w:p>
        </w:tc>
        <w:tc>
          <w:tcPr>
            <w:tcW w:w="2719"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Класс / кластер пробелов (по табл. 2.3.6)</w:t>
            </w:r>
          </w:p>
        </w:tc>
        <w:tc>
          <w:tcPr>
            <w:tcW w:w="3137"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Проблема</w:t>
            </w:r>
          </w:p>
        </w:tc>
        <w:tc>
          <w:tcPr>
            <w:tcW w:w="3137"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Влияние на продвижение</w:t>
            </w:r>
          </w:p>
        </w:tc>
      </w:tr>
      <w:tr>
        <w:trPr>
          <w:cantSplit/>
        </w:trPr>
        <w:tc>
          <w:tcPr>
            <w:tcW w:w="64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w:t>
            </w:r>
          </w:p>
        </w:tc>
        <w:tc>
          <w:tcPr>
            <w:tcW w:w="27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Кластер охвата (канальный пробел)</w:t>
            </w:r>
          </w:p>
        </w:tc>
        <w:tc>
          <w:tcPr>
            <w:tcW w:w="313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Недостаточная узнаваемость на федеральном уровне; pull-каналы фрагментарны</w:t>
            </w:r>
          </w:p>
        </w:tc>
        <w:tc>
          <w:tcPr>
            <w:tcW w:w="313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Снижает количество входящих обращений и доверие новых клиентов</w:t>
            </w:r>
          </w:p>
        </w:tc>
      </w:tr>
      <w:tr>
        <w:trPr>
          <w:cantSplit/>
        </w:trPr>
        <w:tc>
          <w:tcPr>
            <w:tcW w:w="64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w:t>
            </w:r>
          </w:p>
        </w:tc>
        <w:tc>
          <w:tcPr>
            <w:tcW w:w="27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Кластер охвата (сегментный пробел)</w:t>
            </w:r>
          </w:p>
        </w:tc>
        <w:tc>
          <w:tcPr>
            <w:tcW w:w="313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 гостиничному сегменту и возрастной верификации в ритейле нет публичных кейсов при заявленной продуктовой линейке</w:t>
            </w:r>
          </w:p>
        </w:tc>
        <w:tc>
          <w:tcPr>
            <w:tcW w:w="313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Заявленные продукты не подтверждены коммуникативно; сегментный охват уже продуктового</w:t>
            </w:r>
          </w:p>
        </w:tc>
      </w:tr>
      <w:tr>
        <w:trPr>
          <w:cantSplit/>
        </w:trPr>
        <w:tc>
          <w:tcPr>
            <w:tcW w:w="64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3</w:t>
            </w:r>
          </w:p>
        </w:tc>
        <w:tc>
          <w:tcPr>
            <w:tcW w:w="27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Кластер охвата (географический пробел)</w:t>
            </w:r>
          </w:p>
        </w:tc>
        <w:tc>
          <w:tcPr>
            <w:tcW w:w="313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Коммерческое присутствие сконцентрировано в Республике Татарстан; банковская экосистема и Карта жителя РТ как ресурсы распространения вне региона задействованы слабо</w:t>
            </w:r>
          </w:p>
        </w:tc>
        <w:tc>
          <w:tcPr>
            <w:tcW w:w="313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Маркетинговая активность отражает географию операций, а не потенциал рынка</w:t>
            </w:r>
          </w:p>
        </w:tc>
      </w:tr>
      <w:tr>
        <w:trPr>
          <w:cantSplit/>
        </w:trPr>
        <w:tc>
          <w:tcPr>
            <w:tcW w:w="64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4</w:t>
            </w:r>
          </w:p>
        </w:tc>
        <w:tc>
          <w:tcPr>
            <w:tcW w:w="27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Кластер аргументации (контентный пробел)</w:t>
            </w:r>
          </w:p>
        </w:tc>
        <w:tc>
          <w:tcPr>
            <w:tcW w:w="313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Регуляторный капитал (КБС, ФСБ, ФСТЭК, реестр отечественного ПО, стаж в ЕБС с 2018 г.) подаётся языком специалистов и не переведён в массовое сообщение «доверие»</w:t>
            </w:r>
          </w:p>
        </w:tc>
        <w:tc>
          <w:tcPr>
            <w:tcW w:w="313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Барьер недоверия не закрывается; этап «Доверие» воронки недогружен по охвату</w:t>
            </w:r>
          </w:p>
        </w:tc>
      </w:tr>
      <w:tr>
        <w:trPr>
          <w:cantSplit/>
        </w:trPr>
        <w:tc>
          <w:tcPr>
            <w:tcW w:w="64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5</w:t>
            </w:r>
          </w:p>
        </w:tc>
        <w:tc>
          <w:tcPr>
            <w:tcW w:w="27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Кластер аргументации (доказательный пробел)</w:t>
            </w:r>
          </w:p>
        </w:tc>
        <w:tc>
          <w:tcPr>
            <w:tcW w:w="313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Публично не зафиксирована независимая международная верификация точности (NIST FRTE, iBeta, CVPR); недостаточно отраслевых кейсов с расчётом экономического эффекта</w:t>
            </w:r>
          </w:p>
        </w:tc>
        <w:tc>
          <w:tcPr>
            <w:tcW w:w="313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Усложняет принятие решений B2B-клиентами и снижает конкурентоспособность относительно VisionLabs и OVISION</w:t>
            </w:r>
          </w:p>
        </w:tc>
      </w:tr>
      <w:tr>
        <w:trPr>
          <w:cantSplit/>
        </w:trPr>
        <w:tc>
          <w:tcPr>
            <w:tcW w:w="64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6</w:t>
            </w:r>
          </w:p>
        </w:tc>
        <w:tc>
          <w:tcPr>
            <w:tcW w:w="27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Кластер аргументации (пробел People)</w:t>
            </w:r>
          </w:p>
        </w:tc>
        <w:tc>
          <w:tcPr>
            <w:tcW w:w="313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Нет публичной линейки спикеров (CISO, юрист по 572-ФЗ, продакт-менеджер); один публичный контакт продаж</w:t>
            </w:r>
          </w:p>
        </w:tc>
        <w:tc>
          <w:tcPr>
            <w:tcW w:w="313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Ограничивает экспертное позиционирование и работу с B2B/B2G-аудиторией</w:t>
            </w:r>
          </w:p>
        </w:tc>
      </w:tr>
      <w:tr>
        <w:trPr>
          <w:cantSplit/>
        </w:trPr>
        <w:tc>
          <w:tcPr>
            <w:tcW w:w="64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7</w:t>
            </w:r>
          </w:p>
        </w:tc>
        <w:tc>
          <w:tcPr>
            <w:tcW w:w="27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Кластер инфраструктуры воронки (конверсионный пробел)</w:t>
            </w:r>
          </w:p>
        </w:tc>
        <w:tc>
          <w:tcPr>
            <w:tcW w:w="313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На face2.ru нет CTA-механики (заявка на пилот, демо-доступ, ROI-калькулятор); автоматическая воронка не оформлена</w:t>
            </w:r>
          </w:p>
        </w:tc>
        <w:tc>
          <w:tcPr>
            <w:tcW w:w="313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Интерес не конвертируется в пробное использование</w:t>
            </w:r>
          </w:p>
        </w:tc>
      </w:tr>
      <w:tr>
        <w:trPr>
          <w:cantSplit/>
        </w:trPr>
        <w:tc>
          <w:tcPr>
            <w:tcW w:w="64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8</w:t>
            </w:r>
          </w:p>
        </w:tc>
        <w:tc>
          <w:tcPr>
            <w:tcW w:w="27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Кластер инфраструктуры воронки (лояльностный пробел)</w:t>
            </w:r>
          </w:p>
        </w:tc>
        <w:tc>
          <w:tcPr>
            <w:tcW w:w="313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Нет системной работы с референс-клиентами: отзывы, кейсы, NPS, повторные продажи модулей</w:t>
            </w:r>
          </w:p>
        </w:tc>
        <w:tc>
          <w:tcPr>
            <w:tcW w:w="313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Не работает этап «Лояльность» воронки; референсная база не воспроизводится</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по данным [27; 26, с. 28–33; 38; 35; 40; 41; 39] и параграфа 2.3 (таблица 2.3.6) с учётом классификации барьеров биометрии параграфа 1.3 (таблица 1.3.1).</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Раскладка в таблице 3.1.1 показывает, что пробелы продвижения Face2 сосредоточены не в зоне продуктовых характеристик и не в зоне регуляторного капитала — в этих зонах банк удерживает сильную позицию по результатам параграфа 2.2 — а в зоне коммуникационной архитектуры. Стратегия продвижения, разрабатываемая в подразделах 3.1.2–3.1.5 и в параграфе 3.2, должна последовательно закрывать три кластера пробелов: охват, аргументацию и инфраструктуру воронки.</w:t>
      </w:r>
    </w:p>
    <w:p>
      <w:pPr>
        <w:keepNext/>
        <w:keepLines/>
        <w:spacing w:before="200" w:after="120" w:line="36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8"/>
          <w:szCs w:val="28"/>
          <w:lang w:val="ru-RU"/>
        </w:rPr>
        <w:t xml:space="preserve">3.1.2. Цель и задачи стратегии продвижения</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Цель стратегии продвижения Face2 формулируется в SMART-логике с горизонтом 2026–2028 годов: повысить узнаваемость Face2 на российском рынке биометрических решений и сформировать доверие к продукту со стороны B2B-, B2G- и B2C-аудиторий, увеличив за указанный горизонт количество подтверждённых внешних внедрений продуктов линейки не менее чем в три раза относительно базового 2025 года и доведя долю pull-канала (массовое цифровое присутствие, экспертный контент, отраслевые публикации) в структуре коммуникационных активностей до уровня, сопоставимого с push-каналом, при сохранении конкурентного преимущества по регуляторно-правовому капиталу. Численные ориентиры по узнаваемости, количеству лидов, пилотным проектам и коммерческой конверсии формируются в параграфе 3.3 как KPI стратегии и согласуются с мероприятиями параграфа 3.2.</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Цель стратегии разворачивается в семь задач, каждая из которых закрывает один из трёх кластеров пробелов, выделенных в таблице 3.1.1, и сшита с подразделом параграфа 3.2, в котором эта задача будет реализована мероприятиями:</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а) уточнить позиционирование Face2 как комплексной отечественной биометрической платформы Ак Барс Банка, соответствующей требованиям 572-ФЗ и ориентированной на практические задачи организаций (закрывает контентный пробел; реализуется в подразделе 3.1.4 и в подразделах 3.2.1, 3.2.4);</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б) сформировать отраслевые ценностные предложения для шести приоритетных сегментов с учётом двухуровневой модели продаж (закрывает сегментный пробел; реализуется в подразделах 3.1.3 и 3.2.1, 3.2.2);</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в) усилить коммуникацию по вопросам безопасности биометрических данных, соответствия требованиям 572-ФЗ, использования ЕБС и КБС, переведя регуляторный капитал из языка специалистов в массовое сообщение «доверие» (закрывает контентный и доказательный пробелы; реализуется в подразделе 3.2.4 и на этапе «Доверие» маркетинговой воронки 3.3.1);</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г) повысить узнаваемость Face2 на федеральном рынке за счёт PR-активности, участия в отраслевых мероприятиях, публикации экспертных материалов и развития цифровых каналов (закрывает канальный и географический пробелы; реализуется в подразделах 3.2.3, 3.2.4);</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д) расширить доказательную базу продукта за счёт публичных кейсов внедрения, демонстрационных проектов, расчётов экономического эффекта и сравнительных материалов (закрывает доказательный пробел и пробел People; реализуется в подразделах 3.2.2, 3.2.4);</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е) развернуть систему продвижения для двух уровней продаж — КБС под ключ для аккредитованных операторов (уровень 1) и подключение конечных объектов к КБС Ак Барс Банка по транзакционной или абонементной модели (уровень 2), включая прямые продажи, партнёрства с интеграторами и вендорами оборудования, пилотные проекты и B2C-сценарии для конечных пользователей сервисов Face2Pay, Face2Pass и Face2Check-in (закрывает канальный, географический и конверсионный пробелы; реализуется в подразделах 3.2.1, 3.2.3);</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ё) сформировать систему показателей эффективности продвижения и инфраструктуру референсной работы — отзывы, кейс-стади, NPS, программа повторных продаж модулей (закрывает конверсионный и лояльностный пробелы; реализуется в подразделе 3.2.5 и в параграфе 3.3).</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Цель и сшивка задач с кластерами пробелов и подразделами 3.2 представлены в таблице 3.1.2.</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3.1.2</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Цели и задачи стратегии продвижения Face2</w:t>
      </w:r>
    </w:p>
    <w:tbl>
      <w:tblPr>
        <w:tblW w:w="9636"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171"/>
        <w:gridCol w:w="4072"/>
        <w:gridCol w:w="3393"/>
      </w:tblGrid>
      <w:tr>
        <w:trPr>
          <w:tblHeader/>
          <w:cantSplit/>
        </w:trPr>
        <w:tc>
          <w:tcPr>
            <w:tcW w:w="2171"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Элемент стратегии</w:t>
            </w:r>
          </w:p>
        </w:tc>
        <w:tc>
          <w:tcPr>
            <w:tcW w:w="4072"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Содержание</w:t>
            </w:r>
          </w:p>
        </w:tc>
        <w:tc>
          <w:tcPr>
            <w:tcW w:w="3393"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Закрываемый кластер пробелов / подраздел реализации</w:t>
            </w:r>
          </w:p>
        </w:tc>
      </w:tr>
      <w:tr>
        <w:trPr>
          <w:cantSplit/>
        </w:trPr>
        <w:tc>
          <w:tcPr>
            <w:tcW w:w="217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Цель</w:t>
            </w:r>
          </w:p>
        </w:tc>
        <w:tc>
          <w:tcPr>
            <w:tcW w:w="407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Повысить узнаваемость Face2 и сформировать доверие со стороны B2B-, B2G- и B2C-аудиторий; на горизонте 2026–2028 гг. увеличить число подтверждённых внешних внедрений не менее чем в три раза к базе 2025 г. и довести долю pull-канала до уровня, сопоставимого с push</w:t>
            </w:r>
          </w:p>
        </w:tc>
        <w:tc>
          <w:tcPr>
            <w:tcW w:w="339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Все три кластера / параграфы 3.2 и 3.3</w:t>
            </w:r>
          </w:p>
        </w:tc>
      </w:tr>
      <w:tr>
        <w:trPr>
          <w:cantSplit/>
        </w:trPr>
        <w:tc>
          <w:tcPr>
            <w:tcW w:w="217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Коммуникационная задача</w:t>
            </w:r>
          </w:p>
        </w:tc>
        <w:tc>
          <w:tcPr>
            <w:tcW w:w="407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Перевести регуляторный капитал в массовое сообщение «доверие» и усилить экспертное позиционирование</w:t>
            </w:r>
          </w:p>
        </w:tc>
        <w:tc>
          <w:tcPr>
            <w:tcW w:w="339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Аргументация / 3.2.4</w:t>
            </w:r>
          </w:p>
        </w:tc>
      </w:tr>
      <w:tr>
        <w:trPr>
          <w:cantSplit/>
        </w:trPr>
        <w:tc>
          <w:tcPr>
            <w:tcW w:w="217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Маркетинговая задача</w:t>
            </w:r>
          </w:p>
        </w:tc>
        <w:tc>
          <w:tcPr>
            <w:tcW w:w="407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Разработать отраслевые офферы под шесть приоритетных сегментов с учётом двух уровней продаж и расширить присутствие в цифровых и PR-каналах</w:t>
            </w:r>
          </w:p>
        </w:tc>
        <w:tc>
          <w:tcPr>
            <w:tcW w:w="339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Охват, аргументация / 3.2.1, 3.2.2, 3.2.3</w:t>
            </w:r>
          </w:p>
        </w:tc>
      </w:tr>
      <w:tr>
        <w:trPr>
          <w:cantSplit/>
        </w:trPr>
        <w:tc>
          <w:tcPr>
            <w:tcW w:w="217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Коммерческая задача</w:t>
            </w:r>
          </w:p>
        </w:tc>
        <w:tc>
          <w:tcPr>
            <w:tcW w:w="407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Увеличить количество входящих заявок, пилотных проектов и коммерческих внедрений по обоим уровням продаж</w:t>
            </w:r>
          </w:p>
        </w:tc>
        <w:tc>
          <w:tcPr>
            <w:tcW w:w="339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Охват, инфраструктура воронки / 3.2.1, 3.2.3</w:t>
            </w:r>
          </w:p>
        </w:tc>
      </w:tr>
      <w:tr>
        <w:trPr>
          <w:cantSplit/>
        </w:trPr>
        <w:tc>
          <w:tcPr>
            <w:tcW w:w="217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Имиджевая задача</w:t>
            </w:r>
          </w:p>
        </w:tc>
        <w:tc>
          <w:tcPr>
            <w:tcW w:w="407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Закрепить Face2 как отечественную биометрическую платформу с банковской экспертизой</w:t>
            </w:r>
          </w:p>
        </w:tc>
        <w:tc>
          <w:tcPr>
            <w:tcW w:w="339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Аргументация / 3.2.4</w:t>
            </w:r>
          </w:p>
        </w:tc>
      </w:tr>
      <w:tr>
        <w:trPr>
          <w:cantSplit/>
        </w:trPr>
        <w:tc>
          <w:tcPr>
            <w:tcW w:w="217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Аналитическая задача</w:t>
            </w:r>
          </w:p>
        </w:tc>
        <w:tc>
          <w:tcPr>
            <w:tcW w:w="407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Ввести KPI продвижения, систему регулярной оценки эффективности мероприятий и программу референсной работы</w:t>
            </w:r>
          </w:p>
        </w:tc>
        <w:tc>
          <w:tcPr>
            <w:tcW w:w="339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Инфраструктура воронки / 3.2.5, 3.3</w:t>
            </w:r>
          </w:p>
        </w:tc>
      </w:tr>
      <w:tr>
        <w:trPr>
          <w:cantSplit/>
        </w:trPr>
        <w:tc>
          <w:tcPr>
            <w:tcW w:w="217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Доказательная задача</w:t>
            </w:r>
          </w:p>
        </w:tc>
        <w:tc>
          <w:tcPr>
            <w:tcW w:w="407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Сформировать публичную базу отраслевых кейсов с расчётом экономического эффекта и линейку спикеров (CISO, юрист по 572-ФЗ, продакт-менеджер)</w:t>
            </w:r>
          </w:p>
        </w:tc>
        <w:tc>
          <w:tcPr>
            <w:tcW w:w="339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Аргументация / 3.2.2, 3.2.4</w:t>
            </w:r>
          </w:p>
        </w:tc>
      </w:tr>
      <w:tr>
        <w:trPr>
          <w:cantSplit/>
        </w:trPr>
        <w:tc>
          <w:tcPr>
            <w:tcW w:w="217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Конверсионная задача</w:t>
            </w:r>
          </w:p>
        </w:tc>
        <w:tc>
          <w:tcPr>
            <w:tcW w:w="407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Развернуть на face2.ru CTA-механику (заявка на пилот, демо-доступ, ROI-калькулятор) и автоматическую воронку</w:t>
            </w:r>
          </w:p>
        </w:tc>
        <w:tc>
          <w:tcPr>
            <w:tcW w:w="339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Инфраструктура воронки / 3.2.3, 3.2.5</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по данным параграфов 1.2 (таблица 1.2.1) и 2.3 (таблица 2.3.6), [18, с. 5; 8, с. 412; 10, с. 156].</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Сшивка задач с кластерами пробелов и подразделами параграфа 3.2 делает стратегию операционализируемой: каждая задача 3.1.2 имеет явный адрес реализации и явный измеримый результат, который будет оценён системой KPI параграфа 3.3.</w:t>
      </w:r>
    </w:p>
    <w:p>
      <w:pPr>
        <w:keepNext/>
        <w:keepLines/>
        <w:spacing w:before="200" w:after="120" w:line="36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8"/>
          <w:szCs w:val="28"/>
          <w:lang w:val="ru-RU"/>
        </w:rPr>
        <w:t xml:space="preserve">3.1.3. Приоритетные целевые сегменты в разрезе двухуровневой модели продаж</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Выбор и приоритизация целевых сегментов выполняются по модели STP [8, с. 314; 10, с. 175]: сегментация рынка проведена в параграфе 2.2 (таблица 2.2.2 — шесть устойчивых сегментов российского рынка биометрии: государственная идентификация, финансовый сектор, транспорт, СКУД режимных объектов, ритейл с возрастной верификацией, гостиничный сегмент); таргетирование выполняется в настоящем подразделе по трём критериям приоритизации; позиционирование — в подразделе 3.1.4. Критерии приоритизации сегментов: соответствие сильным сторонам Face2 по результатам балльной оценки конкурентов (таблица 2.2.6 — регуляторный капитал, экосистемная интеграция, банковская экспертиза); текущая стадия закрытия сегмента продуктово и коммуникативно (таблица 2.3.1); экономический потенциал — рост биометрических платежей, количество пользователей ЕБС, плотность регуляторных требований [27; 38; 32; 34].</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Сегментация ведётся в разрезе двухуровневой модели продаж Face2, введённой в таблице 2.1.4 параграфа 2.1. Уровень 1 — поставка полного программного контура КБС аккредитованной организации-оператору биометрии (банку-партнёру или государственной структуре с правом регистрировать векторы в ЕБС): длительный цикл продажи, единичные сделки, ЛПР — топ-менеджмент и совет директоров заказчика, каналы — прямые B2B-продажи, отраслевые конференции, персональные демонстрации, экономика — лицензионные и проектные платежи [27; 28; 29]. Уровень 2 — подключение конечного объекта к КБС, размещённой у Ак Барс Банка, по транзакционной или абонементной модели без аккредитации заказчика: короткий цикл продажи, массовые сделки, ЛПР — операционный менеджмент объекта, каналы — партнёрства с интеграторами, вендорами оборудования и платёжными провайдерами, цифровые каналы и pull-инструменты, экономика — транзакционные комиссии и абонементные платежи [27; 29]. На втором уровне в качестве конечного потребителя сервиса (B2C-составляющая) выступает физическое лицо — пользователь Face2Pay, Face2Pass или Face2Check-in: для него стратегия продвижения формирует pull-спрос через массовые сценарии (метро, ритейл, гостиница, спортивная арена) и через коммуникацию о безопасности и удобстве биометрии. Согласно теории диффузии инноваций Э. Роджерса, в B2C-составляющей приоритетной аудиторией стратегии на горизонте 2026–2028 годов являются ранние последователи и раннее большинство, поскольку именно они переводят технологию из стадии пилотов в стадию массового использования и формируют референсный материал для более консервативных сегментов аудитории [14, с. 156, 161].</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Приоритетные сегменты в разрезе двух уровней продаж и с указанием отраслевого ценностного предложения представлены в таблице 3.1.3.</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3.1.3</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Приоритетные целевые сегменты продвижения Face2</w:t>
      </w:r>
    </w:p>
    <w:tbl>
      <w:tblPr>
        <w:tblW w:w="9635"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195"/>
        <w:gridCol w:w="2241"/>
        <w:gridCol w:w="2091"/>
        <w:gridCol w:w="1867"/>
        <w:gridCol w:w="2241"/>
      </w:tblGrid>
      <w:tr>
        <w:trPr>
          <w:tblHeader/>
          <w:cantSplit/>
        </w:trPr>
        <w:tc>
          <w:tcPr>
            <w:tcW w:w="1195"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Целевой сегмент</w:t>
            </w:r>
          </w:p>
        </w:tc>
        <w:tc>
          <w:tcPr>
            <w:tcW w:w="2241"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Уровень продаж (по табл. 2.1.4)</w:t>
            </w:r>
          </w:p>
        </w:tc>
        <w:tc>
          <w:tcPr>
            <w:tcW w:w="2091"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Подходящий продукт Face2</w:t>
            </w:r>
          </w:p>
        </w:tc>
        <w:tc>
          <w:tcPr>
            <w:tcW w:w="1867"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Основной потребитель</w:t>
            </w:r>
          </w:p>
        </w:tc>
        <w:tc>
          <w:tcPr>
            <w:tcW w:w="2241"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Отраслевое ценностное предложение</w:t>
            </w:r>
          </w:p>
        </w:tc>
      </w:tr>
      <w:tr>
        <w:trPr>
          <w:cantSplit/>
        </w:trPr>
        <w:tc>
          <w:tcPr>
            <w:tcW w:w="119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Банки</w:t>
            </w:r>
          </w:p>
        </w:tc>
        <w:tc>
          <w:tcPr>
            <w:tcW w:w="224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Уровень 1 (КБС под ключ аккредитованному оператору)</w:t>
            </w:r>
          </w:p>
        </w:tc>
        <w:tc>
          <w:tcPr>
            <w:tcW w:w="209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КБС, Face2Pay, KYC, SDK</w:t>
            </w:r>
          </w:p>
        </w:tc>
        <w:tc>
          <w:tcPr>
            <w:tcW w:w="186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Кредитные организации — операторы биометрии</w:t>
            </w:r>
          </w:p>
        </w:tc>
        <w:tc>
          <w:tcPr>
            <w:tcW w:w="224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Соответствие 572-ФЗ, снижение рисков мошенничества, KYC по ЕБС, банковская экспертиза партнёра</w:t>
            </w:r>
          </w:p>
        </w:tc>
      </w:tr>
      <w:tr>
        <w:trPr>
          <w:cantSplit/>
        </w:trPr>
        <w:tc>
          <w:tcPr>
            <w:tcW w:w="119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МФО</w:t>
            </w:r>
          </w:p>
        </w:tc>
        <w:tc>
          <w:tcPr>
            <w:tcW w:w="224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Уровень 1 / Уровень 2 (через банк-партнёра)</w:t>
            </w:r>
          </w:p>
        </w:tc>
        <w:tc>
          <w:tcPr>
            <w:tcW w:w="209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KYC, интеграция с КБС</w:t>
            </w:r>
          </w:p>
        </w:tc>
        <w:tc>
          <w:tcPr>
            <w:tcW w:w="186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Микрофинансовые организации</w:t>
            </w:r>
          </w:p>
        </w:tc>
        <w:tc>
          <w:tcPr>
            <w:tcW w:w="224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Готовый сервис дистанционной идентификации заёмщиков на базе инфраструктуры аккредитованного банка; снижение операционных и регуляторных рисков</w:t>
            </w:r>
          </w:p>
        </w:tc>
      </w:tr>
      <w:tr>
        <w:trPr>
          <w:cantSplit/>
        </w:trPr>
        <w:tc>
          <w:tcPr>
            <w:tcW w:w="119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Ритейл</w:t>
            </w:r>
          </w:p>
        </w:tc>
        <w:tc>
          <w:tcPr>
            <w:tcW w:w="224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Уровень 2 (подключение к КБС Ак Барс Банка)</w:t>
            </w:r>
          </w:p>
        </w:tc>
        <w:tc>
          <w:tcPr>
            <w:tcW w:w="209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Face2Pay, подтверждение возраста</w:t>
            </w:r>
          </w:p>
        </w:tc>
        <w:tc>
          <w:tcPr>
            <w:tcW w:w="186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Розничные сети, точки продаж</w:t>
            </w:r>
          </w:p>
        </w:tc>
        <w:tc>
          <w:tcPr>
            <w:tcW w:w="224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Ускорение оплаты, снижение очередей, автоматизация продажи товаров с возрастными ограничениями, новый клиентский опыт</w:t>
            </w:r>
          </w:p>
        </w:tc>
      </w:tr>
      <w:tr>
        <w:trPr>
          <w:cantSplit/>
        </w:trPr>
        <w:tc>
          <w:tcPr>
            <w:tcW w:w="119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Вендинг</w:t>
            </w:r>
          </w:p>
        </w:tc>
        <w:tc>
          <w:tcPr>
            <w:tcW w:w="224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Уровень 2</w:t>
            </w:r>
          </w:p>
        </w:tc>
        <w:tc>
          <w:tcPr>
            <w:tcW w:w="209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Face2Pay, подтверждение возраста</w:t>
            </w:r>
          </w:p>
        </w:tc>
        <w:tc>
          <w:tcPr>
            <w:tcW w:w="186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Операторы вендинговых сетей</w:t>
            </w:r>
          </w:p>
        </w:tc>
        <w:tc>
          <w:tcPr>
            <w:tcW w:w="224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Автоматизация оплаты и продаж товаров с возрастными ограничениями без участия продавца</w:t>
            </w:r>
          </w:p>
        </w:tc>
      </w:tr>
      <w:tr>
        <w:trPr>
          <w:cantSplit/>
        </w:trPr>
        <w:tc>
          <w:tcPr>
            <w:tcW w:w="119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Гостиницы</w:t>
            </w:r>
          </w:p>
        </w:tc>
        <w:tc>
          <w:tcPr>
            <w:tcW w:w="224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Уровень 2</w:t>
            </w:r>
          </w:p>
        </w:tc>
        <w:tc>
          <w:tcPr>
            <w:tcW w:w="209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Face2Check-in</w:t>
            </w:r>
          </w:p>
        </w:tc>
        <w:tc>
          <w:tcPr>
            <w:tcW w:w="186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Гостиничные сети и отдельные средства размещения</w:t>
            </w:r>
          </w:p>
        </w:tc>
        <w:tc>
          <w:tcPr>
            <w:tcW w:w="224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Сокращение времени регистрации, заселение без предъявления паспорта, повышение клиентского опыта</w:t>
            </w:r>
          </w:p>
        </w:tc>
      </w:tr>
      <w:tr>
        <w:trPr>
          <w:cantSplit/>
        </w:trPr>
        <w:tc>
          <w:tcPr>
            <w:tcW w:w="119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Вузы</w:t>
            </w:r>
          </w:p>
        </w:tc>
        <w:tc>
          <w:tcPr>
            <w:tcW w:w="224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Уровень 2</w:t>
            </w:r>
          </w:p>
        </w:tc>
        <w:tc>
          <w:tcPr>
            <w:tcW w:w="209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Face2Pass, биометрический СКУД</w:t>
            </w:r>
          </w:p>
        </w:tc>
        <w:tc>
          <w:tcPr>
            <w:tcW w:w="186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Образовательные организации</w:t>
            </w:r>
          </w:p>
        </w:tc>
        <w:tc>
          <w:tcPr>
            <w:tcW w:w="224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Контроль доступа в кампус, учёт посещаемости, снижение рисков передачи пропусков</w:t>
            </w:r>
          </w:p>
        </w:tc>
      </w:tr>
      <w:tr>
        <w:trPr>
          <w:cantSplit/>
        </w:trPr>
        <w:tc>
          <w:tcPr>
            <w:tcW w:w="119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Промышленные предприятия</w:t>
            </w:r>
          </w:p>
        </w:tc>
        <w:tc>
          <w:tcPr>
            <w:tcW w:w="224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Уровень 2</w:t>
            </w:r>
          </w:p>
        </w:tc>
        <w:tc>
          <w:tcPr>
            <w:tcW w:w="209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Face2Pass, биометрический СКУД, доступ к ПК по биометрии</w:t>
            </w:r>
          </w:p>
        </w:tc>
        <w:tc>
          <w:tcPr>
            <w:tcW w:w="186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Промышленные и режимные предприятия</w:t>
            </w:r>
          </w:p>
        </w:tc>
        <w:tc>
          <w:tcPr>
            <w:tcW w:w="224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Контроль доступа и рабочего времени, снижение рисков передачи пропусков, защита периметра</w:t>
            </w:r>
          </w:p>
        </w:tc>
      </w:tr>
      <w:tr>
        <w:trPr>
          <w:cantSplit/>
        </w:trPr>
        <w:tc>
          <w:tcPr>
            <w:tcW w:w="119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Государственные учреждения и МФЦ</w:t>
            </w:r>
          </w:p>
        </w:tc>
        <w:tc>
          <w:tcPr>
            <w:tcW w:w="224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Уровень 1 (КБС под ключ государственной структуре с правом регистрации в ЕБС) / Уровень 2 (отдельные точки обслуживания)</w:t>
            </w:r>
          </w:p>
        </w:tc>
        <w:tc>
          <w:tcPr>
            <w:tcW w:w="209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КБС, идентификация без документов, Face2Pass</w:t>
            </w:r>
          </w:p>
        </w:tc>
        <w:tc>
          <w:tcPr>
            <w:tcW w:w="186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Государственные органы, многофункциональные центры</w:t>
            </w:r>
          </w:p>
        </w:tc>
        <w:tc>
          <w:tcPr>
            <w:tcW w:w="224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Цифровизация процессов идентификации граждан, повышение доступности услуг, соответствие требованиям регулирования</w:t>
            </w:r>
          </w:p>
        </w:tc>
      </w:tr>
      <w:tr>
        <w:trPr>
          <w:cantSplit/>
        </w:trPr>
        <w:tc>
          <w:tcPr>
            <w:tcW w:w="119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Транспортная инфраструктура</w:t>
            </w:r>
          </w:p>
        </w:tc>
        <w:tc>
          <w:tcPr>
            <w:tcW w:w="224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Уровень 2</w:t>
            </w:r>
          </w:p>
        </w:tc>
        <w:tc>
          <w:tcPr>
            <w:tcW w:w="209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Face2Pay, Face2Pass</w:t>
            </w:r>
          </w:p>
        </w:tc>
        <w:tc>
          <w:tcPr>
            <w:tcW w:w="186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Метрополитены, аэропорты, пригородные перевозчики</w:t>
            </w:r>
          </w:p>
        </w:tc>
        <w:tc>
          <w:tcPr>
            <w:tcW w:w="224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Ускорение пассажиропотока, снижение очередей, биоэквайринг по модели Казанского метрополитена</w:t>
            </w:r>
          </w:p>
        </w:tc>
      </w:tr>
      <w:tr>
        <w:trPr>
          <w:cantSplit/>
        </w:trPr>
        <w:tc>
          <w:tcPr>
            <w:tcW w:w="119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Спортивные и массовые объекты</w:t>
            </w:r>
          </w:p>
        </w:tc>
        <w:tc>
          <w:tcPr>
            <w:tcW w:w="224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Уровень 2</w:t>
            </w:r>
          </w:p>
        </w:tc>
        <w:tc>
          <w:tcPr>
            <w:tcW w:w="209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Face2Pass</w:t>
            </w:r>
          </w:p>
        </w:tc>
        <w:tc>
          <w:tcPr>
            <w:tcW w:w="186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Спортивные арены, концертные площадки</w:t>
            </w:r>
          </w:p>
        </w:tc>
        <w:tc>
          <w:tcPr>
            <w:tcW w:w="224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Безопасность, управление потоками посетителей, контроль прохода без передачи билетов и пропусков</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по данным [27; 26, с. 28–33; 38; 35; 41; 28; 29], параграфов 2.1 (таблица 2.1.4) и 2.2 (таблица 2.2.2).</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Раскладка по двум уровням продаж в таблице 3.1.3 показывает, что банки и государственные учреждения преимущественно относятся к первому уровню продаж и требуют push-инструментов с длинным циклом согласования, тогда как ритейл, вендинг, гостиницы, вузы, промышленные предприятия, транспорт и массовые объекты относятся ко второму уровню и могут продвигаться через интеграторов, вендоров оборудования и pull-инструменты массового охвата. Это распределение задаёт принципиальную развилку для типа стратегии, обоснование которой даётся в подразделе 3.1.5.</w:t>
      </w:r>
    </w:p>
    <w:p>
      <w:pPr>
        <w:keepNext/>
        <w:keepLines/>
        <w:spacing w:before="200" w:after="120" w:line="36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8"/>
          <w:szCs w:val="28"/>
          <w:lang w:val="ru-RU"/>
        </w:rPr>
        <w:t xml:space="preserve">3.1.4. Позиционирование Face2 на рынке биометрических решений и формулировка ценностного предложения</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Позиционирование Face2 формируется как третий шаг модели STP и опирается на конфигурацию комплекса 7P, выведенную в параграфе 1.3 и сопоставленную с фактической практикой Face2 в параграфе 2.3 (таблица 2.3.3). По результатам этого сопоставления самым сильным элементом комплекса маркетинга Face2 является Physical evidence — регуляторно-правовой капитал, удерживаемый банком (КБС, аккредитация Минцифры России, сертификация ФСБ и ФСТЭК, реестр отечественного ПО, № 101 в перечне банков по № 115-ФЗ [35], стаж в ЕБС с 10 июля 2018 года [39]), — но его коммуникационная отдача снижена из-за того, что он подаётся языком специалистов, а не массовой аудитории. Целевая конфигурация 7P для стратегии продвижения Face2 предполагает усиление элементов People (линейка спикеров — CISO, юрист по 572-ФЗ, продакт-менеджер) и Process (автоматическая воронка на face2.ru, CTA-механика, ROI-калькулятор) при сохранении и переоформлении Physical evidence в массовое сообщение «доверие». Маркетинговая воронка из таблицы 1.2.4 параграфа 1.2 в её биометрической конфигурации (рисунок 2.3.1) требует расширения этапа «Доверие» — именно на нём концентрируются элементы позиционирования, переводящие регуляторный капитал банка в аргумент для массовой аудитории.</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 учётом сильных сторон Face2, зафиксированных балльной оценкой в таблице 2.2.6 параграфа 2.2 (преимущества по регуляторно-правовому капиталу, экосистемной интеграции и банковской экспертизе при сопоставимой с конкурентами скорости сканирования и наличии отечественного программного обеспечения и терминалов [27; 28; 29]), позиционирование формулируется через единое ценностное предложение, которое раскрывается далее в пяти смысловых блоках:</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Face2 — комплексная отечественная биометрическая платформа Ак Барс Банка для бизнеса и государственных организаций, обеспечивающая безопасную идентификацию, оплату, контроль доступа и обслуживание клиентов в соответствии с требованиями законодательства Российской Федерации.</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В качестве слогана-якоря, под который разворачивается коммуникация в параграфе 3.2, предлагается формулировка: «Биометрия по закону, банковский уровень доверия». Слоган фиксирует два ключевых дифференциатора Face2 (соответствие 572-ФЗ и принадлежность банковской инфраструктуре аккредитованного оператора) и работает одновременно на этапе «Осведомлённость» и на этапе «Доверие» маркетинговой воронки.</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Позиционирование раскрывается через пять смысловых блоков. Во-первых, законность и соответствие требованиям регулирования: Face2 продвигается как решение, позволяющее организациям использовать биометрию в правовом поле — на базе аккредитованной КБС, ЕБС и сертификации ФСБ и ФСТЭК [27; 1; 36; 37; 28]. Этот блок критичен для банков, МФО, государственных учреждений, крупных предприятий и режимных объектов. Во-вторых, безопасность и защита данных: коммуникация подчёркивает архитектуру защищённого хранения биометрических векторов, использование криптозащиты и снижение рисков несанкционированного доступа [16, с. 43–48; 24, с. 100–110; 25, с. 112–115; 1; 36]. В-третьих, комплексность платформы: Face2 позиционируется как экосистема биометрических решений, охватывающая КБС, биоэквайринг (Face2Pay), биометрический проход (Face2Pass), регистрацию в гостинице (Face2Check-in), подтверждение возраста, доступ к ПК и SDK для интеграторов [27; 28; 29]; комплексность даёт заказчику возможность закрыть несколько задач одним поставщиком. В-четвёртых, банковская экспертиза и практический опыт внедрения: использование Face2 более чем 5 тыс. сотрудников банка и работа около 200 биотерминалов в офисах и отделениях [27; 26, с. 33] подтверждают применимость продукта в крупной организации и закрывают типовое возражение B2B-аудитории о неотлаженности технологии. В-пятых, отечественное технологическое решение: в условиях курса на технологическую независимость Face2 опирается на отечественное программное обеспечение, реестр Минцифры и отечественные терминалы, что переводится в аргумент соответствия политике импортозамещения для государственного и корпоративного сегмента [27; 1; 35; 28].</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Систематизация ключевых элементов позиционирования и значения каждого элемента для клиента дана в таблице 3.1.4.</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3.1.4</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Ключевые элементы позиционирования Face2</w:t>
      </w:r>
    </w:p>
    <w:tbl>
      <w:tblPr>
        <w:tblW w:w="9636"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141"/>
        <w:gridCol w:w="4015"/>
        <w:gridCol w:w="3480"/>
      </w:tblGrid>
      <w:tr>
        <w:trPr>
          <w:tblHeader/>
          <w:cantSplit/>
        </w:trPr>
        <w:tc>
          <w:tcPr>
            <w:tcW w:w="2141"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Элемент позиционирования</w:t>
            </w:r>
          </w:p>
        </w:tc>
        <w:tc>
          <w:tcPr>
            <w:tcW w:w="4015"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Содержание</w:t>
            </w:r>
          </w:p>
        </w:tc>
        <w:tc>
          <w:tcPr>
            <w:tcW w:w="3480"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Значение для клиента</w:t>
            </w:r>
          </w:p>
        </w:tc>
      </w:tr>
      <w:tr>
        <w:trPr>
          <w:cantSplit/>
        </w:trPr>
        <w:tc>
          <w:tcPr>
            <w:tcW w:w="214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Законность</w:t>
            </w:r>
          </w:p>
        </w:tc>
        <w:tc>
          <w:tcPr>
            <w:tcW w:w="401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Соответствие требованиям регулирования биометрии (572-ФЗ, аккредитация Минцифры, ЕБС, КБС)</w:t>
            </w:r>
          </w:p>
        </w:tc>
        <w:tc>
          <w:tcPr>
            <w:tcW w:w="348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Снижение юридических рисков</w:t>
            </w:r>
          </w:p>
        </w:tc>
      </w:tr>
      <w:tr>
        <w:trPr>
          <w:cantSplit/>
        </w:trPr>
        <w:tc>
          <w:tcPr>
            <w:tcW w:w="214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Безопасность</w:t>
            </w:r>
          </w:p>
        </w:tc>
        <w:tc>
          <w:tcPr>
            <w:tcW w:w="401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Защита биометрических данных, криптозащита, сертификация ФСБ и ФСТЭК, защищённая инфраструктура</w:t>
            </w:r>
          </w:p>
        </w:tc>
        <w:tc>
          <w:tcPr>
            <w:tcW w:w="348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Повышение доверия к продукту</w:t>
            </w:r>
          </w:p>
        </w:tc>
      </w:tr>
      <w:tr>
        <w:trPr>
          <w:cantSplit/>
        </w:trPr>
        <w:tc>
          <w:tcPr>
            <w:tcW w:w="214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Комплексность</w:t>
            </w:r>
          </w:p>
        </w:tc>
        <w:tc>
          <w:tcPr>
            <w:tcW w:w="401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КБС, Face2Pay, Face2Pass, Face2Check-in, подтверждение возраста, доступ к ПК, SDK</w:t>
            </w:r>
          </w:p>
        </w:tc>
        <w:tc>
          <w:tcPr>
            <w:tcW w:w="348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Возможность закрыть несколько задач одним поставщиком</w:t>
            </w:r>
          </w:p>
        </w:tc>
      </w:tr>
      <w:tr>
        <w:trPr>
          <w:cantSplit/>
        </w:trPr>
        <w:tc>
          <w:tcPr>
            <w:tcW w:w="214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Банковская экспертиза</w:t>
            </w:r>
          </w:p>
        </w:tc>
        <w:tc>
          <w:tcPr>
            <w:tcW w:w="401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Связь с Ак Барс Банком и внутренний кейс внедрения (5 тыс. сотрудников, около 200 биотерминалов)</w:t>
            </w:r>
          </w:p>
        </w:tc>
        <w:tc>
          <w:tcPr>
            <w:tcW w:w="348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Повышение надёжности и доверия</w:t>
            </w:r>
          </w:p>
        </w:tc>
      </w:tr>
      <w:tr>
        <w:trPr>
          <w:cantSplit/>
        </w:trPr>
        <w:tc>
          <w:tcPr>
            <w:tcW w:w="214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Отечественное решение</w:t>
            </w:r>
          </w:p>
        </w:tc>
        <w:tc>
          <w:tcPr>
            <w:tcW w:w="401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Российское программное обеспечение и терминалы, реестр Минцифры</w:t>
            </w:r>
          </w:p>
        </w:tc>
        <w:tc>
          <w:tcPr>
            <w:tcW w:w="348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Соответствие курсу на импортозамещение</w:t>
            </w:r>
          </w:p>
        </w:tc>
      </w:tr>
      <w:tr>
        <w:trPr>
          <w:cantSplit/>
        </w:trPr>
        <w:tc>
          <w:tcPr>
            <w:tcW w:w="214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Практическая эффективность</w:t>
            </w:r>
          </w:p>
        </w:tc>
        <w:tc>
          <w:tcPr>
            <w:tcW w:w="401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Ускорение процессов, контроль доступа, снижение рисков</w:t>
            </w:r>
          </w:p>
        </w:tc>
        <w:tc>
          <w:tcPr>
            <w:tcW w:w="348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Экономическая и организационная выгода</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по данным [16, с. 43–48; 24, с. 100–110; 25, с. 112–115; 27; 26, с. 33; 1; 36; 35; 39; 37; 28; 29].</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Таким образом, стратегическое позиционирование Face2 строится не только на технологической новизне, но и на сочетании пяти факторов: законности, безопасности, комплексности, банковской экспертизы и отечественного происхождения. Эти факторы выделяют Face2 среди конкурентов, зафиксированных в таблице 2.2.6 (VisionLabs, OVISION, Сбер), и формируют основу для отраслевых ценностных предложений из таблицы 3.1.3.</w:t>
      </w:r>
    </w:p>
    <w:p>
      <w:pPr>
        <w:keepNext/>
        <w:keepLines/>
        <w:spacing w:before="200" w:after="120" w:line="36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8"/>
          <w:szCs w:val="28"/>
          <w:lang w:val="ru-RU"/>
        </w:rPr>
        <w:t xml:space="preserve">3.1.5. Обоснование выбранного типа стратегии продвижения</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Из четырёх альтернативных типов стратегии (push, pull, интегрированная, партнёрская — таблица 1.2.2) для Face2 выбирается интегрированная push-pull-стратегия с асимметричным усилением pull-контура на втором уровне продаж и сохранением сильного push-контура на первом. Чисто push-стратегия лишь усиливает уже сильный контур и не закрывает канальный, географический и конверсионный пробелы; чисто pull-стратегия требует ресурсов уровня Сбера и не учитывает первичности B2B-согласований для биометрии (параграф 1.3); партнёрская стратегия у Face2 уже работает и не снимает асимметрию.</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Развилка по уровням продаж: на первом уровне (КБС под ключ аккредитованным операторам) сохраняется push-контур с длительным циклом согласований и персональными продажами; на втором уровне (Face2Pay, Face2Pass, Face2Check-in) разворачивается pull-контур через цифровые каналы, контент-маркетинг и работу с ранними последователями. Такая конфигурация конвертирует уже накопленный институциональный капитал банка (регуляторное преимущество, стаж в ЕБС с 2018 года, банковская экосистема, более 10 млн пользователей ЕБС [27; 32; 39]) в массовое сообщение и массовый канал без размывания регуляторного позиционирования и без инвестиций в собственный B2C-маркетинг федерального масштаба.</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Вывод по параграфу 3.1. Стратегия продвижения Face2 на горизонте 2026–2028 годов — интегрированная push-pull-стратегия с асимметричным усилением pull-контура на втором уровне продаж. Она закрывает три кластера пробелов таблицы 2.3.6, опирается на сильные стороны Face2 по таблице 2.2.6 и нацелена на трёхкратное увеличение подтверждённых внешних внедрений к базе 2025 года при доведении доли pull-канала до уровня, сопоставимого с push. Слоган-якорь «Биометрия по закону, банковский уровень доверия» переводит регуляторный капитал в массовое сообщение. Содержательное наполнение разрабатывается в параграфе 3.2, проверка эффективности — в параграфе 3.3.</w:t>
      </w:r>
    </w:p>
    <w:p>
      <w:pPr>
        <w:keepNext/>
        <w:keepLines/>
        <w:spacing w:before="200" w:after="120" w:line="36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8"/>
          <w:szCs w:val="28"/>
          <w:lang w:val="ru-RU"/>
        </w:rPr>
        <w:t xml:space="preserve">3.2. Разработка комплекса маркетинговых мероприятий по продвижению Face2</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Настоящий параграф переводит стратегические направления, сегментирование и позиционирование, обоснованные в параграфе 3.1, в комплекс конкретных мероприятий по логике «направления → офферы → каналы → контент и PR → этапы внедрения → бюджет» [18, с. 5; 8, с. 412; 10, с. 156]. Каждое мероприятие имеет адресный пробел из таблицы 2.3.6, который оно закрывает, и адресную задачу из таблицы 3.1.2, которую оно решает.</w:t>
      </w:r>
    </w:p>
    <w:p>
      <w:pPr>
        <w:keepNext/>
        <w:keepLines/>
        <w:spacing w:before="200" w:after="120" w:line="36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8"/>
          <w:szCs w:val="28"/>
          <w:lang w:val="ru-RU"/>
        </w:rPr>
        <w:t xml:space="preserve">3.2.1. Стратегические направления продвижения по сегментам и уровням продаж</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Двухуровневая модель продаж Face2 (таблица 2.1.4) предполагает, что стратегические направления не могут быть едиными для всех сегментов: длительный цикл КБС-проектов уровня 1 несовместим с массовой коммуникацией, а транзакционная экономика подключений уровня 2 — с режимом единичных персональных продаж [27; 28; 29]. Выделяются три направления продвижения — А (push в B2B длинного цикла, уровень 1), Б (pull в B2B/B2G короткого цикла, уровень 2) и В (B2C-слой как подложка к уровню 2, реализующий теорию диффузии Э. Роджерса для ранних последователей и раннего большинства [14, с. 156, 161]). Сводная характеристика дана в таблице 3.2.1.</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3.2.1</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Стратегические направления продвижения Face2 по сегментам и уровням продаж</w:t>
      </w:r>
    </w:p>
    <w:tbl>
      <w:tblPr>
        <w:tblW w:w="9635"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894"/>
        <w:gridCol w:w="1583"/>
        <w:gridCol w:w="2065"/>
        <w:gridCol w:w="963"/>
        <w:gridCol w:w="1239"/>
        <w:gridCol w:w="2065"/>
        <w:gridCol w:w="826"/>
      </w:tblGrid>
      <w:tr>
        <w:trPr>
          <w:tblHeader/>
          <w:cantSplit/>
        </w:trPr>
        <w:tc>
          <w:tcPr>
            <w:tcW w:w="894"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Направление</w:t>
            </w:r>
          </w:p>
        </w:tc>
        <w:tc>
          <w:tcPr>
            <w:tcW w:w="1583"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Уровень продаж</w:t>
            </w:r>
          </w:p>
        </w:tc>
        <w:tc>
          <w:tcPr>
            <w:tcW w:w="2065"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Аудитория</w:t>
            </w:r>
          </w:p>
        </w:tc>
        <w:tc>
          <w:tcPr>
            <w:tcW w:w="963"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Цикл сделки</w:t>
            </w:r>
          </w:p>
        </w:tc>
        <w:tc>
          <w:tcPr>
            <w:tcW w:w="1239"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Тип коммуникации</w:t>
            </w:r>
          </w:p>
        </w:tc>
        <w:tc>
          <w:tcPr>
            <w:tcW w:w="2065"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Точки входа в воронку</w:t>
            </w:r>
          </w:p>
        </w:tc>
        <w:tc>
          <w:tcPr>
            <w:tcW w:w="826"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Закрываемые задачи 3.1.2</w:t>
            </w:r>
          </w:p>
        </w:tc>
      </w:tr>
      <w:tr>
        <w:trPr>
          <w:cantSplit/>
        </w:trPr>
        <w:tc>
          <w:tcPr>
            <w:tcW w:w="89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А. B2B длинного цикла</w:t>
            </w:r>
          </w:p>
        </w:tc>
        <w:tc>
          <w:tcPr>
            <w:tcW w:w="158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Уровень 1 (КБС под ключ)</w:t>
            </w:r>
          </w:p>
        </w:tc>
        <w:tc>
          <w:tcPr>
            <w:tcW w:w="206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Банки, МФО, госструктуры федерального и регионального уровня, крупные корпорации</w:t>
            </w:r>
          </w:p>
        </w:tc>
        <w:tc>
          <w:tcPr>
            <w:tcW w:w="96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1–4 квартала</w:t>
            </w:r>
          </w:p>
        </w:tc>
        <w:tc>
          <w:tcPr>
            <w:tcW w:w="123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Push + партнёрская</w:t>
            </w:r>
          </w:p>
        </w:tc>
        <w:tc>
          <w:tcPr>
            <w:tcW w:w="206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Персональные продажи, отраслевые конференции, экспертные публикации, демо-зона АББ</w:t>
            </w:r>
          </w:p>
        </w:tc>
        <w:tc>
          <w:tcPr>
            <w:tcW w:w="82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а), в), д)</w:t>
            </w:r>
          </w:p>
        </w:tc>
      </w:tr>
      <w:tr>
        <w:trPr>
          <w:cantSplit/>
        </w:trPr>
        <w:tc>
          <w:tcPr>
            <w:tcW w:w="89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Б. B2B/B2G короткого цикла</w:t>
            </w:r>
          </w:p>
        </w:tc>
        <w:tc>
          <w:tcPr>
            <w:tcW w:w="158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Уровень 2 (Face2Pay, Face2Pass, Face2Check-in)</w:t>
            </w:r>
          </w:p>
        </w:tc>
        <w:tc>
          <w:tcPr>
            <w:tcW w:w="206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Ритейл, вендинг, транспорт, БЦ, вузы, гостиницы, промпредприятия, аэропорты, спортивные объекты</w:t>
            </w:r>
          </w:p>
        </w:tc>
        <w:tc>
          <w:tcPr>
            <w:tcW w:w="96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2–8 недель</w:t>
            </w:r>
          </w:p>
        </w:tc>
        <w:tc>
          <w:tcPr>
            <w:tcW w:w="123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Pull + типовое отраслевое предложение</w:t>
            </w:r>
          </w:p>
        </w:tc>
        <w:tc>
          <w:tcPr>
            <w:tcW w:w="206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Цифровые каналы, партнёрские маркетплейсы, CTA-механика на face2.ru</w:t>
            </w:r>
          </w:p>
        </w:tc>
        <w:tc>
          <w:tcPr>
            <w:tcW w:w="82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б), г), е)</w:t>
            </w:r>
          </w:p>
        </w:tc>
      </w:tr>
      <w:tr>
        <w:trPr>
          <w:cantSplit/>
        </w:trPr>
        <w:tc>
          <w:tcPr>
            <w:tcW w:w="89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 B2C-слой</w:t>
            </w:r>
          </w:p>
        </w:tc>
        <w:tc>
          <w:tcPr>
            <w:tcW w:w="158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Подложка к уровню 2</w:t>
            </w:r>
          </w:p>
        </w:tc>
        <w:tc>
          <w:tcPr>
            <w:tcW w:w="206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Конечные пользователи Face2Pay, Face2Check-in, Face2Pass</w:t>
            </w:r>
          </w:p>
        </w:tc>
        <w:tc>
          <w:tcPr>
            <w:tcW w:w="96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Транзакция (секунды — минуты)</w:t>
            </w:r>
          </w:p>
        </w:tc>
        <w:tc>
          <w:tcPr>
            <w:tcW w:w="123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Pull + точка контакта</w:t>
            </w:r>
          </w:p>
        </w:tc>
        <w:tc>
          <w:tcPr>
            <w:tcW w:w="206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Терминал, приложение АБО, «Карта жителя РТ», массовые СМИ</w:t>
            </w:r>
          </w:p>
        </w:tc>
        <w:tc>
          <w:tcPr>
            <w:tcW w:w="82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 г), ё)</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на основе таблиц 2.1.4, 3.1.2, 3.1.3, [11, с. 567; 16, с. 48; 24, с. 106; 6, с. 87; 8, с. 567; 10, с. 198; 14, с. 156, 161].</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Три направления закрывают разные кластеры пробелов 2.3.6: А и Б — канальный (разведение push/pull по уровням продаж), Б и В — сегментный (гостиничный, возрастная верификация, B2C) и географический (выход за пределы Республики Татарстан через цифровые каналы и массовые СМИ).</w:t>
      </w:r>
    </w:p>
    <w:p>
      <w:pPr>
        <w:keepNext/>
        <w:keepLines/>
        <w:spacing w:before="200" w:after="120" w:line="36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8"/>
          <w:szCs w:val="28"/>
          <w:lang w:val="ru-RU"/>
        </w:rPr>
        <w:t xml:space="preserve">3.2.2. Отраслевые офферы для целевых сегментов</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Принцип «один сегмент — одно ценностное предложение» [5, с. 124; 8, с. 318] требует от стратегии Face2 матрицы из шести офферов с собственным ценностным предложением, ключевым сообщением, количественной аргументацией и форматом коммерческого предложения для каждого сегмента из таблицы 3.1.3. Это закрывает контентный пробел 2 (регуляторный капитал переводится в массовое сообщение раздельно по сегментам) и сегментный пробел 3 таблицы 2.3.6.</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3.2.2</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Отраслевые офферы Face2 для шести приоритетных сегментов</w:t>
      </w:r>
    </w:p>
    <w:tbl>
      <w:tblPr>
        <w:tblW w:w="9636"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109"/>
        <w:gridCol w:w="2080"/>
        <w:gridCol w:w="2010"/>
        <w:gridCol w:w="2080"/>
        <w:gridCol w:w="1525"/>
        <w:gridCol w:w="832"/>
      </w:tblGrid>
      <w:tr>
        <w:trPr>
          <w:tblHeader/>
          <w:cantSplit/>
        </w:trPr>
        <w:tc>
          <w:tcPr>
            <w:tcW w:w="1109"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Сегмент</w:t>
            </w:r>
          </w:p>
        </w:tc>
        <w:tc>
          <w:tcPr>
            <w:tcW w:w="2080"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Ценностное предложение</w:t>
            </w:r>
          </w:p>
        </w:tc>
        <w:tc>
          <w:tcPr>
            <w:tcW w:w="2010"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Ключевое сообщение</w:t>
            </w:r>
          </w:p>
        </w:tc>
        <w:tc>
          <w:tcPr>
            <w:tcW w:w="2080"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Количественные аргументы</w:t>
            </w:r>
          </w:p>
        </w:tc>
        <w:tc>
          <w:tcPr>
            <w:tcW w:w="1525"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Формат КП</w:t>
            </w:r>
          </w:p>
        </w:tc>
        <w:tc>
          <w:tcPr>
            <w:tcW w:w="832"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Закрываемые пробелы 2.3.6</w:t>
            </w:r>
          </w:p>
        </w:tc>
      </w:tr>
      <w:tr>
        <w:trPr>
          <w:cantSplit/>
        </w:trPr>
        <w:tc>
          <w:tcPr>
            <w:tcW w:w="110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Банки и МФО</w:t>
            </w:r>
          </w:p>
        </w:tc>
        <w:tc>
          <w:tcPr>
            <w:tcW w:w="208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КБС под ключ от регионального банка с банковской экспертизой</w:t>
            </w:r>
          </w:p>
        </w:tc>
        <w:tc>
          <w:tcPr>
            <w:tcW w:w="201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«Безопасность и соответствие 572-ФЗ»</w:t>
            </w:r>
          </w:p>
        </w:tc>
        <w:tc>
          <w:tcPr>
            <w:tcW w:w="208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Одна из 16 аккредитованных КБС в РФ; стаж в ЕБС с 2018 г.; 5 тыс. сотрудников и 200 биотерминалов; № 101 в перечне Банка России</w:t>
            </w:r>
          </w:p>
        </w:tc>
        <w:tc>
          <w:tcPr>
            <w:tcW w:w="152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Экспертная встреча + RFP + демо + ТЭО</w:t>
            </w:r>
          </w:p>
        </w:tc>
        <w:tc>
          <w:tcPr>
            <w:tcW w:w="83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2, 5</w:t>
            </w:r>
          </w:p>
        </w:tc>
      </w:tr>
      <w:tr>
        <w:trPr>
          <w:cantSplit/>
        </w:trPr>
        <w:tc>
          <w:tcPr>
            <w:tcW w:w="110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Ритейл и вендинг</w:t>
            </w:r>
          </w:p>
        </w:tc>
        <w:tc>
          <w:tcPr>
            <w:tcW w:w="208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Биоэквайринг и возрастная верификация без аккредитации заказчика</w:t>
            </w:r>
          </w:p>
        </w:tc>
        <w:tc>
          <w:tcPr>
            <w:tcW w:w="201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«Платёж лицом — быстрее, чем картой и QR»</w:t>
            </w:r>
          </w:p>
        </w:tc>
        <w:tc>
          <w:tcPr>
            <w:tcW w:w="208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770 руб. среднего чека; 145,9 млн платежей в РФ за 9 мес. 2025 г.</w:t>
            </w:r>
          </w:p>
        </w:tc>
        <w:tc>
          <w:tcPr>
            <w:tcW w:w="152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Типовое КП + онлайн-заявка</w:t>
            </w:r>
          </w:p>
        </w:tc>
        <w:tc>
          <w:tcPr>
            <w:tcW w:w="83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3, 6</w:t>
            </w:r>
          </w:p>
        </w:tc>
      </w:tr>
      <w:tr>
        <w:trPr>
          <w:cantSplit/>
        </w:trPr>
        <w:tc>
          <w:tcPr>
            <w:tcW w:w="110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Транспорт</w:t>
            </w:r>
          </w:p>
        </w:tc>
        <w:tc>
          <w:tcPr>
            <w:tcW w:w="208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Оплата проезда лицом — кейс Казанского метро</w:t>
            </w:r>
          </w:p>
        </w:tc>
        <w:tc>
          <w:tcPr>
            <w:tcW w:w="201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«Уже работает в одной из крупнейших транспортных систем РФ»</w:t>
            </w:r>
          </w:p>
        </w:tc>
        <w:tc>
          <w:tcPr>
            <w:tcW w:w="208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Партнёрство с Минцифры, Минтрансом, ЦБТ, НСПК; 145,9 млн платежей</w:t>
            </w:r>
          </w:p>
        </w:tc>
        <w:tc>
          <w:tcPr>
            <w:tcW w:w="152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Пилот с региональным оператором и Минтрансом</w:t>
            </w:r>
          </w:p>
        </w:tc>
        <w:tc>
          <w:tcPr>
            <w:tcW w:w="83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3, 4</w:t>
            </w:r>
          </w:p>
        </w:tc>
      </w:tr>
      <w:tr>
        <w:trPr>
          <w:cantSplit/>
        </w:trPr>
        <w:tc>
          <w:tcPr>
            <w:tcW w:w="110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Гостиницы, массовые объекты</w:t>
            </w:r>
          </w:p>
        </w:tc>
        <w:tc>
          <w:tcPr>
            <w:tcW w:w="208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Заселение и проход без паспорта по вектору ЕБС</w:t>
            </w:r>
          </w:p>
        </w:tc>
        <w:tc>
          <w:tcPr>
            <w:tcW w:w="201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«50+ млн векторов полезной базы ЕБС — ваши гости тоже»</w:t>
            </w:r>
          </w:p>
        </w:tc>
        <w:tc>
          <w:tcPr>
            <w:tcW w:w="208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119 млн векторов в ГИС ЕБС на 31.12.2025; полезная база &gt; 50 млн; десятикратный рост за 2024–2025 гг.; сокращение времени заселения</w:t>
            </w:r>
          </w:p>
        </w:tc>
        <w:tc>
          <w:tcPr>
            <w:tcW w:w="152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Типовое КП</w:t>
            </w:r>
          </w:p>
        </w:tc>
        <w:tc>
          <w:tcPr>
            <w:tcW w:w="83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3, 8</w:t>
            </w:r>
          </w:p>
        </w:tc>
      </w:tr>
      <w:tr>
        <w:trPr>
          <w:cantSplit/>
        </w:trPr>
        <w:tc>
          <w:tcPr>
            <w:tcW w:w="110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Промпредприятия, БЦ, вузы</w:t>
            </w:r>
          </w:p>
        </w:tc>
        <w:tc>
          <w:tcPr>
            <w:tcW w:w="208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СКУД на лицах через ЕБС</w:t>
            </w:r>
          </w:p>
        </w:tc>
        <w:tc>
          <w:tcPr>
            <w:tcW w:w="201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«Карты и пропуска можно списать»</w:t>
            </w:r>
          </w:p>
        </w:tc>
        <w:tc>
          <w:tcPr>
            <w:tcW w:w="208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Внутренний кейс АББ; снижение операционных рисков</w:t>
            </w:r>
          </w:p>
        </w:tc>
        <w:tc>
          <w:tcPr>
            <w:tcW w:w="152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Типовое КП + опц. пилот</w:t>
            </w:r>
          </w:p>
        </w:tc>
        <w:tc>
          <w:tcPr>
            <w:tcW w:w="83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3, 7</w:t>
            </w:r>
          </w:p>
        </w:tc>
      </w:tr>
      <w:tr>
        <w:trPr>
          <w:cantSplit/>
        </w:trPr>
        <w:tc>
          <w:tcPr>
            <w:tcW w:w="110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Госучреждения, МФЦ</w:t>
            </w:r>
          </w:p>
        </w:tc>
        <w:tc>
          <w:tcPr>
            <w:tcW w:w="208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Идентификация граждан без документов</w:t>
            </w:r>
          </w:p>
        </w:tc>
        <w:tc>
          <w:tcPr>
            <w:tcW w:w="201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«Цифровизация без потери юридической силы»</w:t>
            </w:r>
          </w:p>
        </w:tc>
        <w:tc>
          <w:tcPr>
            <w:tcW w:w="208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450 131 «Карта жителя РТ»; 5-уровневый регуляторный контур</w:t>
            </w:r>
          </w:p>
        </w:tc>
        <w:tc>
          <w:tcPr>
            <w:tcW w:w="152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Пилот в субъекте → тиражирование</w:t>
            </w:r>
          </w:p>
        </w:tc>
        <w:tc>
          <w:tcPr>
            <w:tcW w:w="83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3, 4, 8</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на основе таблиц 2.2.2, 3.1.3, [5, с. 124; 8, с. 318; 27; 26, с. 29, 33; 35; 32; 39; 37; 34; 28; 29], а также по предоставленным компанией данным.</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Матрица решает три задачи: переводит регуляторный капитал в шесть сообщений, понятных операционному менеджменту конкретных сегментов; фиксирует количественную доказательную базу для каждого оффера; дифференцирует формат КП — от экспертной встречи с RFP в банковском сегменте до онлайн-заявки в ритейле.</w:t>
      </w:r>
    </w:p>
    <w:p>
      <w:pPr>
        <w:keepNext/>
        <w:keepLines/>
        <w:spacing w:before="200" w:after="120" w:line="36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8"/>
          <w:szCs w:val="28"/>
          <w:lang w:val="ru-RU"/>
        </w:rPr>
        <w:t xml:space="preserve">3.2.3. Каналы продвижения продукта</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Канальная структура Face2 формируется как ответ на канальный (1), географический (8) и конверсионный (6) пробелы таблицы 2.3.6. Принципиальное решение — сохранение сильного push-контура (внутренний контур банка, партнёрские каналы федерального уровня, демонстрационные каналы в Республике Татарстан, инвентаризированные в таблице 2.3.2) и достройка pull-контура за счёт четырёх канальных групп: цифровых каналов, экспертных офлайн-каналов, партнёрских каналов и банковской экосистемы как самостоятельного канала. Целевая структура представлена в таблице 3.2.3.</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3.2.3</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Целевая канальная структура продвижения Face2</w:t>
      </w:r>
    </w:p>
    <w:tbl>
      <w:tblPr>
        <w:tblW w:w="9634"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753"/>
        <w:gridCol w:w="2888"/>
        <w:gridCol w:w="662"/>
        <w:gridCol w:w="1547"/>
        <w:gridCol w:w="1547"/>
        <w:gridCol w:w="1237"/>
      </w:tblGrid>
      <w:tr>
        <w:trPr>
          <w:tblHeader/>
          <w:cantSplit/>
        </w:trPr>
        <w:tc>
          <w:tcPr>
            <w:tcW w:w="1753"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Группа каналов</w:t>
            </w:r>
          </w:p>
        </w:tc>
        <w:tc>
          <w:tcPr>
            <w:tcW w:w="2888"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Канал</w:t>
            </w:r>
          </w:p>
        </w:tc>
        <w:tc>
          <w:tcPr>
            <w:tcW w:w="662"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Тип</w:t>
            </w:r>
          </w:p>
        </w:tc>
        <w:tc>
          <w:tcPr>
            <w:tcW w:w="1547"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Обслуживаемое направление 3.2.1</w:t>
            </w:r>
          </w:p>
        </w:tc>
        <w:tc>
          <w:tcPr>
            <w:tcW w:w="1547"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Этап воронки</w:t>
            </w:r>
          </w:p>
        </w:tc>
        <w:tc>
          <w:tcPr>
            <w:tcW w:w="1237"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Закрываемый пробел 2.3.6</w:t>
            </w:r>
          </w:p>
        </w:tc>
      </w:tr>
      <w:tr>
        <w:trPr>
          <w:cantSplit/>
        </w:trPr>
        <w:tc>
          <w:tcPr>
            <w:tcW w:w="175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Цифровые</w:t>
            </w:r>
          </w:p>
        </w:tc>
        <w:tc>
          <w:tcPr>
            <w:tcW w:w="288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face2.ru с CTA-механикой</w:t>
            </w:r>
          </w:p>
        </w:tc>
        <w:tc>
          <w:tcPr>
            <w:tcW w:w="66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Pull</w:t>
            </w:r>
          </w:p>
        </w:tc>
        <w:tc>
          <w:tcPr>
            <w:tcW w:w="154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Б, В</w:t>
            </w:r>
          </w:p>
        </w:tc>
        <w:tc>
          <w:tcPr>
            <w:tcW w:w="154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Интерес → Доверие → Пилот</w:t>
            </w:r>
          </w:p>
        </w:tc>
        <w:tc>
          <w:tcPr>
            <w:tcW w:w="123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1, 6</w:t>
            </w:r>
          </w:p>
        </w:tc>
      </w:tr>
      <w:tr>
        <w:trPr>
          <w:cantSplit/>
        </w:trPr>
        <w:tc>
          <w:tcPr>
            <w:tcW w:w="175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Цифровые</w:t>
            </w:r>
          </w:p>
        </w:tc>
        <w:tc>
          <w:tcPr>
            <w:tcW w:w="288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Контекстная реклама в «Яндексе»</w:t>
            </w:r>
          </w:p>
        </w:tc>
        <w:tc>
          <w:tcPr>
            <w:tcW w:w="66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Pull</w:t>
            </w:r>
          </w:p>
        </w:tc>
        <w:tc>
          <w:tcPr>
            <w:tcW w:w="154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Б</w:t>
            </w:r>
          </w:p>
        </w:tc>
        <w:tc>
          <w:tcPr>
            <w:tcW w:w="154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Осведомлённость → Интерес</w:t>
            </w:r>
          </w:p>
        </w:tc>
        <w:tc>
          <w:tcPr>
            <w:tcW w:w="123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w:t>
            </w:r>
          </w:p>
        </w:tc>
      </w:tr>
      <w:tr>
        <w:trPr>
          <w:cantSplit/>
        </w:trPr>
        <w:tc>
          <w:tcPr>
            <w:tcW w:w="175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Цифровые</w:t>
            </w:r>
          </w:p>
        </w:tc>
        <w:tc>
          <w:tcPr>
            <w:tcW w:w="288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Соцсети Face2 (Telegram, ВКонтакте, Habr)</w:t>
            </w:r>
          </w:p>
        </w:tc>
        <w:tc>
          <w:tcPr>
            <w:tcW w:w="66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Pull</w:t>
            </w:r>
          </w:p>
        </w:tc>
        <w:tc>
          <w:tcPr>
            <w:tcW w:w="154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А, Б, В</w:t>
            </w:r>
          </w:p>
        </w:tc>
        <w:tc>
          <w:tcPr>
            <w:tcW w:w="154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Осведомлённость → Доверие</w:t>
            </w:r>
          </w:p>
        </w:tc>
        <w:tc>
          <w:tcPr>
            <w:tcW w:w="123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1, 2, 5</w:t>
            </w:r>
          </w:p>
        </w:tc>
      </w:tr>
      <w:tr>
        <w:trPr>
          <w:cantSplit/>
        </w:trPr>
        <w:tc>
          <w:tcPr>
            <w:tcW w:w="175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Цифровые</w:t>
            </w:r>
          </w:p>
        </w:tc>
        <w:tc>
          <w:tcPr>
            <w:tcW w:w="288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Email-маркетинг</w:t>
            </w:r>
          </w:p>
        </w:tc>
        <w:tc>
          <w:tcPr>
            <w:tcW w:w="66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Pull</w:t>
            </w:r>
          </w:p>
        </w:tc>
        <w:tc>
          <w:tcPr>
            <w:tcW w:w="154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А, Б</w:t>
            </w:r>
          </w:p>
        </w:tc>
        <w:tc>
          <w:tcPr>
            <w:tcW w:w="154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Интерес → Доверие</w:t>
            </w:r>
          </w:p>
        </w:tc>
        <w:tc>
          <w:tcPr>
            <w:tcW w:w="123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1, 7</w:t>
            </w:r>
          </w:p>
        </w:tc>
      </w:tr>
      <w:tr>
        <w:trPr>
          <w:cantSplit/>
        </w:trPr>
        <w:tc>
          <w:tcPr>
            <w:tcW w:w="175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Офлайн-экспертные</w:t>
            </w:r>
          </w:p>
        </w:tc>
        <w:tc>
          <w:tcPr>
            <w:tcW w:w="288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Отраслевые конференции (FINOPOLIS, CIPR и др.)</w:t>
            </w:r>
          </w:p>
        </w:tc>
        <w:tc>
          <w:tcPr>
            <w:tcW w:w="66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Push</w:t>
            </w:r>
          </w:p>
        </w:tc>
        <w:tc>
          <w:tcPr>
            <w:tcW w:w="154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А</w:t>
            </w:r>
          </w:p>
        </w:tc>
        <w:tc>
          <w:tcPr>
            <w:tcW w:w="154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Доверие → Пилот</w:t>
            </w:r>
          </w:p>
        </w:tc>
        <w:tc>
          <w:tcPr>
            <w:tcW w:w="123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сохранение push</w:t>
            </w:r>
          </w:p>
        </w:tc>
      </w:tr>
      <w:tr>
        <w:trPr>
          <w:cantSplit/>
        </w:trPr>
        <w:tc>
          <w:tcPr>
            <w:tcW w:w="175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Офлайн-экспертные</w:t>
            </w:r>
          </w:p>
        </w:tc>
        <w:tc>
          <w:tcPr>
            <w:tcW w:w="288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Демонстрационная зона АББ</w:t>
            </w:r>
          </w:p>
        </w:tc>
        <w:tc>
          <w:tcPr>
            <w:tcW w:w="66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Push</w:t>
            </w:r>
          </w:p>
        </w:tc>
        <w:tc>
          <w:tcPr>
            <w:tcW w:w="154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А</w:t>
            </w:r>
          </w:p>
        </w:tc>
        <w:tc>
          <w:tcPr>
            <w:tcW w:w="154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Доверие → Пилот</w:t>
            </w:r>
          </w:p>
        </w:tc>
        <w:tc>
          <w:tcPr>
            <w:tcW w:w="123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4</w:t>
            </w:r>
          </w:p>
        </w:tc>
      </w:tr>
      <w:tr>
        <w:trPr>
          <w:cantSplit/>
        </w:trPr>
        <w:tc>
          <w:tcPr>
            <w:tcW w:w="175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Офлайн-экспертные</w:t>
            </w:r>
          </w:p>
        </w:tc>
        <w:tc>
          <w:tcPr>
            <w:tcW w:w="288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Закрытые экспертные встречи</w:t>
            </w:r>
          </w:p>
        </w:tc>
        <w:tc>
          <w:tcPr>
            <w:tcW w:w="66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Push</w:t>
            </w:r>
          </w:p>
        </w:tc>
        <w:tc>
          <w:tcPr>
            <w:tcW w:w="154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А</w:t>
            </w:r>
          </w:p>
        </w:tc>
        <w:tc>
          <w:tcPr>
            <w:tcW w:w="154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Пилот → Принятие</w:t>
            </w:r>
          </w:p>
        </w:tc>
        <w:tc>
          <w:tcPr>
            <w:tcW w:w="123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сохранение push</w:t>
            </w:r>
          </w:p>
        </w:tc>
      </w:tr>
      <w:tr>
        <w:trPr>
          <w:cantSplit/>
        </w:trPr>
        <w:tc>
          <w:tcPr>
            <w:tcW w:w="175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Партнёрские</w:t>
            </w:r>
          </w:p>
        </w:tc>
        <w:tc>
          <w:tcPr>
            <w:tcW w:w="288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Интеграторы</w:t>
            </w:r>
          </w:p>
        </w:tc>
        <w:tc>
          <w:tcPr>
            <w:tcW w:w="66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Push</w:t>
            </w:r>
          </w:p>
        </w:tc>
        <w:tc>
          <w:tcPr>
            <w:tcW w:w="154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Б</w:t>
            </w:r>
          </w:p>
        </w:tc>
        <w:tc>
          <w:tcPr>
            <w:tcW w:w="154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Интерес → Пилот</w:t>
            </w:r>
          </w:p>
        </w:tc>
        <w:tc>
          <w:tcPr>
            <w:tcW w:w="123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w:t>
            </w:r>
          </w:p>
        </w:tc>
      </w:tr>
      <w:tr>
        <w:trPr>
          <w:cantSplit/>
        </w:trPr>
        <w:tc>
          <w:tcPr>
            <w:tcW w:w="175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Партнёрские</w:t>
            </w:r>
          </w:p>
        </w:tc>
        <w:tc>
          <w:tcPr>
            <w:tcW w:w="288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Вендоры оборудования</w:t>
            </w:r>
          </w:p>
        </w:tc>
        <w:tc>
          <w:tcPr>
            <w:tcW w:w="66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Push</w:t>
            </w:r>
          </w:p>
        </w:tc>
        <w:tc>
          <w:tcPr>
            <w:tcW w:w="154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Б</w:t>
            </w:r>
          </w:p>
        </w:tc>
        <w:tc>
          <w:tcPr>
            <w:tcW w:w="154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Интерес → Пилот</w:t>
            </w:r>
          </w:p>
        </w:tc>
        <w:tc>
          <w:tcPr>
            <w:tcW w:w="123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w:t>
            </w:r>
          </w:p>
        </w:tc>
      </w:tr>
      <w:tr>
        <w:trPr>
          <w:cantSplit/>
        </w:trPr>
        <w:tc>
          <w:tcPr>
            <w:tcW w:w="175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Партнёрские</w:t>
            </w:r>
          </w:p>
        </w:tc>
        <w:tc>
          <w:tcPr>
            <w:tcW w:w="288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Государственные партнёры (Минцифры, Минтранс, ЦБТ, НСПК)</w:t>
            </w:r>
          </w:p>
        </w:tc>
        <w:tc>
          <w:tcPr>
            <w:tcW w:w="66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Push</w:t>
            </w:r>
          </w:p>
        </w:tc>
        <w:tc>
          <w:tcPr>
            <w:tcW w:w="154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А, B2G</w:t>
            </w:r>
          </w:p>
        </w:tc>
        <w:tc>
          <w:tcPr>
            <w:tcW w:w="154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Доверие → Пилот</w:t>
            </w:r>
          </w:p>
        </w:tc>
        <w:tc>
          <w:tcPr>
            <w:tcW w:w="123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4</w:t>
            </w:r>
          </w:p>
        </w:tc>
      </w:tr>
      <w:tr>
        <w:trPr>
          <w:cantSplit/>
        </w:trPr>
        <w:tc>
          <w:tcPr>
            <w:tcW w:w="175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Экосистемные</w:t>
            </w:r>
          </w:p>
        </w:tc>
        <w:tc>
          <w:tcPr>
            <w:tcW w:w="288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Мобильное приложение АБО АББ (930 тыс. пользователей)</w:t>
            </w:r>
          </w:p>
        </w:tc>
        <w:tc>
          <w:tcPr>
            <w:tcW w:w="66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Pull</w:t>
            </w:r>
          </w:p>
        </w:tc>
        <w:tc>
          <w:tcPr>
            <w:tcW w:w="154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w:t>
            </w:r>
          </w:p>
        </w:tc>
        <w:tc>
          <w:tcPr>
            <w:tcW w:w="154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Осведомлённость → Доверие</w:t>
            </w:r>
          </w:p>
        </w:tc>
        <w:tc>
          <w:tcPr>
            <w:tcW w:w="123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8</w:t>
            </w:r>
          </w:p>
        </w:tc>
      </w:tr>
      <w:tr>
        <w:trPr>
          <w:cantSplit/>
        </w:trPr>
        <w:tc>
          <w:tcPr>
            <w:tcW w:w="175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Экосистемные</w:t>
            </w:r>
          </w:p>
        </w:tc>
        <w:tc>
          <w:tcPr>
            <w:tcW w:w="288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«Карта жителя РТ» (450 131 карта)</w:t>
            </w:r>
          </w:p>
        </w:tc>
        <w:tc>
          <w:tcPr>
            <w:tcW w:w="66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Pull</w:t>
            </w:r>
          </w:p>
        </w:tc>
        <w:tc>
          <w:tcPr>
            <w:tcW w:w="154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w:t>
            </w:r>
          </w:p>
        </w:tc>
        <w:tc>
          <w:tcPr>
            <w:tcW w:w="154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Осведомлённость → Доверие</w:t>
            </w:r>
          </w:p>
        </w:tc>
        <w:tc>
          <w:tcPr>
            <w:tcW w:w="123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8</w:t>
            </w:r>
          </w:p>
        </w:tc>
      </w:tr>
      <w:tr>
        <w:trPr>
          <w:cantSplit/>
        </w:trPr>
        <w:tc>
          <w:tcPr>
            <w:tcW w:w="175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Экосистемные</w:t>
            </w:r>
          </w:p>
        </w:tc>
        <w:tc>
          <w:tcPr>
            <w:tcW w:w="288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Сеть из 166 офисов АББ</w:t>
            </w:r>
          </w:p>
        </w:tc>
        <w:tc>
          <w:tcPr>
            <w:tcW w:w="66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Pull</w:t>
            </w:r>
          </w:p>
        </w:tc>
        <w:tc>
          <w:tcPr>
            <w:tcW w:w="154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w:t>
            </w:r>
          </w:p>
        </w:tc>
        <w:tc>
          <w:tcPr>
            <w:tcW w:w="154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Регистрация в ЕБС</w:t>
            </w:r>
          </w:p>
        </w:tc>
        <w:tc>
          <w:tcPr>
            <w:tcW w:w="123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8</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на основе таблиц 1.2.4, 2.3.2, [6, с. 87; 7; 27; 26, с. 17, 29, 30–31, 33].</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К существующей структуре «как есть» (таблица 2.3.2) добавляются четыре новых элемента: переоснащённый face2.ru с CTA-механикой, отдельный бренд Face2 в соцсетях, контекстная реклама под направление Б и банковская экосистема как самостоятельный канал направления В. Push-блок при этом сохраняется в полном объёме, что соответствует асимметричной интегрированной стратегии § 3.1.5.</w:t>
      </w:r>
    </w:p>
    <w:p>
      <w:pPr>
        <w:keepNext/>
        <w:keepLines/>
        <w:spacing w:before="200" w:after="120" w:line="36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8"/>
          <w:szCs w:val="28"/>
          <w:lang w:val="ru-RU"/>
        </w:rPr>
        <w:t xml:space="preserve">3.2.4. Контентная и PR-стратегия</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Контентная и PR-стратегия наполняет этап «Доверие» маркетинговой воронки массовой аудиторией и синхронно закрывает три пробела аргументации таблицы 2.3.6: контентный (2) — переводом регуляторного капитала в массовое сообщение; доказательный (4) — планом независимой международной верификации точности (NIST FRTE, iBeta Level 2); пробел People (5) — формированием публичной линейки из четырёх ролей: CISO банка, юрист по № 572-ФЗ, продакт-менеджер Face2, амбассадоры из числа референс-клиентов. Контент-конвейер строится на трёх типах материалов — регуляторном, кейсовом и доказательном [1; 36; 35; 40; 37; 2; 3; 4; 28; 29]. PR-стратегия выводит размещения за пределы татарстанских изданий в деловые федеральные СМИ и отраслевые ИТ-каталоги, закрывая географический (8) и канальный (1) пробелы. Распределение мероприятий сведено в таблице 3.2.4.</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3.2.4</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Контентная и PR-стратегия Face2</w:t>
      </w:r>
    </w:p>
    <w:tbl>
      <w:tblPr>
        <w:tblW w:w="9635"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414"/>
        <w:gridCol w:w="2387"/>
        <w:gridCol w:w="1856"/>
        <w:gridCol w:w="1503"/>
        <w:gridCol w:w="1414"/>
        <w:gridCol w:w="1061"/>
      </w:tblGrid>
      <w:tr>
        <w:trPr>
          <w:tblHeader/>
          <w:cantSplit/>
        </w:trPr>
        <w:tc>
          <w:tcPr>
            <w:tcW w:w="1414"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Тип активности</w:t>
            </w:r>
          </w:p>
        </w:tc>
        <w:tc>
          <w:tcPr>
            <w:tcW w:w="2387"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Конкретное мероприятие</w:t>
            </w:r>
          </w:p>
        </w:tc>
        <w:tc>
          <w:tcPr>
            <w:tcW w:w="1856"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Регулярность</w:t>
            </w:r>
          </w:p>
        </w:tc>
        <w:tc>
          <w:tcPr>
            <w:tcW w:w="1503"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Канал</w:t>
            </w:r>
          </w:p>
        </w:tc>
        <w:tc>
          <w:tcPr>
            <w:tcW w:w="1414"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Спикер</w:t>
            </w:r>
          </w:p>
        </w:tc>
        <w:tc>
          <w:tcPr>
            <w:tcW w:w="1061"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Закрываемый пробел 2.3.6</w:t>
            </w:r>
          </w:p>
        </w:tc>
      </w:tr>
      <w:tr>
        <w:trPr>
          <w:cantSplit/>
        </w:trPr>
        <w:tc>
          <w:tcPr>
            <w:tcW w:w="141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Контент-конвейер</w:t>
            </w:r>
          </w:p>
        </w:tc>
        <w:tc>
          <w:tcPr>
            <w:tcW w:w="238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Регуляторные обзоры (572-ФЗ, ЕБС, КБС, 420-ФЗ, 421-ФЗ)</w:t>
            </w:r>
          </w:p>
        </w:tc>
        <w:tc>
          <w:tcPr>
            <w:tcW w:w="185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 публикации в месяц</w:t>
            </w:r>
          </w:p>
        </w:tc>
        <w:tc>
          <w:tcPr>
            <w:tcW w:w="150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Сайт + соцсети + email</w:t>
            </w:r>
          </w:p>
        </w:tc>
        <w:tc>
          <w:tcPr>
            <w:tcW w:w="141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Юрист по 572-ФЗ</w:t>
            </w:r>
          </w:p>
        </w:tc>
        <w:tc>
          <w:tcPr>
            <w:tcW w:w="10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2, 5</w:t>
            </w:r>
          </w:p>
        </w:tc>
      </w:tr>
      <w:tr>
        <w:trPr>
          <w:cantSplit/>
        </w:trPr>
        <w:tc>
          <w:tcPr>
            <w:tcW w:w="141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Контент-конвейер</w:t>
            </w:r>
          </w:p>
        </w:tc>
        <w:tc>
          <w:tcPr>
            <w:tcW w:w="238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Кейсы внедрений с расчётом эффекта</w:t>
            </w:r>
          </w:p>
        </w:tc>
        <w:tc>
          <w:tcPr>
            <w:tcW w:w="185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 кейс в месяц</w:t>
            </w:r>
          </w:p>
        </w:tc>
        <w:tc>
          <w:tcPr>
            <w:tcW w:w="150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Сайт + соцсети + СМИ</w:t>
            </w:r>
          </w:p>
        </w:tc>
        <w:tc>
          <w:tcPr>
            <w:tcW w:w="141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Продакт-менеджер + амбассадор</w:t>
            </w:r>
          </w:p>
        </w:tc>
        <w:tc>
          <w:tcPr>
            <w:tcW w:w="10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3, 7</w:t>
            </w:r>
          </w:p>
        </w:tc>
      </w:tr>
      <w:tr>
        <w:trPr>
          <w:cantSplit/>
        </w:trPr>
        <w:tc>
          <w:tcPr>
            <w:tcW w:w="141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Контент-конвейер</w:t>
            </w:r>
          </w:p>
        </w:tc>
        <w:tc>
          <w:tcPr>
            <w:tcW w:w="238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Технические материалы (точность, спуфинг, дипфейки)</w:t>
            </w:r>
          </w:p>
        </w:tc>
        <w:tc>
          <w:tcPr>
            <w:tcW w:w="185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 публикация в квартал</w:t>
            </w:r>
          </w:p>
        </w:tc>
        <w:tc>
          <w:tcPr>
            <w:tcW w:w="150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Habr + сайт</w:t>
            </w:r>
          </w:p>
        </w:tc>
        <w:tc>
          <w:tcPr>
            <w:tcW w:w="141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CISO + продакт-менеджер</w:t>
            </w:r>
          </w:p>
        </w:tc>
        <w:tc>
          <w:tcPr>
            <w:tcW w:w="10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4, 5</w:t>
            </w:r>
          </w:p>
        </w:tc>
      </w:tr>
      <w:tr>
        <w:trPr>
          <w:cantSplit/>
        </w:trPr>
        <w:tc>
          <w:tcPr>
            <w:tcW w:w="141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PR</w:t>
            </w:r>
          </w:p>
        </w:tc>
        <w:tc>
          <w:tcPr>
            <w:tcW w:w="238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Размещения в деловых федеральных СМИ</w:t>
            </w:r>
          </w:p>
        </w:tc>
        <w:tc>
          <w:tcPr>
            <w:tcW w:w="185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1–2 в квартал</w:t>
            </w:r>
          </w:p>
        </w:tc>
        <w:tc>
          <w:tcPr>
            <w:tcW w:w="150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«Ведомости», РБК, «Коммерсантъ»</w:t>
            </w:r>
          </w:p>
        </w:tc>
        <w:tc>
          <w:tcPr>
            <w:tcW w:w="141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Профильный спикер</w:t>
            </w:r>
          </w:p>
        </w:tc>
        <w:tc>
          <w:tcPr>
            <w:tcW w:w="10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1, 8</w:t>
            </w:r>
          </w:p>
        </w:tc>
      </w:tr>
      <w:tr>
        <w:trPr>
          <w:cantSplit/>
        </w:trPr>
        <w:tc>
          <w:tcPr>
            <w:tcW w:w="141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PR</w:t>
            </w:r>
          </w:p>
        </w:tc>
        <w:tc>
          <w:tcPr>
            <w:tcW w:w="238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Размещения в ИТ-каталогах</w:t>
            </w:r>
          </w:p>
        </w:tc>
        <w:tc>
          <w:tcPr>
            <w:tcW w:w="185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 мере выхода обновлений</w:t>
            </w:r>
          </w:p>
        </w:tc>
        <w:tc>
          <w:tcPr>
            <w:tcW w:w="150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TAdviser, CNews</w:t>
            </w:r>
          </w:p>
        </w:tc>
        <w:tc>
          <w:tcPr>
            <w:tcW w:w="141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Продакт-менеджер</w:t>
            </w:r>
          </w:p>
        </w:tc>
        <w:tc>
          <w:tcPr>
            <w:tcW w:w="10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1, 4</w:t>
            </w:r>
          </w:p>
        </w:tc>
      </w:tr>
      <w:tr>
        <w:trPr>
          <w:cantSplit/>
        </w:trPr>
        <w:tc>
          <w:tcPr>
            <w:tcW w:w="141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Сертификация</w:t>
            </w:r>
          </w:p>
        </w:tc>
        <w:tc>
          <w:tcPr>
            <w:tcW w:w="238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NIST FRTE</w:t>
            </w:r>
          </w:p>
        </w:tc>
        <w:tc>
          <w:tcPr>
            <w:tcW w:w="185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Подача заявки в фазе 1, результат в фазе 2</w:t>
            </w:r>
          </w:p>
        </w:tc>
        <w:tc>
          <w:tcPr>
            <w:tcW w:w="150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w:t>
            </w:r>
          </w:p>
        </w:tc>
        <w:tc>
          <w:tcPr>
            <w:tcW w:w="141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w:t>
            </w:r>
          </w:p>
        </w:tc>
        <w:tc>
          <w:tcPr>
            <w:tcW w:w="10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4</w:t>
            </w:r>
          </w:p>
        </w:tc>
      </w:tr>
      <w:tr>
        <w:trPr>
          <w:cantSplit/>
        </w:trPr>
        <w:tc>
          <w:tcPr>
            <w:tcW w:w="141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Сертификация</w:t>
            </w:r>
          </w:p>
        </w:tc>
        <w:tc>
          <w:tcPr>
            <w:tcW w:w="238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iBeta Level 2 (антиспуфинг)</w:t>
            </w:r>
          </w:p>
        </w:tc>
        <w:tc>
          <w:tcPr>
            <w:tcW w:w="185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Подача заявки в фазе 1, результат в фазе 2</w:t>
            </w:r>
          </w:p>
        </w:tc>
        <w:tc>
          <w:tcPr>
            <w:tcW w:w="150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w:t>
            </w:r>
          </w:p>
        </w:tc>
        <w:tc>
          <w:tcPr>
            <w:tcW w:w="141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w:t>
            </w:r>
          </w:p>
        </w:tc>
        <w:tc>
          <w:tcPr>
            <w:tcW w:w="10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4</w:t>
            </w:r>
          </w:p>
        </w:tc>
      </w:tr>
      <w:tr>
        <w:trPr>
          <w:cantSplit/>
        </w:trPr>
        <w:tc>
          <w:tcPr>
            <w:tcW w:w="141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Линейка спикеров</w:t>
            </w:r>
          </w:p>
        </w:tc>
        <w:tc>
          <w:tcPr>
            <w:tcW w:w="238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Публичные выступления на конференциях</w:t>
            </w:r>
          </w:p>
        </w:tc>
        <w:tc>
          <w:tcPr>
            <w:tcW w:w="185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4–6 в год</w:t>
            </w:r>
          </w:p>
        </w:tc>
        <w:tc>
          <w:tcPr>
            <w:tcW w:w="150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FINOPOLIS, CIPR, отраслевые форумы</w:t>
            </w:r>
          </w:p>
        </w:tc>
        <w:tc>
          <w:tcPr>
            <w:tcW w:w="141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Все четыре роли</w:t>
            </w:r>
          </w:p>
        </w:tc>
        <w:tc>
          <w:tcPr>
            <w:tcW w:w="10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5</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на основе таблиц 1.2.4, 2.3.3, [16, с. 43–48; 24, с. 100–110; 6, с. 87; 7; 1; 36; 35; 40; 32; 37; 2; 3; 4; 28; 29].</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От существующей практики Face2 стратегия отличается тремя элементами: переходом от точечных пресс-релизов к регулярному контент-конвейеру; планом получения независимой международной верификации точности; формированием публичной линейки из четырёх спикеров вместо одного контактного менеджера. Совокупно эти элементы наполняют этап «Доверие» массовой аудиторией без размывания регуляторного позиционирования.</w:t>
      </w:r>
    </w:p>
    <w:p>
      <w:pPr>
        <w:keepNext/>
        <w:keepLines/>
        <w:spacing w:before="200" w:after="120" w:line="36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8"/>
          <w:szCs w:val="28"/>
          <w:lang w:val="ru-RU"/>
        </w:rPr>
        <w:t xml:space="preserve">3.2.5. Этапы реализации стратегии</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Горизонт реализации — 36 месяцев, разделённых на три фазы. Содержательная логика по фазам сведена в таблице 3.2.5; календарный план с RACI и контрольными точками — в подразделе 3.3.4 (разделение содержательной и организационной плоскостей внедрения).</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3.2.5</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Содержательная логика этапов реализации стратегии продвижения Face2</w:t>
      </w:r>
    </w:p>
    <w:tbl>
      <w:tblPr>
        <w:tblW w:w="9635"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521"/>
        <w:gridCol w:w="811"/>
        <w:gridCol w:w="3043"/>
        <w:gridCol w:w="1217"/>
        <w:gridCol w:w="3043"/>
      </w:tblGrid>
      <w:tr>
        <w:trPr>
          <w:tblHeader/>
          <w:cantSplit/>
        </w:trPr>
        <w:tc>
          <w:tcPr>
            <w:tcW w:w="1521"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Фаза</w:t>
            </w:r>
          </w:p>
        </w:tc>
        <w:tc>
          <w:tcPr>
            <w:tcW w:w="811"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Горизонт</w:t>
            </w:r>
          </w:p>
        </w:tc>
        <w:tc>
          <w:tcPr>
            <w:tcW w:w="3043"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Содержание</w:t>
            </w:r>
          </w:p>
        </w:tc>
        <w:tc>
          <w:tcPr>
            <w:tcW w:w="1217"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Закрываемые пробелы 2.3.6</w:t>
            </w:r>
          </w:p>
        </w:tc>
        <w:tc>
          <w:tcPr>
            <w:tcW w:w="3043"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Что должно быть готово к выходу</w:t>
            </w:r>
          </w:p>
        </w:tc>
      </w:tr>
      <w:tr>
        <w:trPr>
          <w:cantSplit/>
        </w:trPr>
        <w:tc>
          <w:tcPr>
            <w:tcW w:w="152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 Активация</w:t>
            </w:r>
          </w:p>
        </w:tc>
        <w:tc>
          <w:tcPr>
            <w:tcW w:w="81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мес. 1–6</w:t>
            </w:r>
          </w:p>
        </w:tc>
        <w:tc>
          <w:tcPr>
            <w:tcW w:w="304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CTA-сайт, контент-конвейер, линейка спикеров, заявки на NIST/iBeta, бренд в соцсетях, типовые КП</w:t>
            </w:r>
          </w:p>
        </w:tc>
        <w:tc>
          <w:tcPr>
            <w:tcW w:w="121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 (частично), 2, 5, 6</w:t>
            </w:r>
          </w:p>
        </w:tc>
        <w:tc>
          <w:tcPr>
            <w:tcW w:w="304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Инфраструктура привлечения лидов и доказательная база в работе</w:t>
            </w:r>
          </w:p>
        </w:tc>
      </w:tr>
      <w:tr>
        <w:trPr>
          <w:cantSplit/>
        </w:trPr>
        <w:tc>
          <w:tcPr>
            <w:tcW w:w="152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 Масштабирование</w:t>
            </w:r>
          </w:p>
        </w:tc>
        <w:tc>
          <w:tcPr>
            <w:tcW w:w="81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мес. 7–18</w:t>
            </w:r>
          </w:p>
        </w:tc>
        <w:tc>
          <w:tcPr>
            <w:tcW w:w="304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Конференции, партнёрская сеть, пилоты в трёх сегментах, экосистема как канал, размещения в СМИ</w:t>
            </w:r>
          </w:p>
        </w:tc>
        <w:tc>
          <w:tcPr>
            <w:tcW w:w="121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1, 3, 4, 8</w:t>
            </w:r>
          </w:p>
        </w:tc>
        <w:tc>
          <w:tcPr>
            <w:tcW w:w="304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Накопленная референсная база и подтверждённые сертификации</w:t>
            </w:r>
          </w:p>
        </w:tc>
      </w:tr>
      <w:tr>
        <w:trPr>
          <w:cantSplit/>
        </w:trPr>
        <w:tc>
          <w:tcPr>
            <w:tcW w:w="152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3. Закрепление</w:t>
            </w:r>
          </w:p>
        </w:tc>
        <w:tc>
          <w:tcPr>
            <w:tcW w:w="81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мес. 19–36</w:t>
            </w:r>
          </w:p>
        </w:tc>
        <w:tc>
          <w:tcPr>
            <w:tcW w:w="304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Референс-программа, расширение географии, эволюция продукта, закрепление в B2G</w:t>
            </w:r>
          </w:p>
        </w:tc>
        <w:tc>
          <w:tcPr>
            <w:tcW w:w="121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7, 8 (углубление)</w:t>
            </w:r>
          </w:p>
        </w:tc>
        <w:tc>
          <w:tcPr>
            <w:tcW w:w="304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Устойчивая узнаваемость и зрелая pull-воронка</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на основе анализа подразделов 3.2.1–3.2.4 с опорой на [18, с. 5; 8, с. 412; 10, с. 156].</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Закрытие восьми пробелов распределяется по фазам неравномерно: пробелы аргументации (2, 5) и инфраструктуры воронки (6) — в фазе активации; пробелы охвата (1, 3, 8) и доказательный (4) — в фазе масштабирования; лояльностный (7) — в фазе закрепления. Это распределение задаёт логику бюджета (§ 3.2.6) и системы KPI (§ 3.3): фаза 1 требует приоритетных вложений в CAPEX, фаза 2 — в OPEX, фаза 3 — поддерживающего бюджета.</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Логические зависимости между фазами: CTA-механика на face2.ru (фаза 1) — вход в digital-каналы фазы 2; публичная линейка спикеров (фаза 1) — вход в PR-активности фазы 2; результаты NIST FRTE и iBeta (фаза 2) — вход в массовое позиционирование фазы 3; пилоты фазы 2 — основа референсной базы фазы 3.</w:t>
      </w:r>
    </w:p>
    <w:p>
      <w:pPr>
        <w:keepNext/>
        <w:keepLines/>
        <w:spacing w:before="200" w:after="120" w:line="36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8"/>
          <w:szCs w:val="28"/>
          <w:lang w:val="ru-RU"/>
        </w:rPr>
        <w:t xml:space="preserve">3.2.6. Бюджет мероприятий и ресурсное обеспечение</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Бюджет переводит мероприятия 3.2.1–3.2.5 в плоскость затрат и формирует вход в § 3.3.2 для расчёта ROI. Структура бюджета строится по двум разрезам: тип затрат (CAPEX — разовые, OPEX — текущие) и фаза реализации.</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3.2.6</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Структура бюджета мероприятий и ресурсное обеспечение стратегии продвижения Face2</w:t>
      </w:r>
    </w:p>
    <w:tbl>
      <w:tblPr>
        <w:tblW w:w="9635"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4897"/>
        <w:gridCol w:w="844"/>
        <w:gridCol w:w="679"/>
        <w:gridCol w:w="679"/>
        <w:gridCol w:w="679"/>
        <w:gridCol w:w="1857"/>
      </w:tblGrid>
      <w:tr>
        <w:trPr>
          <w:tblHeader/>
          <w:cantSplit/>
        </w:trPr>
        <w:tc>
          <w:tcPr>
            <w:tcW w:w="4897"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Статья</w:t>
            </w:r>
          </w:p>
        </w:tc>
        <w:tc>
          <w:tcPr>
            <w:tcW w:w="844"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Тип</w:t>
            </w:r>
          </w:p>
        </w:tc>
        <w:tc>
          <w:tcPr>
            <w:tcW w:w="679"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Фаза 1</w:t>
            </w:r>
          </w:p>
        </w:tc>
        <w:tc>
          <w:tcPr>
            <w:tcW w:w="679"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Фаза 2</w:t>
            </w:r>
          </w:p>
        </w:tc>
        <w:tc>
          <w:tcPr>
            <w:tcW w:w="679"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Фаза 3</w:t>
            </w:r>
          </w:p>
        </w:tc>
        <w:tc>
          <w:tcPr>
            <w:tcW w:w="1857"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Связь с подразделом 3.2</w:t>
            </w:r>
          </w:p>
        </w:tc>
      </w:tr>
      <w:tr>
        <w:trPr>
          <w:cantSplit/>
        </w:trPr>
        <w:tc>
          <w:tcPr>
            <w:tcW w:w="489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Переоснащение face2.ru под CTA-механику</w:t>
            </w:r>
          </w:p>
        </w:tc>
        <w:tc>
          <w:tcPr>
            <w:tcW w:w="84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CAPEX</w:t>
            </w:r>
          </w:p>
        </w:tc>
        <w:tc>
          <w:tcPr>
            <w:tcW w:w="67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67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w:t>
            </w:r>
          </w:p>
        </w:tc>
        <w:tc>
          <w:tcPr>
            <w:tcW w:w="67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w:t>
            </w:r>
          </w:p>
        </w:tc>
        <w:tc>
          <w:tcPr>
            <w:tcW w:w="185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3.2.3, 3.2.4</w:t>
            </w:r>
          </w:p>
        </w:tc>
      </w:tr>
      <w:tr>
        <w:trPr>
          <w:cantSplit/>
        </w:trPr>
        <w:tc>
          <w:tcPr>
            <w:tcW w:w="489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Контентная студия (оборудование + первичная команда)</w:t>
            </w:r>
          </w:p>
        </w:tc>
        <w:tc>
          <w:tcPr>
            <w:tcW w:w="84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CAPEX</w:t>
            </w:r>
          </w:p>
        </w:tc>
        <w:tc>
          <w:tcPr>
            <w:tcW w:w="67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67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w:t>
            </w:r>
          </w:p>
        </w:tc>
        <w:tc>
          <w:tcPr>
            <w:tcW w:w="67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w:t>
            </w:r>
          </w:p>
        </w:tc>
        <w:tc>
          <w:tcPr>
            <w:tcW w:w="185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3.2.4</w:t>
            </w:r>
          </w:p>
        </w:tc>
      </w:tr>
      <w:tr>
        <w:trPr>
          <w:cantSplit/>
        </w:trPr>
        <w:tc>
          <w:tcPr>
            <w:tcW w:w="489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Заявки на NIST FRTE и iBeta Level 2</w:t>
            </w:r>
          </w:p>
        </w:tc>
        <w:tc>
          <w:tcPr>
            <w:tcW w:w="84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CAPEX</w:t>
            </w:r>
          </w:p>
        </w:tc>
        <w:tc>
          <w:tcPr>
            <w:tcW w:w="67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67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67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w:t>
            </w:r>
          </w:p>
        </w:tc>
        <w:tc>
          <w:tcPr>
            <w:tcW w:w="185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3.2.4</w:t>
            </w:r>
          </w:p>
        </w:tc>
      </w:tr>
      <w:tr>
        <w:trPr>
          <w:cantSplit/>
        </w:trPr>
        <w:tc>
          <w:tcPr>
            <w:tcW w:w="489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Демонстрационные материалы и видеокейсы</w:t>
            </w:r>
          </w:p>
        </w:tc>
        <w:tc>
          <w:tcPr>
            <w:tcW w:w="84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CAPEX</w:t>
            </w:r>
          </w:p>
        </w:tc>
        <w:tc>
          <w:tcPr>
            <w:tcW w:w="67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67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w:t>
            </w:r>
          </w:p>
        </w:tc>
        <w:tc>
          <w:tcPr>
            <w:tcW w:w="67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w:t>
            </w:r>
          </w:p>
        </w:tc>
        <w:tc>
          <w:tcPr>
            <w:tcW w:w="185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3.2.1, 3.2.4</w:t>
            </w:r>
          </w:p>
        </w:tc>
      </w:tr>
      <w:tr>
        <w:trPr>
          <w:cantSplit/>
        </w:trPr>
        <w:tc>
          <w:tcPr>
            <w:tcW w:w="489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Брендинг отдельной платформы Face2</w:t>
            </w:r>
          </w:p>
        </w:tc>
        <w:tc>
          <w:tcPr>
            <w:tcW w:w="84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CAPEX</w:t>
            </w:r>
          </w:p>
        </w:tc>
        <w:tc>
          <w:tcPr>
            <w:tcW w:w="67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67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w:t>
            </w:r>
          </w:p>
        </w:tc>
        <w:tc>
          <w:tcPr>
            <w:tcW w:w="67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w:t>
            </w:r>
          </w:p>
        </w:tc>
        <w:tc>
          <w:tcPr>
            <w:tcW w:w="185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3.2.3</w:t>
            </w:r>
          </w:p>
        </w:tc>
      </w:tr>
      <w:tr>
        <w:trPr>
          <w:cantSplit/>
        </w:trPr>
        <w:tc>
          <w:tcPr>
            <w:tcW w:w="489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Контентный конвейер (команда, гонорары)</w:t>
            </w:r>
          </w:p>
        </w:tc>
        <w:tc>
          <w:tcPr>
            <w:tcW w:w="84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OPEX</w:t>
            </w:r>
          </w:p>
        </w:tc>
        <w:tc>
          <w:tcPr>
            <w:tcW w:w="67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 → X</w:t>
            </w:r>
          </w:p>
        </w:tc>
        <w:tc>
          <w:tcPr>
            <w:tcW w:w="67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67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185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3.2.4</w:t>
            </w:r>
          </w:p>
        </w:tc>
      </w:tr>
      <w:tr>
        <w:trPr>
          <w:cantSplit/>
        </w:trPr>
        <w:tc>
          <w:tcPr>
            <w:tcW w:w="489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PR-сопровождение (агентство / PR-менеджер)</w:t>
            </w:r>
          </w:p>
        </w:tc>
        <w:tc>
          <w:tcPr>
            <w:tcW w:w="84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OPEX</w:t>
            </w:r>
          </w:p>
        </w:tc>
        <w:tc>
          <w:tcPr>
            <w:tcW w:w="67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 → X</w:t>
            </w:r>
          </w:p>
        </w:tc>
        <w:tc>
          <w:tcPr>
            <w:tcW w:w="67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67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185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3.2.4</w:t>
            </w:r>
          </w:p>
        </w:tc>
      </w:tr>
      <w:tr>
        <w:trPr>
          <w:cantSplit/>
        </w:trPr>
        <w:tc>
          <w:tcPr>
            <w:tcW w:w="489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Контекстная реклама в «Яндексе»</w:t>
            </w:r>
          </w:p>
        </w:tc>
        <w:tc>
          <w:tcPr>
            <w:tcW w:w="84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OPEX</w:t>
            </w:r>
          </w:p>
        </w:tc>
        <w:tc>
          <w:tcPr>
            <w:tcW w:w="67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67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67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185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3.2.3</w:t>
            </w:r>
          </w:p>
        </w:tc>
      </w:tr>
      <w:tr>
        <w:trPr>
          <w:cantSplit/>
        </w:trPr>
        <w:tc>
          <w:tcPr>
            <w:tcW w:w="489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Email-маркетинг</w:t>
            </w:r>
          </w:p>
        </w:tc>
        <w:tc>
          <w:tcPr>
            <w:tcW w:w="84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OPEX</w:t>
            </w:r>
          </w:p>
        </w:tc>
        <w:tc>
          <w:tcPr>
            <w:tcW w:w="67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67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67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185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3.2.3</w:t>
            </w:r>
          </w:p>
        </w:tc>
      </w:tr>
      <w:tr>
        <w:trPr>
          <w:cantSplit/>
        </w:trPr>
        <w:tc>
          <w:tcPr>
            <w:tcW w:w="489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Отраслевые конференции (стенды, спонсорство, командировки)</w:t>
            </w:r>
          </w:p>
        </w:tc>
        <w:tc>
          <w:tcPr>
            <w:tcW w:w="84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OPEX</w:t>
            </w:r>
          </w:p>
        </w:tc>
        <w:tc>
          <w:tcPr>
            <w:tcW w:w="67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67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67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185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3.2.3</w:t>
            </w:r>
          </w:p>
        </w:tc>
      </w:tr>
      <w:tr>
        <w:trPr>
          <w:cantSplit/>
        </w:trPr>
        <w:tc>
          <w:tcPr>
            <w:tcW w:w="489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Партнёрская программа (комиссии интеграторов и вендоров)</w:t>
            </w:r>
          </w:p>
        </w:tc>
        <w:tc>
          <w:tcPr>
            <w:tcW w:w="84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OPEX</w:t>
            </w:r>
          </w:p>
        </w:tc>
        <w:tc>
          <w:tcPr>
            <w:tcW w:w="67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w:t>
            </w:r>
          </w:p>
        </w:tc>
        <w:tc>
          <w:tcPr>
            <w:tcW w:w="67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 → X</w:t>
            </w:r>
          </w:p>
        </w:tc>
        <w:tc>
          <w:tcPr>
            <w:tcW w:w="67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185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3.2.3</w:t>
            </w:r>
          </w:p>
        </w:tc>
      </w:tr>
      <w:tr>
        <w:trPr>
          <w:cantSplit/>
        </w:trPr>
        <w:tc>
          <w:tcPr>
            <w:tcW w:w="489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SMM (редактор, дизайнер, продвижение публикаций)</w:t>
            </w:r>
          </w:p>
        </w:tc>
        <w:tc>
          <w:tcPr>
            <w:tcW w:w="84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OPEX</w:t>
            </w:r>
          </w:p>
        </w:tc>
        <w:tc>
          <w:tcPr>
            <w:tcW w:w="67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 → X</w:t>
            </w:r>
          </w:p>
        </w:tc>
        <w:tc>
          <w:tcPr>
            <w:tcW w:w="67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67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185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3.2.3, 3.2.4</w:t>
            </w:r>
          </w:p>
        </w:tc>
      </w:tr>
      <w:tr>
        <w:trPr>
          <w:cantSplit/>
        </w:trPr>
        <w:tc>
          <w:tcPr>
            <w:tcW w:w="489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Референсная программа (NPS, отзывы, кейс-стади)</w:t>
            </w:r>
          </w:p>
        </w:tc>
        <w:tc>
          <w:tcPr>
            <w:tcW w:w="84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OPEX</w:t>
            </w:r>
          </w:p>
        </w:tc>
        <w:tc>
          <w:tcPr>
            <w:tcW w:w="67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w:t>
            </w:r>
          </w:p>
        </w:tc>
        <w:tc>
          <w:tcPr>
            <w:tcW w:w="67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w:t>
            </w:r>
          </w:p>
        </w:tc>
        <w:tc>
          <w:tcPr>
            <w:tcW w:w="67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185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3.2.5</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Условные обозначения: «x» — низкая интенсивность затрат, «X» — высокая, «→» — нарастание; «—» — затраты не предусмотрены.</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по логике подразделов 3.2.1–3.2.5; численные значения статей бюджета подлежат уточнению по данным маркетинговой службы ПАО «Ак Барс Банк» или по отраслевым бенчмаркам и используются в подразделе 3.3.2 как сценарные.</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Качественная структура расходов даёт три устойчивых наблюдения для § 3.3.2: фаза 1 — высокая доля CAPEX и умеренный OPEX (запуск инфраструктуры лидов); фаза 2 — снижение CAPEX и рост OPEX (обслуживание коммерческой деятельности); фаза 3 — преимущественно OPEX с добавлением референсной программы.</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Вывод по параграфу 3.2. Комплекс маркетинговых мероприятий построен как операционная развёртка интегрированной push-pull-стратегии и разворачивается в шести подразделах: три направления продвижения (3.2.1), шесть отраслевых офферов (3.2.2), четыре группы каналов (3.2.3), контент и PR с линейкой из четырёх спикеров и планом независимой сертификации (3.2.4), трёхфазная логика реализации (3.2.5) и структура бюджета (3.2.6). Восемь пробелов таблицы 2.3.6 распределены между подразделами 3.2 без пропусков и дублирования. Ожидаемый эффект — переход от точечной push-логики к интегрированной push-pull-логике, перевод регуляторного капитала в шесть отраслевых сообщений и публичную линейку спикеров, ввод банковской экосистемы (АБО — 930 тыс. пользователей, «Карта жителя РТ» — 450 131 карта, 166 офисов) как самостоятельного pull-канала. Численная оценка эффекта, KPI, риски и оргплан — в параграфе 3.3.</w:t>
      </w:r>
    </w:p>
    <w:p>
      <w:pPr>
        <w:spacing w:before="0" w:after="0" w:line="240" w:lineRule="auto"/>
        <w:jc w:val="both"/>
        <w:rPr>
          <w:rFonts w:ascii="Times New Roman" w:hAnsi="Times New Roman" w:cs="Times New Roman" w:eastAsia="Times New Roman"/>
          <w:sz w:val="28"/>
          <w:szCs w:val="28"/>
          <w:lang w:val="ru-RU"/>
        </w:rPr>
      </w:pPr>
    </w:p>
    <w:p>
      <w:pPr>
        <w:keepNext/>
        <w:keepLines/>
        <w:spacing w:before="200" w:after="120" w:line="36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8"/>
          <w:szCs w:val="28"/>
          <w:lang w:val="ru-RU"/>
        </w:rPr>
        <w:t xml:space="preserve">3.3. Оценка эффективности предложенной стратегии продвижения Face2</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Параграф замыкает цепочку «диагноз — стратегия — проверка» и разворачивается в четыре подраздела: методика и система KPI (3.3.1), экономический эффект и ROI (3.3.2), матрица рисков (3.3.3), организационный план внедрения (3.3.4). Принципиальное методическое решение — сценарный подход к расчёту эффекта (Π/Р/О), обусловленный отсутствием публичных бенчмарков по конверсии в B2B-биометрии РФ и неопределённостью отклика рынка на pull-инструменты в первый год их применения [18, с. 5; 8, с. 412; 10, с. 156].</w:t>
      </w:r>
    </w:p>
    <w:p>
      <w:pPr>
        <w:keepNext/>
        <w:keepLines/>
        <w:spacing w:before="200" w:after="120" w:line="36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8"/>
          <w:szCs w:val="28"/>
          <w:lang w:val="ru-RU"/>
        </w:rPr>
        <w:t xml:space="preserve">3.3.1. Методика оценки эффективности стратегии и система ключевых показателей результативности</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Методический контур оценки эффективности задаётся четырьмя утверждениями, фиксируемыми в начале подраздела с тем, чтобы избежать претензии о произвольности расчёта.</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Первое — горизонт оценки. Стратегия оценивается на горизонте 36 месяцев, разделённом на три фазы по образцу таблицы 3.2.5: фаза активации (месяцы 1–6), фаза масштабирования (месяцы 7–18) и фаза закрепления (месяцы 19–36). Промежуточные точки контроля — окончания фаз; внутри фазы 1 предусмотрен дополнительный квартальный контроль (месяцы 3 и 6), что соответствует логике короткого цикла обратной связи на этапе запуска инфраструктуры привлечения лидов.</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Второе — сценарность расчёта. Оценка выполняется в трёх сценариях — пессимистическом (Π), реалистическом (Р) и оптимистическом (О), различающихся предположениями о темпе масштабирования партнёрской сети, скорости получения независимых международных сертификаций (NIST FRTE, iBeta Level 2), конверсии посетителя face2.ru в заявку и конверсии пилотов во внедрения. Сценарность согласована с указанием на гибкость ценовой и коммуникационной стратегии в условиях неопределённости рынка [18, с. 5; 10, с. 156] и работает на снижение риска переоценки эффекта.</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Третье — типология метрик. Используются четыре типа KPI, последовательно соответствующие этапам маркетинговой воронки из таблицы 1.2.4 параграфа 1.2: метрики охвата (audience metrics) — уникальные посетители face2.ru, медиа-охват, число подписчиков отдельного бренда Face2 в социальных сетях, цитируемость в деловых СМИ; метрики вовлечения (engagement metrics) — число входящих обращений, загрузки типовых коммерческих предложений по шести сегментам, средний скоринг лидов; метрики конверсии (conversion metrics) — доля пилотных проектов от лидов, доля внедрений от пилотов, средний цикл сделки по двум уровням продаж; метрики коммерческого результата (revenue metrics) — выручка по уровням продаж из таблицы 2.1.4, средний чек подключения, ROI стратегии.</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Четвёртое — методические ограничения, фиксируемые открыто. Их три. Во-первых, отсутствие публичных бенчмарков по конверсии в B2B-биометрии в Российской Федерации, что требует опоры на общеотраслевые бенчмарки B2B-маркетинга и на экспертную оценку автора с возможностью её последующего уточнения маркетинговой службой банка. Во-вторых, неопределённость отклика рынка на pull-инструменты в первый год после их запуска, что требует обязательного контроля по итогам фазы 1 с правом пересборки офферов и посадочных страниц. В-третьих, отсутствие у автора доступа к внутренним данным управленческой отчётности ПАО «Ак Барс Банк» по продажам Face2 за прошлые периоды, что требует опоры на публичные источники [27; 26; 32; 37; 34] и на бенчмарки лидеров рынка [38; 40; 41] при формировании сценарных предпосылок.</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 учётом перечисленной методической рамки система KPI стратегии формируется как двумерная матрица, в строках которой расположены три направления продвижения из таблицы 3.2.1, а в столбцах — этапы маркетинговой воронки из таблицы 1.2.4 (Осведомлённость, Интерес, Доверие, Пилот, Принятие, Лояльность). Каждая клетка матрицы содержит KPI, измеряющий продвижение соответствующей аудитории по соответствующему этапу. Сводная система KPI представлена в таблице 3.3.1.</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3.3.1</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Система KPI стратегии продвижения Face2 по этапам воронки и направлениям продвижения</w:t>
      </w:r>
    </w:p>
    <w:tbl>
      <w:tblPr>
        <w:tblW w:w="9635"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943"/>
        <w:gridCol w:w="1490"/>
        <w:gridCol w:w="1490"/>
        <w:gridCol w:w="1490"/>
        <w:gridCol w:w="1242"/>
        <w:gridCol w:w="1490"/>
        <w:gridCol w:w="1490"/>
      </w:tblGrid>
      <w:tr>
        <w:trPr>
          <w:tblHeader/>
          <w:cantSplit/>
        </w:trPr>
        <w:tc>
          <w:tcPr>
            <w:tcW w:w="943"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Направление 3.2.1 \ Этап воронки</w:t>
            </w:r>
          </w:p>
        </w:tc>
        <w:tc>
          <w:tcPr>
            <w:tcW w:w="1490"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Осведомлённость</w:t>
            </w:r>
          </w:p>
        </w:tc>
        <w:tc>
          <w:tcPr>
            <w:tcW w:w="1490"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Интерес</w:t>
            </w:r>
          </w:p>
        </w:tc>
        <w:tc>
          <w:tcPr>
            <w:tcW w:w="1490"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Доверие</w:t>
            </w:r>
          </w:p>
        </w:tc>
        <w:tc>
          <w:tcPr>
            <w:tcW w:w="1242"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Пилот</w:t>
            </w:r>
          </w:p>
        </w:tc>
        <w:tc>
          <w:tcPr>
            <w:tcW w:w="1490"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Принятие</w:t>
            </w:r>
          </w:p>
        </w:tc>
        <w:tc>
          <w:tcPr>
            <w:tcW w:w="1490"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Лояльность</w:t>
            </w:r>
          </w:p>
        </w:tc>
      </w:tr>
      <w:tr>
        <w:trPr>
          <w:cantSplit/>
        </w:trPr>
        <w:tc>
          <w:tcPr>
            <w:tcW w:w="94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А. B2B длинного цикла (уровень 1)</w:t>
            </w:r>
          </w:p>
        </w:tc>
        <w:tc>
          <w:tcPr>
            <w:tcW w:w="149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Цитируемость в деловых СМИ; число публикаций экспертного контента</w:t>
            </w:r>
          </w:p>
        </w:tc>
        <w:tc>
          <w:tcPr>
            <w:tcW w:w="149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Число входящих RFP; число запросов на демо</w:t>
            </w:r>
          </w:p>
        </w:tc>
        <w:tc>
          <w:tcPr>
            <w:tcW w:w="149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Число подтверждённых референсов; результаты NIST FRTE и iBeta Level 2</w:t>
            </w:r>
          </w:p>
        </w:tc>
        <w:tc>
          <w:tcPr>
            <w:tcW w:w="124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Число активных пилотов; средняя длительность пилота</w:t>
            </w:r>
          </w:p>
        </w:tc>
        <w:tc>
          <w:tcPr>
            <w:tcW w:w="149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Число подписанных контрактов уровня 1; выручка КБС под ключ</w:t>
            </w:r>
          </w:p>
        </w:tc>
        <w:tc>
          <w:tcPr>
            <w:tcW w:w="149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Доля контрактов с расширением модулей; NPS клиентов уровня 1</w:t>
            </w:r>
          </w:p>
        </w:tc>
      </w:tr>
      <w:tr>
        <w:trPr>
          <w:cantSplit/>
        </w:trPr>
        <w:tc>
          <w:tcPr>
            <w:tcW w:w="94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Б. B2B/B2G короткого цикла (уровень 2)</w:t>
            </w:r>
          </w:p>
        </w:tc>
        <w:tc>
          <w:tcPr>
            <w:tcW w:w="149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Уникальные посетители face2.ru; охват контекстной рекламы</w:t>
            </w:r>
          </w:p>
        </w:tc>
        <w:tc>
          <w:tcPr>
            <w:tcW w:w="149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Заявки через CTA-механику; загрузки типовых КП по шести сегментам</w:t>
            </w:r>
          </w:p>
        </w:tc>
        <w:tc>
          <w:tcPr>
            <w:tcW w:w="149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Число просмотров кейсового и регуляторного контента; CTR доказательного контента</w:t>
            </w:r>
          </w:p>
        </w:tc>
        <w:tc>
          <w:tcPr>
            <w:tcW w:w="124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Число подключений в пилотном статусе</w:t>
            </w:r>
          </w:p>
        </w:tc>
        <w:tc>
          <w:tcPr>
            <w:tcW w:w="149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Число коммерческих подключений; выручка Face2Pay, Face2Pass, Face2Check-in</w:t>
            </w:r>
          </w:p>
        </w:tc>
        <w:tc>
          <w:tcPr>
            <w:tcW w:w="149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Доля повторных продаж модулей; LTV подключённого объекта</w:t>
            </w:r>
          </w:p>
        </w:tc>
      </w:tr>
      <w:tr>
        <w:trPr>
          <w:cantSplit/>
        </w:trPr>
        <w:tc>
          <w:tcPr>
            <w:tcW w:w="94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 B2C-слой</w:t>
            </w:r>
          </w:p>
        </w:tc>
        <w:tc>
          <w:tcPr>
            <w:tcW w:w="149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Регистрации в ЕБС через приложение АБО АББ; охват в «Карте жителя РТ»</w:t>
            </w:r>
          </w:p>
        </w:tc>
        <w:tc>
          <w:tcPr>
            <w:tcW w:w="149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Активации Face2Pay в метрополитене; число первых транзакций</w:t>
            </w:r>
          </w:p>
        </w:tc>
        <w:tc>
          <w:tcPr>
            <w:tcW w:w="149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Доля повторных транзакций; снижение оттока после первой неудачной попытки</w:t>
            </w:r>
          </w:p>
        </w:tc>
        <w:tc>
          <w:tcPr>
            <w:tcW w:w="124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(этап не применим к B2C)</w:t>
            </w:r>
          </w:p>
        </w:tc>
        <w:tc>
          <w:tcPr>
            <w:tcW w:w="149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Доля активных пользователей; средняя частота транзакций на пользователя</w:t>
            </w:r>
          </w:p>
        </w:tc>
        <w:tc>
          <w:tcPr>
            <w:tcW w:w="149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NPS B2C; доля рекомендующих</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по данным таблиц 1.2.4, 3.2.1, [6, с. 64; 7, с. 64; 8, с. 412; 10, с. 156].</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Каждый KPI таблицы 3.3.1 имеет три атрибута, фиксируемых в тексте: целевое значение в трёх сценариях на конец каждой фазы; метод измерения (внутренние логи face2.ru, инструменты медиа-мониторинга, CRM банка, отчётность маркетинговой службы); допущение о бенчмарке, на котором построено целевое значение. С учётом методического ограничения о численных значениях в качестве минимально достаточного набора (вариант, согласованный с принципом «связность с моделью важнее объёма чисел») фиксируются ориентиры по трём ключевым KPI каждого этапа воронки в реалистическом сценарии (Р). Для метрик охвата фазы 1 целевое значение по направлению Б — 5–15 тыс. уникальных посетителей face2.ru в месяц к концу фазы (от нулевой базы pull-канала); для метрик конверсии лидов в пилоты в направлениях А и Б — 5 % в реалистическом сценарии (типовой бенчмарк B2B-маркетинга, по [6, с. 64; 7, с. 64]), 2 % в пессимистическом и 8 % в оптимистическом; для метрик конверсии пилотов во внедрения — 45 % в реалистическом, 25 % в пессимистическом и 60 % в оптимистическом сценариях. Для метрик B2C направления В целевые значения назначаются от текущей базы 930 тыс. пользователей мобильного приложения АБО и 450 131 действующей «Карты жителя РТ» [26, с. 17, 29].</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Связь системы KPI с задачами стратегии 3.1.2 и пробелами таблицы 2.3.6 фиксируется явно. Каждая из семи задач 3.1.2 имеет адресный KPI: задача (а) уточнения позиционирования измеряется долей упоминаний с регуляторным акцентом на этапе «Доверие» в направлениях А и Б; задача (б) формирования отраслевых офферов — числом загрузок типовых коммерческих предложений по шести сегментам на этапе «Интерес» в направлении Б; задача (в) усиления коммуникации по № 572-ФЗ — числом просмотров регуляторного контента на этапе «Доверие» во всех трёх направлениях; задача (г) повышения федеральной узнаваемости — цитируемостью в деловых СМИ на этапе «Осведомлённость» в направлении А; задача (д) расширения доказательной базы — числом референс-кейсов в публичном доступе на этапе «Доверие» в направлениях А и Б; задача (е) развёртывания системы продвижения для двух уровней продаж — всем массивом метрик направлений А и Б; задача (ё) формирования системы показателей — самой таблицей 3.3.1 как методическим артефактом. Восемь пробелов из таблицы 2.3.6 закрываются метриками: канальный пробел (1) — долей выручки, привлечённой через pull-каналы (целевой рост с нулевого уровня до 30–50 % к концу фазы 3); контентный (2) — числом и охватом регуляторных публикаций нарастающим итогом; сегментный (3) — числом активных типовых КП и подключений в каждом из шести сегментов; доказательный (4) — двоичной метрикой получения сертификатов NIST FRTE и iBeta Level 2; пробел People (5) — числом публичных выступлений и цитат в СМИ по четырём ролям спикеров; конверсионный (6) — конверсией посетителя face2.ru в заявку (1,5–3 % в реалистическом сценарии); лояльностный (7) — NPS клиентов уровня 1 и долей повторных продаж модулей; географический (8) — долей заявок и подключений из субъектов Российской Федерации за пределами Республики Татарстан.</w:t>
      </w:r>
    </w:p>
    <w:p>
      <w:pPr>
        <w:keepNext/>
        <w:keepLines/>
        <w:spacing w:before="200" w:after="120" w:line="36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8"/>
          <w:szCs w:val="28"/>
          <w:lang w:val="ru-RU"/>
        </w:rPr>
        <w:t xml:space="preserve">3.3.2. Оценка экономического эффекта стратегии</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Оценка экономического эффекта строится как сопоставление ожидаемой выручки стратегии с её бюджетом, разнесённым в таблице 3.2.6, и выражается в показателях ROI и срока окупаемости в трёх сценариях. Структура ожидаемой выручки следует двухуровневой модели продаж Face2, введённой в таблице 2.1.4 параграфа 2.1.</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Уровень 1 — продажа КБС под ключ — представлен моделью единичных крупных сделок длительного цикла. Целевые сегменты — банки и микрофинансовые организации со статусом оператора по № 115-ФЗ, государственные структуры с правом регистрации векторов в ЕБС, крупные корпорации с профильной аккредитацией. Доходность сделки складывается из лицензионных платежей за поставку программного контура КБС и платы за техническую поддержку и сопровождение. Средний чек сделки уровня 1 имеет порядок десятков миллионов рублей и принимается как сценарный параметр, опирающийся на структуру проекта КБС, описанную в технической документации Face2 [27; 28]; точное значение подлежит уточнению по данным маркетинговой службы банка.</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Уровень 2 — подключение конечного объекта к КБС, размещённой у Ак Барс Банка (Face2Pay, Face2Pass, Face2Check-in) — представлен моделью массовых сделок короткого цикла с транзакционной или абонементной экономикой. Целевые сегменты — ритейл и вендинг с возрастной верификацией, транспорт, гостеприимство, СКУД промышленных предприятий, бизнес-центров и вузов. Доходность подключения складывается из разовой платы за подключение объекта и текущих транзакционных или абонементных поступлений. Средний чек подключения принимается на уровне сотен тысяч рублей, а транзакционная составляющая опирается на публичный бенчмарк среднего чека биометрического платежа по Российской Федерации (770 руб.) и на динамику биометрических операций — около 145,9 млн платежей за девять месяцев 2025 года [32; 34]. Третий уровень (B2C-слой) прямой выручки не приносит и обслуживает выручку уровня 2 через массовое использование сервисов; в численный расчёт он входит косвенно через объём транзакций уровня 2.</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Сценарии различаются предпосылками: пессимистический (Π) исходит из медленного темпа масштабирования партнёрской сети, отсроченного получения сертификаций NIST FRTE и iBeta и низкой конверсии посетителя face2.ru в заявку; реалистический (Р) — из планового темпа масштабирования и получения сертификаций к концу фазы 2; оптимистический (О) — из ускоренного масштабирования, своевременного получения сертификаций и активного партнёрского отклика. Таблица 3.3.2 фиксирует сценарную развёртку выручки по двум уровням продаж и трём фазам реализации.</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3.3.2</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Сценарная развёртка ожидаемой выручки стратегии продвижения Face2 (Π / Р / О)</w:t>
      </w:r>
    </w:p>
    <w:tbl>
      <w:tblPr>
        <w:tblW w:w="9635"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490"/>
        <w:gridCol w:w="1299"/>
        <w:gridCol w:w="1299"/>
        <w:gridCol w:w="1299"/>
        <w:gridCol w:w="3248"/>
      </w:tblGrid>
      <w:tr>
        <w:trPr>
          <w:tblHeader/>
          <w:cantSplit/>
        </w:trPr>
        <w:tc>
          <w:tcPr>
            <w:tcW w:w="2490"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Уровень продаж и параметр</w:t>
            </w:r>
          </w:p>
        </w:tc>
        <w:tc>
          <w:tcPr>
            <w:tcW w:w="1299"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Фаза 1 (мес. 1–6)</w:t>
            </w:r>
          </w:p>
        </w:tc>
        <w:tc>
          <w:tcPr>
            <w:tcW w:w="1299"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Фаза 2 (мес. 7–18)</w:t>
            </w:r>
          </w:p>
        </w:tc>
        <w:tc>
          <w:tcPr>
            <w:tcW w:w="1299"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Фаза 3 (мес. 19–36)</w:t>
            </w:r>
          </w:p>
        </w:tc>
        <w:tc>
          <w:tcPr>
            <w:tcW w:w="3248"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Источник параметра</w:t>
            </w:r>
          </w:p>
        </w:tc>
      </w:tr>
      <w:tr>
        <w:trPr>
          <w:cantSplit/>
        </w:trPr>
        <w:tc>
          <w:tcPr>
            <w:tcW w:w="249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Уровень 1, число сделок КБС под ключ, шт./фаза</w:t>
            </w:r>
          </w:p>
        </w:tc>
        <w:tc>
          <w:tcPr>
            <w:tcW w:w="129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0 / 0 / 1</w:t>
            </w:r>
          </w:p>
        </w:tc>
        <w:tc>
          <w:tcPr>
            <w:tcW w:w="129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0–1 / 1 / 2</w:t>
            </w:r>
          </w:p>
        </w:tc>
        <w:tc>
          <w:tcPr>
            <w:tcW w:w="129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 / 2 / 4</w:t>
            </w:r>
          </w:p>
        </w:tc>
        <w:tc>
          <w:tcPr>
            <w:tcW w:w="324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Экспертная оценка с учётом цикла сделки 1–4 квартала [27; 28]</w:t>
            </w:r>
          </w:p>
        </w:tc>
      </w:tr>
      <w:tr>
        <w:trPr>
          <w:cantSplit/>
        </w:trPr>
        <w:tc>
          <w:tcPr>
            <w:tcW w:w="249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Уровень 1, средний чек сделки, млн руб.</w:t>
            </w:r>
          </w:p>
        </w:tc>
        <w:tc>
          <w:tcPr>
            <w:tcW w:w="129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 согласованию с банком</w:t>
            </w:r>
          </w:p>
        </w:tc>
        <w:tc>
          <w:tcPr>
            <w:tcW w:w="129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 согласованию с банком</w:t>
            </w:r>
          </w:p>
        </w:tc>
        <w:tc>
          <w:tcPr>
            <w:tcW w:w="129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 согласованию с банком</w:t>
            </w:r>
          </w:p>
        </w:tc>
        <w:tc>
          <w:tcPr>
            <w:tcW w:w="324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Структура проекта КБС [27; 28]</w:t>
            </w:r>
          </w:p>
        </w:tc>
      </w:tr>
      <w:tr>
        <w:trPr>
          <w:cantSplit/>
        </w:trPr>
        <w:tc>
          <w:tcPr>
            <w:tcW w:w="249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Уровень 2, число подключений объектов, шт./фаза</w:t>
            </w:r>
          </w:p>
        </w:tc>
        <w:tc>
          <w:tcPr>
            <w:tcW w:w="129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единицы</w:t>
            </w:r>
          </w:p>
        </w:tc>
        <w:tc>
          <w:tcPr>
            <w:tcW w:w="129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десятки</w:t>
            </w:r>
          </w:p>
        </w:tc>
        <w:tc>
          <w:tcPr>
            <w:tcW w:w="129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сотни</w:t>
            </w:r>
          </w:p>
        </w:tc>
        <w:tc>
          <w:tcPr>
            <w:tcW w:w="324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Экспертная оценка с учётом партнёрской сети [6; 7]</w:t>
            </w:r>
          </w:p>
        </w:tc>
      </w:tr>
      <w:tr>
        <w:trPr>
          <w:cantSplit/>
        </w:trPr>
        <w:tc>
          <w:tcPr>
            <w:tcW w:w="249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Уровень 2, средний чек подключения, тыс. руб.</w:t>
            </w:r>
          </w:p>
        </w:tc>
        <w:tc>
          <w:tcPr>
            <w:tcW w:w="129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 согласованию с банком</w:t>
            </w:r>
          </w:p>
        </w:tc>
        <w:tc>
          <w:tcPr>
            <w:tcW w:w="129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 согласованию с банком</w:t>
            </w:r>
          </w:p>
        </w:tc>
        <w:tc>
          <w:tcPr>
            <w:tcW w:w="129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 согласованию с банком</w:t>
            </w:r>
          </w:p>
        </w:tc>
        <w:tc>
          <w:tcPr>
            <w:tcW w:w="324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Экспертная оценка</w:t>
            </w:r>
          </w:p>
        </w:tc>
      </w:tr>
      <w:tr>
        <w:trPr>
          <w:cantSplit/>
        </w:trPr>
        <w:tc>
          <w:tcPr>
            <w:tcW w:w="249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Уровень 2, транзакционный доход, млн руб./фаза</w:t>
            </w:r>
          </w:p>
        </w:tc>
        <w:tc>
          <w:tcPr>
            <w:tcW w:w="129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формируется к концу фазы</w:t>
            </w:r>
          </w:p>
        </w:tc>
        <w:tc>
          <w:tcPr>
            <w:tcW w:w="129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нарастающий</w:t>
            </w:r>
          </w:p>
        </w:tc>
        <w:tc>
          <w:tcPr>
            <w:tcW w:w="129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основной вклад</w:t>
            </w:r>
          </w:p>
        </w:tc>
        <w:tc>
          <w:tcPr>
            <w:tcW w:w="324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 данным [32; 34]: средний чек 770 руб., число транзакций</w:t>
            </w:r>
          </w:p>
        </w:tc>
      </w:tr>
      <w:tr>
        <w:trPr>
          <w:cantSplit/>
        </w:trPr>
        <w:tc>
          <w:tcPr>
            <w:tcW w:w="249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Итого выручка фазы (Π / Р / О), млн руб.</w:t>
            </w:r>
          </w:p>
        </w:tc>
        <w:tc>
          <w:tcPr>
            <w:tcW w:w="129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низкая</w:t>
            </w:r>
          </w:p>
        </w:tc>
        <w:tc>
          <w:tcPr>
            <w:tcW w:w="129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средняя</w:t>
            </w:r>
          </w:p>
        </w:tc>
        <w:tc>
          <w:tcPr>
            <w:tcW w:w="129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основная</w:t>
            </w:r>
          </w:p>
        </w:tc>
        <w:tc>
          <w:tcPr>
            <w:tcW w:w="324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Сумма параметров уровня 1 и уровня 2</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по данным таблиц 2.1.4, 3.2.1, [27; 32; 37; 34; 28; 29]; численные значения параметров, помеченные «по согласованию с банком», подлежат уточнению маркетинговой и финансовой службами ПАО «Ак Барс Банк».</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Расчёт показателя возврата на инвестиции выполняется по формуле ROI = (Выручка − Бюджет) / Бюджет × 100 %, где бюджет берётся из таблицы 3.2.6, а выручка — из таблицы 3.3.2. Расчёт ведётся кумулятивно по фазам в трёх сценариях. Срок окупаемости определяется как момент, в который кумулятивная выручка покрывает кумулятивный бюджет стратегии. Сводная карта расчёта ROI и срока окупаемости представлена в таблице 3.3.3.</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3.3.3</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Сценарный расчёт ROI и срока окупаемости стратегии продвижения Face2</w:t>
      </w:r>
    </w:p>
    <w:tbl>
      <w:tblPr>
        <w:tblW w:w="9636"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53"/>
        <w:gridCol w:w="2594"/>
        <w:gridCol w:w="2409"/>
        <w:gridCol w:w="2780"/>
      </w:tblGrid>
      <w:tr>
        <w:trPr>
          <w:tblHeader/>
          <w:cantSplit/>
        </w:trPr>
        <w:tc>
          <w:tcPr>
            <w:tcW w:w="1853"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Показатель</w:t>
            </w:r>
          </w:p>
        </w:tc>
        <w:tc>
          <w:tcPr>
            <w:tcW w:w="2594"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Фаза 1 (конец мес. 6)</w:t>
            </w:r>
          </w:p>
        </w:tc>
        <w:tc>
          <w:tcPr>
            <w:tcW w:w="2409"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Фаза 2 (конец мес. 18)</w:t>
            </w:r>
          </w:p>
        </w:tc>
        <w:tc>
          <w:tcPr>
            <w:tcW w:w="2780"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Фаза 3 (конец мес. 36)</w:t>
            </w:r>
          </w:p>
        </w:tc>
      </w:tr>
      <w:tr>
        <w:trPr>
          <w:cantSplit/>
        </w:trPr>
        <w:tc>
          <w:tcPr>
            <w:tcW w:w="185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Кумулятивный бюджет, млн руб.</w:t>
            </w:r>
          </w:p>
        </w:tc>
        <w:tc>
          <w:tcPr>
            <w:tcW w:w="259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 таблице 3.2.6</w:t>
            </w:r>
          </w:p>
        </w:tc>
        <w:tc>
          <w:tcPr>
            <w:tcW w:w="240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 таблице 3.2.6</w:t>
            </w:r>
          </w:p>
        </w:tc>
        <w:tc>
          <w:tcPr>
            <w:tcW w:w="278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 таблице 3.2.6</w:t>
            </w:r>
          </w:p>
        </w:tc>
      </w:tr>
      <w:tr>
        <w:trPr>
          <w:cantSplit/>
        </w:trPr>
        <w:tc>
          <w:tcPr>
            <w:tcW w:w="185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Кумулятивная выручка Π / Р / О, млн руб.</w:t>
            </w:r>
          </w:p>
        </w:tc>
        <w:tc>
          <w:tcPr>
            <w:tcW w:w="259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 таблице 3.3.2</w:t>
            </w:r>
          </w:p>
        </w:tc>
        <w:tc>
          <w:tcPr>
            <w:tcW w:w="240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 таблице 3.3.2</w:t>
            </w:r>
          </w:p>
        </w:tc>
        <w:tc>
          <w:tcPr>
            <w:tcW w:w="278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 таблице 3.3.2</w:t>
            </w:r>
          </w:p>
        </w:tc>
      </w:tr>
      <w:tr>
        <w:trPr>
          <w:cantSplit/>
        </w:trPr>
        <w:tc>
          <w:tcPr>
            <w:tcW w:w="185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Чистый эффект Π / Р / О, млн руб.</w:t>
            </w:r>
          </w:p>
        </w:tc>
        <w:tc>
          <w:tcPr>
            <w:tcW w:w="259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(выручка − бюджет)</w:t>
            </w:r>
          </w:p>
        </w:tc>
        <w:tc>
          <w:tcPr>
            <w:tcW w:w="240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(выручка − бюджет)</w:t>
            </w:r>
          </w:p>
        </w:tc>
        <w:tc>
          <w:tcPr>
            <w:tcW w:w="278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(выручка − бюджет)</w:t>
            </w:r>
          </w:p>
        </w:tc>
      </w:tr>
      <w:tr>
        <w:trPr>
          <w:cantSplit/>
        </w:trPr>
        <w:tc>
          <w:tcPr>
            <w:tcW w:w="185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ROI Π / Р / О, %</w:t>
            </w:r>
          </w:p>
        </w:tc>
        <w:tc>
          <w:tcPr>
            <w:tcW w:w="259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пессимистический сценарий — отрицательный (фаза запуска)</w:t>
            </w:r>
          </w:p>
        </w:tc>
        <w:tc>
          <w:tcPr>
            <w:tcW w:w="240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реалистический сценарий — выход в положительную зону</w:t>
            </w:r>
          </w:p>
        </w:tc>
        <w:tc>
          <w:tcPr>
            <w:tcW w:w="278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реалистический сценарий — устойчиво положительный, оптимистический — высокий</w:t>
            </w:r>
          </w:p>
        </w:tc>
      </w:tr>
      <w:tr>
        <w:trPr>
          <w:cantSplit/>
        </w:trPr>
        <w:tc>
          <w:tcPr>
            <w:tcW w:w="185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Срок окупаемости (Π / Р / О), мес.</w:t>
            </w:r>
          </w:p>
        </w:tc>
        <w:tc>
          <w:tcPr>
            <w:tcW w:w="259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не достигается</w:t>
            </w:r>
          </w:p>
        </w:tc>
        <w:tc>
          <w:tcPr>
            <w:tcW w:w="240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потенциально достигается в Р и О</w:t>
            </w:r>
          </w:p>
        </w:tc>
        <w:tc>
          <w:tcPr>
            <w:tcW w:w="278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достигается в Р и О; в Π — выходит за горизонт 36 мес.</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расчёт автора по данным таблиц 3.2.6, 3.3.2.</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Помимо численного ROI стратегия даёт три качественных типа эффекта, не входящих в численную оценку, но фиксируемых как самостоятельные результаты. Первый — косвенный эффект для основной деятельности банка: переток клиентов в банковскую экосистему через Face2Pay, рост платёжных оборотов АББ через биоэквайринг по СБП, прирост аудитории мобильного приложения АБО за счёт сценариев регистрации в ЕБС и закрепление позиций АББ в транспортных проектах [26, с. 17, 30–31]. Второй — имиджевый и стратегический эффект: закрепление статуса федерального игрока на рынке биометрии, увеличение премии оценки бренда банка за счёт расширения референсной базы и возможность переноса разработанной коммуникационной модели на другие продукты ИТ-портфеля АББ. Третий — регуляторный эффект: закрепление статуса аккредитованного оператора КБС за счёт публичной регуляторной коммуникации (подраздел 3.2.4) и снижение риска утраты статуса при ужесточении подзаконных актов № 572-ФЗ [2; 3; 4]. Косвенный, имиджевый и регуляторный эффекты не входят в формальный расчёт ROI, но образуют дополнительный пласт обоснования экономической целесообразности стратегии и работают на снижение претензии о недостаточности численного эффекта в коротком горизонте.</w:t>
      </w:r>
    </w:p>
    <w:p>
      <w:pPr>
        <w:keepNext/>
        <w:keepLines/>
        <w:spacing w:before="200" w:after="120" w:line="36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8"/>
          <w:szCs w:val="28"/>
          <w:lang w:val="ru-RU"/>
        </w:rPr>
        <w:t xml:space="preserve">3.3.3. Матрица рисков реализации стратегии и способы их снижения</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Управление рисками стратегии строится как двухслойная матрица. Нижний слой — реализационные риски, которые зависят от качества внедрения и управляются мероприятиями параграфа 3.2; верхний слой — остаточные регуляторные и репутационные риски рынка биометрии, которые стратегия не снимает, а ослабляет (за счёт регуляторного контента и доказательной базы) и обходит (за счёт массового канала через банковскую экосистему). Двухслойная конструкция отвечает на ожидаемое замечание о том, что часть рисков биометрии лежит за пределами управляемости отдельной маркетинговой стратегии, и одновременно показывает, что эти риски учтены в проекте. Используется типология рисков из таблицы 1.1.3 параграфа 1.1 — технические, рыночные, финансовые, репутационные, регуляторные, организационные, конкурентные [15, с. 117]; каждый риск оценивается по двум осям — вероятности (низкая, средняя, высокая) и потенциальному ущербу (низкий, средний, высокий, очень высокий).</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Реализационные риски стратегии и способы их снижения сведены в таблице 3.3.4.</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3.3.4</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Реализационные риски стратегии продвижения Face2 и меры реагирования</w:t>
      </w:r>
    </w:p>
    <w:tbl>
      <w:tblPr>
        <w:tblW w:w="9636"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554"/>
        <w:gridCol w:w="3109"/>
        <w:gridCol w:w="1139"/>
        <w:gridCol w:w="725"/>
        <w:gridCol w:w="3109"/>
      </w:tblGrid>
      <w:tr>
        <w:trPr>
          <w:tblHeader/>
          <w:cantSplit/>
        </w:trPr>
        <w:tc>
          <w:tcPr>
            <w:tcW w:w="1554"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Тип риска</w:t>
            </w:r>
          </w:p>
        </w:tc>
        <w:tc>
          <w:tcPr>
            <w:tcW w:w="3109"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Содержание риска</w:t>
            </w:r>
          </w:p>
        </w:tc>
        <w:tc>
          <w:tcPr>
            <w:tcW w:w="1139"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Вероятность</w:t>
            </w:r>
          </w:p>
        </w:tc>
        <w:tc>
          <w:tcPr>
            <w:tcW w:w="725"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Ущерб</w:t>
            </w:r>
          </w:p>
        </w:tc>
        <w:tc>
          <w:tcPr>
            <w:tcW w:w="3109"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Способ снижения</w:t>
            </w:r>
          </w:p>
        </w:tc>
      </w:tr>
      <w:tr>
        <w:trPr>
          <w:cantSplit/>
        </w:trPr>
        <w:tc>
          <w:tcPr>
            <w:tcW w:w="155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Финансовый</w:t>
            </w:r>
          </w:p>
        </w:tc>
        <w:tc>
          <w:tcPr>
            <w:tcW w:w="310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Превышение бюджета фазы 1 (CAPEX на сайт, контентную студию, брендинг)</w:t>
            </w:r>
          </w:p>
        </w:tc>
        <w:tc>
          <w:tcPr>
            <w:tcW w:w="113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Средняя</w:t>
            </w:r>
          </w:p>
        </w:tc>
        <w:tc>
          <w:tcPr>
            <w:tcW w:w="72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Средний</w:t>
            </w:r>
          </w:p>
        </w:tc>
        <w:tc>
          <w:tcPr>
            <w:tcW w:w="310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Поэтапное финансирование с квартальной ревизией; KPI-контроль по 3.3.1; перенос статей между фазами</w:t>
            </w:r>
          </w:p>
        </w:tc>
      </w:tr>
      <w:tr>
        <w:trPr>
          <w:cantSplit/>
        </w:trPr>
        <w:tc>
          <w:tcPr>
            <w:tcW w:w="155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Финансовый</w:t>
            </w:r>
          </w:p>
        </w:tc>
        <w:tc>
          <w:tcPr>
            <w:tcW w:w="310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Низкая отдача OPEX-расходов на контекстную рекламу и SMM</w:t>
            </w:r>
          </w:p>
        </w:tc>
        <w:tc>
          <w:tcPr>
            <w:tcW w:w="113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Средняя</w:t>
            </w:r>
          </w:p>
        </w:tc>
        <w:tc>
          <w:tcPr>
            <w:tcW w:w="72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Низкий</w:t>
            </w:r>
          </w:p>
        </w:tc>
        <w:tc>
          <w:tcPr>
            <w:tcW w:w="310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Контрольные точки по итогам мес. 3 и 6; A/B-тестирование креативов; перенос бюджета между статьями OPEX</w:t>
            </w:r>
          </w:p>
        </w:tc>
      </w:tr>
      <w:tr>
        <w:trPr>
          <w:cantSplit/>
        </w:trPr>
        <w:tc>
          <w:tcPr>
            <w:tcW w:w="155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Рыночный</w:t>
            </w:r>
          </w:p>
        </w:tc>
        <w:tc>
          <w:tcPr>
            <w:tcW w:w="310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Низкая конверсия face2.ru в заявку (ниже 1,5 %)</w:t>
            </w:r>
          </w:p>
        </w:tc>
        <w:tc>
          <w:tcPr>
            <w:tcW w:w="113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Средняя</w:t>
            </w:r>
          </w:p>
        </w:tc>
        <w:tc>
          <w:tcPr>
            <w:tcW w:w="72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Средний</w:t>
            </w:r>
          </w:p>
        </w:tc>
        <w:tc>
          <w:tcPr>
            <w:tcW w:w="310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A/B-тестирование посадочных страниц; пересборка офферов 3.2.2; уточнение CTA-механики</w:t>
            </w:r>
          </w:p>
        </w:tc>
      </w:tr>
      <w:tr>
        <w:trPr>
          <w:cantSplit/>
        </w:trPr>
        <w:tc>
          <w:tcPr>
            <w:tcW w:w="155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Рыночный</w:t>
            </w:r>
          </w:p>
        </w:tc>
        <w:tc>
          <w:tcPr>
            <w:tcW w:w="310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Срыв пилотных проектов фазы 2 у внешних клиентов</w:t>
            </w:r>
          </w:p>
        </w:tc>
        <w:tc>
          <w:tcPr>
            <w:tcW w:w="113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Средняя</w:t>
            </w:r>
          </w:p>
        </w:tc>
        <w:tc>
          <w:tcPr>
            <w:tcW w:w="72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Высокий</w:t>
            </w:r>
          </w:p>
        </w:tc>
        <w:tc>
          <w:tcPr>
            <w:tcW w:w="310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Опора на внутренний кейс АББ (5 тыс. сотрудников, 200 биотерминалов) как референс; стандартизованные технические требования к пилотам [27; 28]</w:t>
            </w:r>
          </w:p>
        </w:tc>
      </w:tr>
      <w:tr>
        <w:trPr>
          <w:cantSplit/>
        </w:trPr>
        <w:tc>
          <w:tcPr>
            <w:tcW w:w="155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Технический</w:t>
            </w:r>
          </w:p>
        </w:tc>
        <w:tc>
          <w:tcPr>
            <w:tcW w:w="310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Сбои интеграции при подключении объектов уровня 2</w:t>
            </w:r>
          </w:p>
        </w:tc>
        <w:tc>
          <w:tcPr>
            <w:tcW w:w="113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Низкая</w:t>
            </w:r>
          </w:p>
        </w:tc>
        <w:tc>
          <w:tcPr>
            <w:tcW w:w="72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Средний</w:t>
            </w:r>
          </w:p>
        </w:tc>
        <w:tc>
          <w:tcPr>
            <w:tcW w:w="310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Поэтапное масштабирование подключений; sandbox-тестирование; готовая документация Face2 [28; 29]</w:t>
            </w:r>
          </w:p>
        </w:tc>
      </w:tr>
      <w:tr>
        <w:trPr>
          <w:cantSplit/>
        </w:trPr>
        <w:tc>
          <w:tcPr>
            <w:tcW w:w="155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Организационный</w:t>
            </w:r>
          </w:p>
        </w:tc>
        <w:tc>
          <w:tcPr>
            <w:tcW w:w="310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Дефицит маркетинговой команды для контентного конвейера и PR-сопровождения</w:t>
            </w:r>
          </w:p>
        </w:tc>
        <w:tc>
          <w:tcPr>
            <w:tcW w:w="113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Высокая</w:t>
            </w:r>
          </w:p>
        </w:tc>
        <w:tc>
          <w:tcPr>
            <w:tcW w:w="72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Средний</w:t>
            </w:r>
          </w:p>
        </w:tc>
        <w:tc>
          <w:tcPr>
            <w:tcW w:w="310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Планирование штата маркетинговой службы уже в фазе 1; альтернатива — внешнее агентство с фиксированным KPI</w:t>
            </w:r>
          </w:p>
        </w:tc>
      </w:tr>
      <w:tr>
        <w:trPr>
          <w:cantSplit/>
        </w:trPr>
        <w:tc>
          <w:tcPr>
            <w:tcW w:w="155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Конкурентный</w:t>
            </w:r>
          </w:p>
        </w:tc>
        <w:tc>
          <w:tcPr>
            <w:tcW w:w="310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Ускоренное расширение ПАО «Сбербанк» в B2G и в регионах за пределами Москвы и Санкт-Петербурга</w:t>
            </w:r>
          </w:p>
        </w:tc>
        <w:tc>
          <w:tcPr>
            <w:tcW w:w="113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Средняя</w:t>
            </w:r>
          </w:p>
        </w:tc>
        <w:tc>
          <w:tcPr>
            <w:tcW w:w="72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Высокий</w:t>
            </w:r>
          </w:p>
        </w:tc>
        <w:tc>
          <w:tcPr>
            <w:tcW w:w="310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Опора на регуляторный капитал и партнёрства с Минцифры РФ, Минтрансом РФ и НСПК как защитное преимущество [26, с. 30–31; 38]</w:t>
            </w:r>
          </w:p>
        </w:tc>
      </w:tr>
      <w:tr>
        <w:trPr>
          <w:cantSplit/>
        </w:trPr>
        <w:tc>
          <w:tcPr>
            <w:tcW w:w="155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Конкурентный</w:t>
            </w:r>
          </w:p>
        </w:tc>
        <w:tc>
          <w:tcPr>
            <w:tcW w:w="310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Технологический ответ VisionLabs (Deepfake Detection 2.0, продуктовое расширение)</w:t>
            </w:r>
          </w:p>
        </w:tc>
        <w:tc>
          <w:tcPr>
            <w:tcW w:w="113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Средняя</w:t>
            </w:r>
          </w:p>
        </w:tc>
        <w:tc>
          <w:tcPr>
            <w:tcW w:w="72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Средний</w:t>
            </w:r>
          </w:p>
        </w:tc>
        <w:tc>
          <w:tcPr>
            <w:tcW w:w="310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Подача заявок на NIST FRTE и iBeta Level 2 в фазе 1; закрепление продуктового лидерства Face2 в сегменте КБС [40]</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по данным таблицы 1.1.3, [15, с. 117; 27; 38; 40; 28; 29].</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Остаточные регуляторные и репутационные риски рынка биометрии и способы их снижения сведены в таблице 3.3.5. Эти риски стратегия Face2 не устраняет — они являются объективными свойствами рынка, на котором работает аккредитованный оператор КБС, — но снижает их вероятность через регуляторно ориентированное позиционирование и контентный конвейер 3.2.4 и снижает их ущерб через диверсификацию каналов и устойчивую инфраструктуру.</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3.3.5</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Остаточные регуляторные и репутационные риски рынка биометрии и меры реагирования</w:t>
      </w:r>
    </w:p>
    <w:tbl>
      <w:tblPr>
        <w:tblW w:w="9636"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376"/>
        <w:gridCol w:w="3177"/>
        <w:gridCol w:w="1165"/>
        <w:gridCol w:w="741"/>
        <w:gridCol w:w="3177"/>
      </w:tblGrid>
      <w:tr>
        <w:trPr>
          <w:tblHeader/>
          <w:cantSplit/>
        </w:trPr>
        <w:tc>
          <w:tcPr>
            <w:tcW w:w="1376"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Тип риска</w:t>
            </w:r>
          </w:p>
        </w:tc>
        <w:tc>
          <w:tcPr>
            <w:tcW w:w="3177"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Содержание риска</w:t>
            </w:r>
          </w:p>
        </w:tc>
        <w:tc>
          <w:tcPr>
            <w:tcW w:w="1165"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Вероятность</w:t>
            </w:r>
          </w:p>
        </w:tc>
        <w:tc>
          <w:tcPr>
            <w:tcW w:w="741"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Ущерб</w:t>
            </w:r>
          </w:p>
        </w:tc>
        <w:tc>
          <w:tcPr>
            <w:tcW w:w="3177"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Способ снижения</w:t>
            </w:r>
          </w:p>
        </w:tc>
      </w:tr>
      <w:tr>
        <w:trPr>
          <w:cantSplit/>
        </w:trPr>
        <w:tc>
          <w:tcPr>
            <w:tcW w:w="137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Регуляторный</w:t>
            </w:r>
          </w:p>
        </w:tc>
        <w:tc>
          <w:tcPr>
            <w:tcW w:w="317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Изменение № 572-ФЗ или подзаконных актов Банка России и Минцифры РФ ([2; 3; 4])</w:t>
            </w:r>
          </w:p>
        </w:tc>
        <w:tc>
          <w:tcPr>
            <w:tcW w:w="116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Средняя</w:t>
            </w:r>
          </w:p>
        </w:tc>
        <w:tc>
          <w:tcPr>
            <w:tcW w:w="74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Высокий</w:t>
            </w:r>
          </w:p>
        </w:tc>
        <w:tc>
          <w:tcPr>
            <w:tcW w:w="317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Юридическое сопровождение; координация с ЦБТ [37]; гибкая архитектура КБС, позволяющая адаптировать схему сбора и обработки векторов</w:t>
            </w:r>
          </w:p>
        </w:tc>
      </w:tr>
      <w:tr>
        <w:trPr>
          <w:cantSplit/>
        </w:trPr>
        <w:tc>
          <w:tcPr>
            <w:tcW w:w="137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Регуляторный</w:t>
            </w:r>
          </w:p>
        </w:tc>
        <w:tc>
          <w:tcPr>
            <w:tcW w:w="317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Ужесточение требований к согласию граждан на сдачу биометрии</w:t>
            </w:r>
          </w:p>
        </w:tc>
        <w:tc>
          <w:tcPr>
            <w:tcW w:w="116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Средняя</w:t>
            </w:r>
          </w:p>
        </w:tc>
        <w:tc>
          <w:tcPr>
            <w:tcW w:w="74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Средний</w:t>
            </w:r>
          </w:p>
        </w:tc>
        <w:tc>
          <w:tcPr>
            <w:tcW w:w="317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Превентивная адаптация UX регистрации в ЕБС; обучающий контент 3.2.4</w:t>
            </w:r>
          </w:p>
        </w:tc>
      </w:tr>
      <w:tr>
        <w:trPr>
          <w:cantSplit/>
        </w:trPr>
        <w:tc>
          <w:tcPr>
            <w:tcW w:w="137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Регуляторный</w:t>
            </w:r>
          </w:p>
        </w:tc>
        <w:tc>
          <w:tcPr>
            <w:tcW w:w="317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Отзыв или приостановление аккредитации одного из участников рынка</w:t>
            </w:r>
          </w:p>
        </w:tc>
        <w:tc>
          <w:tcPr>
            <w:tcW w:w="116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Низкая</w:t>
            </w:r>
          </w:p>
        </w:tc>
        <w:tc>
          <w:tcPr>
            <w:tcW w:w="74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Очень высокий</w:t>
            </w:r>
          </w:p>
        </w:tc>
        <w:tc>
          <w:tcPr>
            <w:tcW w:w="317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Жёсткое соблюдение пятиуровневой регуляторной конструкции (КБС, ЕБС, ФСБ, ФСТЭК, реестр Минцифры); внутренний регуляторный аудит</w:t>
            </w:r>
          </w:p>
        </w:tc>
      </w:tr>
      <w:tr>
        <w:trPr>
          <w:cantSplit/>
        </w:trPr>
        <w:tc>
          <w:tcPr>
            <w:tcW w:w="137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Репутационный</w:t>
            </w:r>
          </w:p>
        </w:tc>
        <w:tc>
          <w:tcPr>
            <w:tcW w:w="317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Утечка биометрических данных у любого оператора рынка (даже не у Ак Барс Банка)</w:t>
            </w:r>
          </w:p>
        </w:tc>
        <w:tc>
          <w:tcPr>
            <w:tcW w:w="116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Средняя</w:t>
            </w:r>
          </w:p>
        </w:tc>
        <w:tc>
          <w:tcPr>
            <w:tcW w:w="74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Высокий</w:t>
            </w:r>
          </w:p>
        </w:tc>
        <w:tc>
          <w:tcPr>
            <w:tcW w:w="317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Готовность кризисного PR-плана; проактивная коммуникация о криптозащите векторов; явная демонстрация архитектуры безопасности в материалах 3.2.4</w:t>
            </w:r>
          </w:p>
        </w:tc>
      </w:tr>
      <w:tr>
        <w:trPr>
          <w:cantSplit/>
        </w:trPr>
        <w:tc>
          <w:tcPr>
            <w:tcW w:w="137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Репутационный</w:t>
            </w:r>
          </w:p>
        </w:tc>
        <w:tc>
          <w:tcPr>
            <w:tcW w:w="317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Негативный медиа-кейс по теме «биометрия как инструмент слежки»</w:t>
            </w:r>
          </w:p>
        </w:tc>
        <w:tc>
          <w:tcPr>
            <w:tcW w:w="116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Высокая</w:t>
            </w:r>
          </w:p>
        </w:tc>
        <w:tc>
          <w:tcPr>
            <w:tcW w:w="74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Средний</w:t>
            </w:r>
          </w:p>
        </w:tc>
        <w:tc>
          <w:tcPr>
            <w:tcW w:w="317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Регулярный регуляторный контент-конвейер 3.2.4; работа с лидерами мнений в IT-сообществе</w:t>
            </w:r>
          </w:p>
        </w:tc>
      </w:tr>
      <w:tr>
        <w:trPr>
          <w:cantSplit/>
        </w:trPr>
        <w:tc>
          <w:tcPr>
            <w:tcW w:w="137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Технический внешний</w:t>
            </w:r>
          </w:p>
        </w:tc>
        <w:tc>
          <w:tcPr>
            <w:tcW w:w="317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Атака на инфраструктуру ЕБС или КБС</w:t>
            </w:r>
          </w:p>
        </w:tc>
        <w:tc>
          <w:tcPr>
            <w:tcW w:w="116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Низкая</w:t>
            </w:r>
          </w:p>
        </w:tc>
        <w:tc>
          <w:tcPr>
            <w:tcW w:w="74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Очень высокий</w:t>
            </w:r>
          </w:p>
        </w:tc>
        <w:tc>
          <w:tcPr>
            <w:tcW w:w="317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Сертификация ФСБ и ФСТЭК; резервирование; внешний аудит кибербезопасности</w:t>
            </w:r>
          </w:p>
        </w:tc>
      </w:tr>
      <w:tr>
        <w:trPr>
          <w:cantSplit/>
        </w:trPr>
        <w:tc>
          <w:tcPr>
            <w:tcW w:w="137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Социальный</w:t>
            </w:r>
          </w:p>
        </w:tc>
        <w:tc>
          <w:tcPr>
            <w:tcW w:w="317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Снижение доверия населения к биометрии на фоне общественной дискуссии</w:t>
            </w:r>
          </w:p>
        </w:tc>
        <w:tc>
          <w:tcPr>
            <w:tcW w:w="116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Средняя</w:t>
            </w:r>
          </w:p>
        </w:tc>
        <w:tc>
          <w:tcPr>
            <w:tcW w:w="74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Высокий</w:t>
            </w:r>
          </w:p>
        </w:tc>
        <w:tc>
          <w:tcPr>
            <w:tcW w:w="317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Долгосрочная образовательная коммуникация в направлении В; партнёрства с экспертным сообществом</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по данным таблицы 1.1.3, [15, с. 117; 16, с. 43–48; 24, с. 100–110; 25, с. 112–115; 1; 36; 35; 32; 37; 2; 3; 4].</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Двухслойная матрица рисков связана с диагностикой барьеров биометрии, проведённой в параграфе 1.3 и в подразделе 3.1.1: реализационный слой (таблица 3.3.4) содержит управляемые риски, прямо адресуемые мероприятиями параграфа 3.2, а остаточный слой (таблица 3.3.5) соответствует объективным барьерам рынка биометрии — недоверию пользователей, регуляторной нестабильности, репутационным эффектам отраслевых утечек. Стратегия 3.2 эти барьеры не отменяет — она их ослабляет за счёт регуляторного и доказательного контента и обходит за счёт массового канала через банковскую экосистему (направление В в таблице 3.2.1).</w:t>
      </w:r>
    </w:p>
    <w:p>
      <w:pPr>
        <w:keepNext/>
        <w:keepLines/>
        <w:spacing w:before="200" w:after="120" w:line="36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8"/>
          <w:szCs w:val="28"/>
          <w:lang w:val="ru-RU"/>
        </w:rPr>
        <w:t xml:space="preserve">3.3.4. Организационный план внедрения стратегии</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Организационный план переводит трёхфазную содержательную логику этапов реализации, обоснованную в подразделе 3.2.5, в плоскость календаря, распределения ответственности и контрольных точек. Содержательная логика и оргплан намеренно разнесены между параграфами 3.2 и 3.3 (содержательная — что именно делается в каждой фазе — закрепляется в подразделе 3.2.5; организационная — кто и в какие сроки это делает — в настоящем подразделе), что соответствует принципу разделения предметной и управленческой плоскостей внедрения.</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Распределение ответственности строится по матрице RACI (Responsible — исполнитель, Accountable — ответственный, Consulted — консультирующий, Informed — информируемый). В состав участников входят маркетинговая (продуктовая) служба Face2 в составе АББ, команда Face2 в составе АО «Социальная карта», PR-функция АББ, юридическая служба банка, CISO, подразделение продаж B2B, партнёрское подразделение, а также внешние партнёры — рекламное агентство, контент-студия и организаторы отраслевых мероприятий. Распределение ответственности по ключевым мероприятиям параграфа 3.2 представлено в таблице 3.3.6.</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3.3.6</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RACI-матрица распределения ответственности по мероприятиям стратегии продвижения Face2</w:t>
      </w:r>
    </w:p>
    <w:tbl>
      <w:tblPr>
        <w:tblW w:w="9632"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356"/>
        <w:gridCol w:w="1134"/>
        <w:gridCol w:w="652"/>
        <w:gridCol w:w="872"/>
        <w:gridCol w:w="959"/>
        <w:gridCol w:w="652"/>
        <w:gridCol w:w="652"/>
        <w:gridCol w:w="1134"/>
        <w:gridCol w:w="1221"/>
      </w:tblGrid>
      <w:tr>
        <w:trPr>
          <w:tblHeader/>
          <w:cantSplit/>
        </w:trPr>
        <w:tc>
          <w:tcPr>
            <w:tcW w:w="2356"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Мероприятие</w:t>
            </w:r>
          </w:p>
        </w:tc>
        <w:tc>
          <w:tcPr>
            <w:tcW w:w="1134"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Маркетинговая служба</w:t>
            </w:r>
          </w:p>
        </w:tc>
        <w:tc>
          <w:tcPr>
            <w:tcW w:w="652"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Команда Face2</w:t>
            </w:r>
          </w:p>
        </w:tc>
        <w:tc>
          <w:tcPr>
            <w:tcW w:w="872"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PR-функция</w:t>
            </w:r>
          </w:p>
        </w:tc>
        <w:tc>
          <w:tcPr>
            <w:tcW w:w="959"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Юридическая служба</w:t>
            </w:r>
          </w:p>
        </w:tc>
        <w:tc>
          <w:tcPr>
            <w:tcW w:w="652"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CISO</w:t>
            </w:r>
          </w:p>
        </w:tc>
        <w:tc>
          <w:tcPr>
            <w:tcW w:w="652"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Продажи B2B</w:t>
            </w:r>
          </w:p>
        </w:tc>
        <w:tc>
          <w:tcPr>
            <w:tcW w:w="1134"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Партнёрское подразделение</w:t>
            </w:r>
          </w:p>
        </w:tc>
        <w:tc>
          <w:tcPr>
            <w:tcW w:w="1221"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Внешние партнёры</w:t>
            </w:r>
          </w:p>
        </w:tc>
      </w:tr>
      <w:tr>
        <w:trPr>
          <w:cantSplit/>
        </w:trPr>
        <w:tc>
          <w:tcPr>
            <w:tcW w:w="235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Переоснащение face2.ru под CTA-механику</w:t>
            </w:r>
          </w:p>
        </w:tc>
        <w:tc>
          <w:tcPr>
            <w:tcW w:w="113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A</w:t>
            </w:r>
          </w:p>
        </w:tc>
        <w:tc>
          <w:tcPr>
            <w:tcW w:w="65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R</w:t>
            </w:r>
          </w:p>
        </w:tc>
        <w:tc>
          <w:tcPr>
            <w:tcW w:w="87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C</w:t>
            </w:r>
          </w:p>
        </w:tc>
        <w:tc>
          <w:tcPr>
            <w:tcW w:w="95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C</w:t>
            </w:r>
          </w:p>
        </w:tc>
        <w:tc>
          <w:tcPr>
            <w:tcW w:w="65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I</w:t>
            </w:r>
          </w:p>
        </w:tc>
        <w:tc>
          <w:tcPr>
            <w:tcW w:w="65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I</w:t>
            </w:r>
          </w:p>
        </w:tc>
        <w:tc>
          <w:tcPr>
            <w:tcW w:w="113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I</w:t>
            </w:r>
          </w:p>
        </w:tc>
        <w:tc>
          <w:tcPr>
            <w:tcW w:w="122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R (агентство)</w:t>
            </w:r>
          </w:p>
        </w:tc>
      </w:tr>
      <w:tr>
        <w:trPr>
          <w:cantSplit/>
        </w:trPr>
        <w:tc>
          <w:tcPr>
            <w:tcW w:w="235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Контентный конвейер (3 типа контента)</w:t>
            </w:r>
          </w:p>
        </w:tc>
        <w:tc>
          <w:tcPr>
            <w:tcW w:w="113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A</w:t>
            </w:r>
          </w:p>
        </w:tc>
        <w:tc>
          <w:tcPr>
            <w:tcW w:w="65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C</w:t>
            </w:r>
          </w:p>
        </w:tc>
        <w:tc>
          <w:tcPr>
            <w:tcW w:w="87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R</w:t>
            </w:r>
          </w:p>
        </w:tc>
        <w:tc>
          <w:tcPr>
            <w:tcW w:w="95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C</w:t>
            </w:r>
          </w:p>
        </w:tc>
        <w:tc>
          <w:tcPr>
            <w:tcW w:w="65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C</w:t>
            </w:r>
          </w:p>
        </w:tc>
        <w:tc>
          <w:tcPr>
            <w:tcW w:w="65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I</w:t>
            </w:r>
          </w:p>
        </w:tc>
        <w:tc>
          <w:tcPr>
            <w:tcW w:w="113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I</w:t>
            </w:r>
          </w:p>
        </w:tc>
        <w:tc>
          <w:tcPr>
            <w:tcW w:w="122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R (студия)</w:t>
            </w:r>
          </w:p>
        </w:tc>
      </w:tr>
      <w:tr>
        <w:trPr>
          <w:cantSplit/>
        </w:trPr>
        <w:tc>
          <w:tcPr>
            <w:tcW w:w="235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Заявки на NIST FRTE и iBeta Level 2</w:t>
            </w:r>
          </w:p>
        </w:tc>
        <w:tc>
          <w:tcPr>
            <w:tcW w:w="113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I</w:t>
            </w:r>
          </w:p>
        </w:tc>
        <w:tc>
          <w:tcPr>
            <w:tcW w:w="65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A/R</w:t>
            </w:r>
          </w:p>
        </w:tc>
        <w:tc>
          <w:tcPr>
            <w:tcW w:w="87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C</w:t>
            </w:r>
          </w:p>
        </w:tc>
        <w:tc>
          <w:tcPr>
            <w:tcW w:w="95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C</w:t>
            </w:r>
          </w:p>
        </w:tc>
        <w:tc>
          <w:tcPr>
            <w:tcW w:w="65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C</w:t>
            </w:r>
          </w:p>
        </w:tc>
        <w:tc>
          <w:tcPr>
            <w:tcW w:w="65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I</w:t>
            </w:r>
          </w:p>
        </w:tc>
        <w:tc>
          <w:tcPr>
            <w:tcW w:w="113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I</w:t>
            </w:r>
          </w:p>
        </w:tc>
        <w:tc>
          <w:tcPr>
            <w:tcW w:w="122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R (лаборатория)</w:t>
            </w:r>
          </w:p>
        </w:tc>
      </w:tr>
      <w:tr>
        <w:trPr>
          <w:cantSplit/>
        </w:trPr>
        <w:tc>
          <w:tcPr>
            <w:tcW w:w="235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Участие в отраслевых конференциях</w:t>
            </w:r>
          </w:p>
        </w:tc>
        <w:tc>
          <w:tcPr>
            <w:tcW w:w="113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A</w:t>
            </w:r>
          </w:p>
        </w:tc>
        <w:tc>
          <w:tcPr>
            <w:tcW w:w="65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C</w:t>
            </w:r>
          </w:p>
        </w:tc>
        <w:tc>
          <w:tcPr>
            <w:tcW w:w="87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R</w:t>
            </w:r>
          </w:p>
        </w:tc>
        <w:tc>
          <w:tcPr>
            <w:tcW w:w="95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I</w:t>
            </w:r>
          </w:p>
        </w:tc>
        <w:tc>
          <w:tcPr>
            <w:tcW w:w="65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C</w:t>
            </w:r>
          </w:p>
        </w:tc>
        <w:tc>
          <w:tcPr>
            <w:tcW w:w="65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C</w:t>
            </w:r>
          </w:p>
        </w:tc>
        <w:tc>
          <w:tcPr>
            <w:tcW w:w="113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C</w:t>
            </w:r>
          </w:p>
        </w:tc>
        <w:tc>
          <w:tcPr>
            <w:tcW w:w="122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R (организаторы)</w:t>
            </w:r>
          </w:p>
        </w:tc>
      </w:tr>
      <w:tr>
        <w:trPr>
          <w:cantSplit/>
        </w:trPr>
        <w:tc>
          <w:tcPr>
            <w:tcW w:w="235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Развитие партнёрской сети интеграторов и вендоров</w:t>
            </w:r>
          </w:p>
        </w:tc>
        <w:tc>
          <w:tcPr>
            <w:tcW w:w="113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C</w:t>
            </w:r>
          </w:p>
        </w:tc>
        <w:tc>
          <w:tcPr>
            <w:tcW w:w="65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C</w:t>
            </w:r>
          </w:p>
        </w:tc>
        <w:tc>
          <w:tcPr>
            <w:tcW w:w="87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I</w:t>
            </w:r>
          </w:p>
        </w:tc>
        <w:tc>
          <w:tcPr>
            <w:tcW w:w="95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I</w:t>
            </w:r>
          </w:p>
        </w:tc>
        <w:tc>
          <w:tcPr>
            <w:tcW w:w="65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I</w:t>
            </w:r>
          </w:p>
        </w:tc>
        <w:tc>
          <w:tcPr>
            <w:tcW w:w="65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C</w:t>
            </w:r>
          </w:p>
        </w:tc>
        <w:tc>
          <w:tcPr>
            <w:tcW w:w="113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A/R</w:t>
            </w:r>
          </w:p>
        </w:tc>
        <w:tc>
          <w:tcPr>
            <w:tcW w:w="122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I</w:t>
            </w:r>
          </w:p>
        </w:tc>
      </w:tr>
      <w:tr>
        <w:trPr>
          <w:cantSplit/>
        </w:trPr>
        <w:tc>
          <w:tcPr>
            <w:tcW w:w="235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Пилоты уровня 1 (КБС под ключ)</w:t>
            </w:r>
          </w:p>
        </w:tc>
        <w:tc>
          <w:tcPr>
            <w:tcW w:w="113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C</w:t>
            </w:r>
          </w:p>
        </w:tc>
        <w:tc>
          <w:tcPr>
            <w:tcW w:w="65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R</w:t>
            </w:r>
          </w:p>
        </w:tc>
        <w:tc>
          <w:tcPr>
            <w:tcW w:w="87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I</w:t>
            </w:r>
          </w:p>
        </w:tc>
        <w:tc>
          <w:tcPr>
            <w:tcW w:w="95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C</w:t>
            </w:r>
          </w:p>
        </w:tc>
        <w:tc>
          <w:tcPr>
            <w:tcW w:w="65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C</w:t>
            </w:r>
          </w:p>
        </w:tc>
        <w:tc>
          <w:tcPr>
            <w:tcW w:w="65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A</w:t>
            </w:r>
          </w:p>
        </w:tc>
        <w:tc>
          <w:tcPr>
            <w:tcW w:w="113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C</w:t>
            </w:r>
          </w:p>
        </w:tc>
        <w:tc>
          <w:tcPr>
            <w:tcW w:w="122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I</w:t>
            </w:r>
          </w:p>
        </w:tc>
      </w:tr>
      <w:tr>
        <w:trPr>
          <w:cantSplit/>
        </w:trPr>
        <w:tc>
          <w:tcPr>
            <w:tcW w:w="235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Подключения объектов уровня 2 (Face2Pay/Pass/Check-in)</w:t>
            </w:r>
          </w:p>
        </w:tc>
        <w:tc>
          <w:tcPr>
            <w:tcW w:w="113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A</w:t>
            </w:r>
          </w:p>
        </w:tc>
        <w:tc>
          <w:tcPr>
            <w:tcW w:w="65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R</w:t>
            </w:r>
          </w:p>
        </w:tc>
        <w:tc>
          <w:tcPr>
            <w:tcW w:w="87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I</w:t>
            </w:r>
          </w:p>
        </w:tc>
        <w:tc>
          <w:tcPr>
            <w:tcW w:w="95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I</w:t>
            </w:r>
          </w:p>
        </w:tc>
        <w:tc>
          <w:tcPr>
            <w:tcW w:w="65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I</w:t>
            </w:r>
          </w:p>
        </w:tc>
        <w:tc>
          <w:tcPr>
            <w:tcW w:w="65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C</w:t>
            </w:r>
          </w:p>
        </w:tc>
        <w:tc>
          <w:tcPr>
            <w:tcW w:w="113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R</w:t>
            </w:r>
          </w:p>
        </w:tc>
        <w:tc>
          <w:tcPr>
            <w:tcW w:w="122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I</w:t>
            </w:r>
          </w:p>
        </w:tc>
      </w:tr>
      <w:tr>
        <w:trPr>
          <w:cantSplit/>
        </w:trPr>
        <w:tc>
          <w:tcPr>
            <w:tcW w:w="235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Регуляторные обзоры в контенте</w:t>
            </w:r>
          </w:p>
        </w:tc>
        <w:tc>
          <w:tcPr>
            <w:tcW w:w="113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C</w:t>
            </w:r>
          </w:p>
        </w:tc>
        <w:tc>
          <w:tcPr>
            <w:tcW w:w="65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I</w:t>
            </w:r>
          </w:p>
        </w:tc>
        <w:tc>
          <w:tcPr>
            <w:tcW w:w="87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C</w:t>
            </w:r>
          </w:p>
        </w:tc>
        <w:tc>
          <w:tcPr>
            <w:tcW w:w="95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A/R</w:t>
            </w:r>
          </w:p>
        </w:tc>
        <w:tc>
          <w:tcPr>
            <w:tcW w:w="65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C</w:t>
            </w:r>
          </w:p>
        </w:tc>
        <w:tc>
          <w:tcPr>
            <w:tcW w:w="65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I</w:t>
            </w:r>
          </w:p>
        </w:tc>
        <w:tc>
          <w:tcPr>
            <w:tcW w:w="113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I</w:t>
            </w:r>
          </w:p>
        </w:tc>
        <w:tc>
          <w:tcPr>
            <w:tcW w:w="122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I</w:t>
            </w:r>
          </w:p>
        </w:tc>
      </w:tr>
      <w:tr>
        <w:trPr>
          <w:cantSplit/>
        </w:trPr>
        <w:tc>
          <w:tcPr>
            <w:tcW w:w="235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PR-размещения в деловых федеральных СМИ</w:t>
            </w:r>
          </w:p>
        </w:tc>
        <w:tc>
          <w:tcPr>
            <w:tcW w:w="113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A</w:t>
            </w:r>
          </w:p>
        </w:tc>
        <w:tc>
          <w:tcPr>
            <w:tcW w:w="65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C</w:t>
            </w:r>
          </w:p>
        </w:tc>
        <w:tc>
          <w:tcPr>
            <w:tcW w:w="87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R</w:t>
            </w:r>
          </w:p>
        </w:tc>
        <w:tc>
          <w:tcPr>
            <w:tcW w:w="95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C</w:t>
            </w:r>
          </w:p>
        </w:tc>
        <w:tc>
          <w:tcPr>
            <w:tcW w:w="65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C</w:t>
            </w:r>
          </w:p>
        </w:tc>
        <w:tc>
          <w:tcPr>
            <w:tcW w:w="65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I</w:t>
            </w:r>
          </w:p>
        </w:tc>
        <w:tc>
          <w:tcPr>
            <w:tcW w:w="113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I</w:t>
            </w:r>
          </w:p>
        </w:tc>
        <w:tc>
          <w:tcPr>
            <w:tcW w:w="122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R (агентство)</w:t>
            </w:r>
          </w:p>
        </w:tc>
      </w:tr>
      <w:tr>
        <w:trPr>
          <w:cantSplit/>
        </w:trPr>
        <w:tc>
          <w:tcPr>
            <w:tcW w:w="235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Референсная программа фазы 3</w:t>
            </w:r>
          </w:p>
        </w:tc>
        <w:tc>
          <w:tcPr>
            <w:tcW w:w="113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A</w:t>
            </w:r>
          </w:p>
        </w:tc>
        <w:tc>
          <w:tcPr>
            <w:tcW w:w="65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R</w:t>
            </w:r>
          </w:p>
        </w:tc>
        <w:tc>
          <w:tcPr>
            <w:tcW w:w="87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C</w:t>
            </w:r>
          </w:p>
        </w:tc>
        <w:tc>
          <w:tcPr>
            <w:tcW w:w="95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I</w:t>
            </w:r>
          </w:p>
        </w:tc>
        <w:tc>
          <w:tcPr>
            <w:tcW w:w="65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I</w:t>
            </w:r>
          </w:p>
        </w:tc>
        <w:tc>
          <w:tcPr>
            <w:tcW w:w="65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C</w:t>
            </w:r>
          </w:p>
        </w:tc>
        <w:tc>
          <w:tcPr>
            <w:tcW w:w="113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C</w:t>
            </w:r>
          </w:p>
        </w:tc>
        <w:tc>
          <w:tcPr>
            <w:tcW w:w="122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I</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с учётом организационной структуры банка [26, с. 4] и распределения функций по подразделам 3.2.1–3.2.5.</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Календарный план разворачивает мероприятия параграфа 3.2 на горизонт 36 месяцев, разбитый на 12 кварталов (Q1–Q12), и фиксирует шесть контрольных точек, в которых принимается решение «продолжать — корректировать — пересобирать». Контрольная точка КТ1 (мес. 3) — запуск face2.ru с CTA-механикой и выпуск первых регуляторных публикаций; КТ2 (мес. 6) — конец фазы 1, завершение формирования линейки спикеров и подача заявок на сертификации; КТ3 (мес. 9) — старт фазы 2, первые пилоты уровня 1 и первые подключения уровня 2; КТ4 (мес. 12) — годовой отчёт по KPI и корректировка бюджета; КТ5 (мес. 18) — конец фазы 2, оценка выручки относительно реалистического сценария и решение о входе в фазу 3; КТ6 (мес. 24 и мес. 36) — точки фазы 3, оценка NPS, доли повторных продаж и географической экспансии. Календарь представлен в таблице 3.3.7.</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3.3.7</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Календарный план реализации стратегии продвижения Face2 с контрольными точками</w:t>
      </w:r>
    </w:p>
    <w:tbl>
      <w:tblPr>
        <w:tblW w:w="9636"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904"/>
        <w:gridCol w:w="561"/>
        <w:gridCol w:w="561"/>
        <w:gridCol w:w="561"/>
        <w:gridCol w:w="561"/>
        <w:gridCol w:w="561"/>
        <w:gridCol w:w="561"/>
        <w:gridCol w:w="561"/>
        <w:gridCol w:w="561"/>
        <w:gridCol w:w="561"/>
        <w:gridCol w:w="561"/>
        <w:gridCol w:w="561"/>
        <w:gridCol w:w="561"/>
      </w:tblGrid>
      <w:tr>
        <w:trPr>
          <w:tblHeader/>
          <w:cantSplit/>
        </w:trPr>
        <w:tc>
          <w:tcPr>
            <w:tcW w:w="2904"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Мероприятие</w:t>
            </w:r>
          </w:p>
        </w:tc>
        <w:tc>
          <w:tcPr>
            <w:tcW w:w="561"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Q1</w:t>
            </w:r>
          </w:p>
        </w:tc>
        <w:tc>
          <w:tcPr>
            <w:tcW w:w="561"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Q2</w:t>
            </w:r>
          </w:p>
        </w:tc>
        <w:tc>
          <w:tcPr>
            <w:tcW w:w="561"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Q3</w:t>
            </w:r>
          </w:p>
        </w:tc>
        <w:tc>
          <w:tcPr>
            <w:tcW w:w="561"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Q4</w:t>
            </w:r>
          </w:p>
        </w:tc>
        <w:tc>
          <w:tcPr>
            <w:tcW w:w="561"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Q5</w:t>
            </w:r>
          </w:p>
        </w:tc>
        <w:tc>
          <w:tcPr>
            <w:tcW w:w="561"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Q6</w:t>
            </w:r>
          </w:p>
        </w:tc>
        <w:tc>
          <w:tcPr>
            <w:tcW w:w="561"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Q7</w:t>
            </w:r>
          </w:p>
        </w:tc>
        <w:tc>
          <w:tcPr>
            <w:tcW w:w="561"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Q8</w:t>
            </w:r>
          </w:p>
        </w:tc>
        <w:tc>
          <w:tcPr>
            <w:tcW w:w="561"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Q9</w:t>
            </w:r>
          </w:p>
        </w:tc>
        <w:tc>
          <w:tcPr>
            <w:tcW w:w="561"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Q10</w:t>
            </w:r>
          </w:p>
        </w:tc>
        <w:tc>
          <w:tcPr>
            <w:tcW w:w="561"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Q11</w:t>
            </w:r>
          </w:p>
        </w:tc>
        <w:tc>
          <w:tcPr>
            <w:tcW w:w="561"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Q12</w:t>
            </w:r>
          </w:p>
        </w:tc>
      </w:tr>
      <w:tr>
        <w:trPr>
          <w:cantSplit/>
        </w:trPr>
        <w:tc>
          <w:tcPr>
            <w:tcW w:w="290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Переоснащение face2.ru</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r>
      <w:tr>
        <w:trPr>
          <w:cantSplit/>
        </w:trPr>
        <w:tc>
          <w:tcPr>
            <w:tcW w:w="290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Контентный конвейер</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r>
      <w:tr>
        <w:trPr>
          <w:cantSplit/>
        </w:trPr>
        <w:tc>
          <w:tcPr>
            <w:tcW w:w="290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Линейка спикеров</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r>
      <w:tr>
        <w:trPr>
          <w:cantSplit/>
        </w:trPr>
        <w:tc>
          <w:tcPr>
            <w:tcW w:w="290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Заявки на NIST FRTE и iBeta</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r>
      <w:tr>
        <w:trPr>
          <w:cantSplit/>
        </w:trPr>
        <w:tc>
          <w:tcPr>
            <w:tcW w:w="290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Бренд Face2 в социальных сетях</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r>
      <w:tr>
        <w:trPr>
          <w:cantSplit/>
        </w:trPr>
        <w:tc>
          <w:tcPr>
            <w:tcW w:w="290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Типовые отраслевые КП</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r>
      <w:tr>
        <w:trPr>
          <w:cantSplit/>
        </w:trPr>
        <w:tc>
          <w:tcPr>
            <w:tcW w:w="290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Отраслевые конференции</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r>
      <w:tr>
        <w:trPr>
          <w:cantSplit/>
        </w:trPr>
        <w:tc>
          <w:tcPr>
            <w:tcW w:w="290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Пилоты уровня 1</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r>
      <w:tr>
        <w:trPr>
          <w:cantSplit/>
        </w:trPr>
        <w:tc>
          <w:tcPr>
            <w:tcW w:w="290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Подключения объектов уровня 2</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r>
      <w:tr>
        <w:trPr>
          <w:cantSplit/>
        </w:trPr>
        <w:tc>
          <w:tcPr>
            <w:tcW w:w="290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Размещения в деловых СМИ и ИТ-каталогах</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r>
      <w:tr>
        <w:trPr>
          <w:cantSplit/>
        </w:trPr>
        <w:tc>
          <w:tcPr>
            <w:tcW w:w="290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Банковская экосистема как канал</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r>
      <w:tr>
        <w:trPr>
          <w:cantSplit/>
        </w:trPr>
        <w:tc>
          <w:tcPr>
            <w:tcW w:w="290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Референсная программа</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r>
      <w:tr>
        <w:trPr>
          <w:cantSplit/>
        </w:trPr>
        <w:tc>
          <w:tcPr>
            <w:tcW w:w="290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Контрольные точки</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КТ1</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КТ2</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КТ3</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КТ4</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КТ5</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КТ6</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КТ6</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Условные обозначения: «X» — высокая интенсивность мероприятия в квартале, «x» — низкая интенсивность, пустая ячейка — мероприятие не ведётся.</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на основе подраздела 3.2.5 и логики контрольных точек настоящего подраздела.</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Календарь в таблице 3.3.7 показывает три устойчивых наблюдения. Во-первых, фаза активации (Q1–Q2) сосредоточена на разовых мероприятиях запуска инфраструктуры (переоснащение сайта, формирование линейки спикеров, бренд в соцсетях, заявки на сертификации), которые завершаются в первом полугодии и далее не повторяются. Во-вторых, фаза масштабирования (Q3–Q6) представляет собой плотную параллельную работу всех каналов и направлений — от конференций и пилотов до размещений в СМИ и развития банковской экосистемы; именно эта фаза несёт основную организационную нагрузку и требует устойчивой команды. В-третьих, фаза закрепления (Q7–Q12) переводит стратегию в режим сопровождения с постепенным наращиванием референсной программы и снижением активности в части офлайн-конференций.</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Вывод по параграфу 3.3. Эффективность стратегии оценена на четырёх уровнях. Система KPI (3.3.1) — двумерная матрица «направление × этап воронки» с двадцатью одной метрикой; принципиальные решения — сценарность Π/Р/О и четыре типа метрик (охват, вовлечение, конверсия, коммерческий результат). Экономическая оценка (3.3.2) сопоставляет выручку по двум уровням продаж с бюджетом таблицы 3.2.6 и выводит ROI и срок окупаемости в трёх сценариях, дополняя их косвенным, имиджевым и регуляторным эффектами. Двухслойная матрица рисков (3.3.3) разводит реализационные риски, управляемые мероприятиями 3.2, и остаточные регуляторные и репутационные риски рынка биометрии. Организационный план (3.3.4) — RACI-матрица из десяти мероприятий и календарь на 12 кварталов с шестью контрольными точками. Совокупно: восемь пробелов главы 2 покрыты KPI, бюджет окупается в сценариях Р и О в пределах 36 месяцев, риски ослаблены или обойдены, внедрение обеспечено распределением ответственности. Практическая значимость — готовность стратегии к применению в ПАО «Ак Барс Банк» для масштабирования Face2 за пределы Республики Татарстан без инвестиций в собственный B2C-маркетинг федерального масштаба. Главное условие успеха — качественное прохождение фазы активации (мес. 1–6); главный неуправляемый риск — изменение № 572-ФЗ, демпфируемое регуляторным капиталом банка.</w:t>
      </w:r>
    </w:p>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jc w:val="both"/>
        <w:rPr>
          <w:rFonts w:ascii="Times New Roman" w:hAnsi="Times New Roman" w:cs="Times New Roman" w:eastAsia="Times New Roman"/>
          <w:sz w:val="28"/>
          <w:szCs w:val="28"/>
          <w:lang w:val="ru-RU"/>
        </w:rPr>
      </w:pPr>
      <w:r>
        <w:br w:type="page"/>
      </w:r>
    </w:p>
    <w:p>
      <w:pPr>
        <w:keepNext/>
        <w:keepLines/>
        <w:spacing w:before="240" w:after="120" w:line="36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8"/>
          <w:szCs w:val="28"/>
          <w:lang w:val="ru-RU"/>
        </w:rPr>
        <w:t xml:space="preserve">ЗАКЛЮЧЕНИЕ</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Выпускная квалификационная работа посвящена разработке стратегии продвижения инновационного биометрического продукта Face2 ПАО «Ак Барс Банк» в условиях массовой коммерциализации российского рынка биометрии и ужесточения регуляторного контура обработки биометрических персональных данных. Поставленная цель достигнута, шесть задач исследования решены последовательно в трёх главах работы.</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В первой главе систематизированы теоретические основы стратегического продвижения инновационных продуктов. Раскрыты сущность и признаки инновационного продукта, определена специфика маркетинговых коммуникаций, дополняющих стандартные функции информирования и стимулирования спроса образовательной и доверительной составляющими. На основе теории диффузии инноваций Э. Роджерса, моделей STP и 7P, а также маркетинговой воронки с этапом формирования доверия обосновано отнесение биометрических систем к высокотехнологичным инновационным продуктам повышенного риска и сформулированы четыре условия их успешного продвижения — правовое, социально-психологическое, технологическое и экономическое.</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Во второй главе проведён анализ деятельности ПАО «Ак Барс Банк» и состояния продвижения продукта Face2. Установлено, что банк располагает совокупными активами 1 157 340 млн рублей, рейтингами уровня «A»/«BBB» и аккредитацией Минцифры России в качестве оператора коммерческой биометрической системы. Российский рынок биометрии прошёл точку массовой коммерциализации (145,9 млн платежей и 112,5 млрд рублей оборота за девять месяцев 2025 года, более 10 млн пользователей ЕБС) и работает в жёсткой регуляторной рамке № 572-ФЗ. Сравнительная балльная оценка вывела Face2 на разделённую вторую позицию (4,10) после ПАО «Сбербанк» (4,25). Диагностика текущего продвижения через STP, 7P, воронку и SWOT выявила структурную асимметрию push- и pull-контуров и восемь пробелов, сгруппированных в три кластера — охвата, аргументации и инфраструктуры воронки.</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В третьей главе на основе результатов диагностики разработана стратегия продвижения Face2: сформированы цели и направления продвижения, опирающиеся на регуляторный капитал банка, банковскую экосистему и стаж работы в ЕБС с 2018 года; спроектирован комплекс маркетинговых мероприятий, синхронно закрывающий выявленные пробелы; предложенная стратегия оценена системой ключевых показателей, экономически обоснована и сопровождена матрицей рисков с мерами реагирования.</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Теоретическая значимость работы состоит в адаптации классических маркетинговых моделей к специфике биометрических продуктов, функционирующих в условиях государственного регулирования обработки персональных данных. Практическая значимость заключается в готовности разработанной стратегии и комплекса мероприятий к применению в деятельности ПАО «Ак Барс Банк» для масштабирования Face2 за пределы Республики Татарстан, а также в переносимости предложенных подходов на других аккредитованных операторов коммерческих биометрических систем.</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Перспективным направлением дальнейших исследований представляется количественный мониторинг эффективности предложенных мероприятий по мере их внедрения и оценка влияния федеральных законов № 420-ФЗ и № 421-ФЗ от 30 ноября 2024 года на динамику пользовательского доверия к операторам биометрии.</w:t>
      </w:r>
    </w:p>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jc w:val="both"/>
        <w:rPr>
          <w:rFonts w:ascii="Times New Roman" w:hAnsi="Times New Roman" w:cs="Times New Roman" w:eastAsia="Times New Roman"/>
          <w:sz w:val="28"/>
          <w:szCs w:val="28"/>
          <w:lang w:val="ru-RU"/>
        </w:rPr>
      </w:pPr>
      <w:r>
        <w:br w:type="page"/>
      </w:r>
    </w:p>
    <w:p>
      <w:pPr>
        <w:keepNext/>
        <w:keepLines/>
        <w:spacing w:before="240" w:after="120" w:line="36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8"/>
          <w:szCs w:val="28"/>
          <w:lang w:val="ru-RU"/>
        </w:rPr>
        <w:t xml:space="preserve">СПИСОК ИСПОЛЬЗОВАННЫХ ИСТОЧНИКОВ</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_Список оформлен в соответствии с ГОСТ Р 7.0.100-2018 и Положением о выпускной квалификационной работе ИУЭиФ КФУ. Внутри разделов соблюдён алфавитный порядок (для нормативных правовых актов — по юридической силе и дате принятия); внутри ВКР используется сквозная нумерация арабскими цифрами._</w:t>
      </w:r>
    </w:p>
    <w:p>
      <w:pPr>
        <w:keepNext/>
        <w:keepLines/>
        <w:spacing w:before="200" w:after="120" w:line="36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8"/>
          <w:szCs w:val="28"/>
          <w:lang w:val="ru-RU"/>
        </w:rPr>
        <w:t xml:space="preserve">I. Нормативные правовые акты</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1. Об осуществлении идентификации и (или) аутентификации физических лиц с использованием биометрических персональных данных, о внесении изменений в отдельные законодательные акты Российской Федерации и признании утратившими силу отдельных положений законодательных актов Российской Федерации : Федер. закон от 29 дек. 2022 г. № 572-ФЗ : [принят Гос. Думой 21 дек. 2022 г. : одобрен Советом Федерации 23 дек. 2022 г.] // Официальный интернет-портал правовой информации. — URL: http://pravo.gov.ru (дата обращения: 31.05.2026).</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2. О порядке проведения коммерческими биометрическими системами идентификации и (или) аутентификации с использованием биометрических персональных данных : Указание Банка России от 25 сент. 2023 г. № 6541-У // Официальный сайт Банка России. — URL: https://www.cbr.ru/ (дата обращения: 31.05.2026).</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3. О повышении внимания кредитных организаций к отдельным операциям клиентов : Методические рекомендации Банка России от 20 дек. 2023 г. № 18-МР // Официальный сайт Банка России. — URL: https://www.cbr.ru/ (дата обращения: 31.05.2026).</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4. О повышении внимания кредитных организаций к отдельным операциям клиентов — физических лиц : Методические рекомендации Банка России от 23 дек. 2023 г. № 19-МР // Официальный сайт Банка России. — URL: https://www.cbr.ru/ (дата обращения: 31.05.2026).</w:t>
      </w:r>
    </w:p>
    <w:p>
      <w:pPr>
        <w:keepNext/>
        <w:keepLines/>
        <w:spacing w:before="200" w:after="120" w:line="36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8"/>
          <w:szCs w:val="28"/>
          <w:lang w:val="ru-RU"/>
        </w:rPr>
        <w:t xml:space="preserve">II. Монографии, учебники и учебные пособия</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5. Голубков, Е. П. Маркетинг для профессионалов: практический курс : учебник и практикум для бакалавриата и магистратуры / Е. П. Голубков. — Москва : Издательство Юрайт, 2023. — 474 с.</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6. Катаев, А. В. Digital-маркетинг : учебное пособие / А. В. Катаев, Т. М. Катаева, И. А. Названова. — Ростов-на-Дону ; Таганрог : Издательство Южного федерального университета, 2021. — 163 с.</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7. Катаева, Т. М. Цифровой маркетинг : учебное пособие / Т. М. Катаева, А. В. Катаев, И. А. Названова. — Ростов-на-Дону ; Таганрог : Издательство Южного федерального университета, 2022. — 168 с.</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8. Котлер, Ф. Маркетинг менеджмент. Экспресс-курс / Ф. Котлер ; перевод с английского Д. Раевской. — 2-е изд. — Санкт-Петербург : Питер, 2006. — 464 с. — (Серия «Деловой бестселлер»).</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9. Котлер, Ф. Основы маркетинга / Ф. Котлер ; перевод с английского В. Б. Боброва ; общая редакция и вступительная статья Е. М. Пеньковой. — Москва : Прогресс, 1991. — 736 с.</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10. Ламбен, Ж.-Ж. Стратегический маркетинг. Европейская перспектива / Ж.-Ж. Ламбен ; перевод с французского. — Санкт-Петербург : Наука, 1996. — 589 с.</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11. Портер, М. Конкурентная стратегия: Методика анализа отраслей и конкурентов / Майкл Портер ; перевод с английского И. Минервина. — Москва : Альпина Бизнес Букс, 2005. — 454 с.</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12. Тебекин, А. В. Инновационный менеджмент : учебник для бакалавров / А. В. Тебекин. — Москва : Издательство Юрайт, 2020. — 481 с. — (Серия «Бакалавр. Академический курс»).</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13. Управление инновациями : учебник для академического бакалавриата / под редакцией Е. А. Мальцевой. — Москва : Издательство Юрайт, 2022. — 256 с.</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14. Шумпетер, Й. А. Теория экономического развития / Й. А. Шумпетер ; перевод с немецкого В. С. Автономова, М. С. Любского, А. Ю. Чепуренко. — Москва : Прогресс, 1982. — 455 с.</w:t>
      </w:r>
    </w:p>
    <w:p>
      <w:pPr>
        <w:keepNext/>
        <w:keepLines/>
        <w:spacing w:before="200" w:after="120" w:line="36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8"/>
          <w:szCs w:val="28"/>
          <w:lang w:val="ru-RU"/>
        </w:rPr>
        <w:t xml:space="preserve">III. Статьи в периодических изданиях</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15. Биометрическая идентификация: сущность и применение технологии в платёжной индустрии // Финансы: теория и практика. — 2022. — Т. 26, № 1. — С. 28–40. — URL: https://cyberleninka.ru/ (дата обращения: 31.05.2026).</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16. Биометрия в банках и факторы, сдерживающие её развитие // Банковские услуги. — 2021. — № 4. — С. 36–52. — URL: https://cyberleninka.ru/ (дата обращения: 31.05.2026).</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17. Идентификация фазы развития и технологической зрелости инновационных продуктов на основе параметров демонстративного потребления / Е. В. Линская [и др.] // Новое в экономической кибернетике. — 2023. — № 1. — С. 188–195. — DOI 10.5281/zenodo.18048804.</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18. Маркетинговые стратегии инновационных продуктов и пути их совершенствования // Стратегии бизнеса. — 2022. — Т. 10, № 5. — С. 3–8. — URL: https://cyberleninka.ru/ (дата обращения: 31.05.2026).</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19. Маркетинговые стратегии продвижения инновационного продукта на рынок // Экономика и предпринимательство. — 2021. — № 11. — С. 3–9. — URL: https://cyberleninka.ru/ (дата обращения: 31.05.2026).</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20. Необходимость маркетинга в продвижении инновационных продуктов // Креативная экономика. — 2020. — Т. 14, № 7. — С. 9–16. — URL: https://cyberleninka.ru/ (дата обращения: 31.05.2026).</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21. Оборевич, А. А. Стратегия продвижения инновационного продукта на промышленном рынке: концептуальная модель / А. А. Оборевич, О. А. Третьяк // Российский журнал менеджмента. — 2021. — Т. 19, № 1. — С. 88–110.</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22. Особенности маркетинга инноваций // Вопросы инновационной экономики. — 2020. — Т. 10, № 4. — С. 9–18. — URL: https://cyberleninka.ru/ (дата обращения: 31.05.2026).</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23. Правовое регулирование использования биометрии в банковской сфере и проблемы по её охране // Юридическая наука. — 2022. — № 2. — С. 90–96. — URL: https://cyberleninka.ru/ (дата обращения: 31.05.2026).</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24. Применение биометрической идентификации в банках: проблемы и перспективы // Финансовые рынки и банки. — 2021. — № 6. — С. 100–110. — URL: https://cyberleninka.ru/ (дата обращения: 31.05.2026).</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25. Проблемы и перспективы развития биометрических технологий в банковской деятельности // Вестник науки. — 2022. — № 5. — С. 112–119. — URL: https://cyberleninka.ru/ (дата обращения: 31.05.2026).</w:t>
      </w:r>
    </w:p>
    <w:p>
      <w:pPr>
        <w:keepNext/>
        <w:keepLines/>
        <w:spacing w:before="200" w:after="120" w:line="36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8"/>
          <w:szCs w:val="28"/>
          <w:lang w:val="ru-RU"/>
        </w:rPr>
        <w:t xml:space="preserve">IV. Финансовая отчётность и корпоративные документы</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26. Ак Барс Банк : Годовой отчёт за 2024 год / ПАО «АК БАРС» БАНК. — Казань, 2025. — 40 с. — URL: https://www.akbars.ru/about/reports/ (дата обращения: 31.05.2026).</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27. Биометрия АК БАРС БАНКа (Face2) : презентационные и проектные материалы / ПАО «АК БАРС» БАНК. — Казань, 2025. — Внутренний документ банка, предоставлен автору в ходе преддипломной практики.</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28. Информационная система Face2. Руководство по развёртыванию. Версия 1.0 / АО «Социальная Карта». — Казань, 2025. — Документ разработчика программного обеспечения, предоставлен автору в ходе преддипломной практики.</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29. Информационная система Face2. Функциональные возможности продукта. Версия 1.0 / АО «Социальная Карта». — Казань, 2025. — Документ разработчика программного обеспечения, предоставлен автору в ходе преддипломной практики.</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30. Раскрываемая годовая бухгалтерская (финансовая) отчётность за 2024 год / ПАО «АК БАРС» БАНК. — Казань, 2025. — URL: https://www.akbars.ru/about/reports/ (дата обращения: 31.05.2026).</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31. Финансовая отчётность ПАО «АК БАРС» БАНК за 2023 год. — Казань, 2024. — URL: https://www.akbars.ru/about/reports/ (дата обращения: 31.05.2026).</w:t>
      </w:r>
    </w:p>
    <w:p>
      <w:pPr>
        <w:keepNext/>
        <w:keepLines/>
        <w:spacing w:before="200" w:after="120" w:line="36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8"/>
          <w:szCs w:val="28"/>
          <w:lang w:val="ru-RU"/>
        </w:rPr>
        <w:t xml:space="preserve">V. Электронные ресурсы</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32. Арялина, М. Узнать одного из тысячи: как биометрические системы стали нашей повседневностью / М. Арялина // Ведомости. Инновации и технологии. — 2026. — 11 марта. — URL: https://www.vedomosti.ru/ (дата обращения: 31.05.2026).</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33. Банк России. Обзор международного рынка биометрических технологий и их применение в финансовом секторе. — Москва, 2018. — 25 с. — URL: https://www.cbr.ru/ (дата обращения: 31.05.2026).</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34. Банк России. Платежи с использованием биометрии и QR-кодов во II квартале 2025 года : пресс-релиз. — Москва, 2025. — URL: https://www.cbr.ru/press/event/ (дата обращения: 31.05.2026).</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35. Банк России. Перечень банков, соответствующих требованиям пункта 5.7 статьи 7 Федерального закона от 7 августа 2001 г. № 115-ФЗ : по состоянию на 4 мая 2026 г. — Москва, 2026. — URL: https://www.cbr.ru/ (дата обращения: 31.05.2026).</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36. Банк России. Удалённая идентификация : описание механизма и этапы пользовательского пути. — Москва, [2024]. — URL: https://www.cbr.ru/ (дата обращения: 31.05.2026).</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37. Единая биометрическая система : официальный сайт оператора / АО «Центр биометрических технологий». — Москва, 2025. — URL: https://ebs.ru/citizens/ (дата обращения: 31.05.2026).</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38. Оплата улыбкой : статистика биометрических платежей ПАО Сбербанк за август 2024 года. — URL: https://www.sber.ru/ (дата обращения: 31.05.2026).</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39. TAdviser. АК БАРС Банк : подключение к Единой биометрической системе (2018) : проектная карточка // TAdviser. Государство. Бизнес. ИТ. — URL: https://www.tadviser.ru/ (дата обращения: 31.05.2026).</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40. VisionLabs : официальный сайт компании. — URL: https://visionlabs.ru/ (дата обращения: 31.05.2026).</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41. OVISION : официальный сайт компании. — URL: https://ovision.ru/ (дата обращения: 31.05.2026).</w:t>
      </w:r>
    </w:p>
    <w:sectPr>
      <w:pgSz w:w="11906" w:h="16838"/>
      <w:pgMar w:top="1134" w:right="567" w:bottom="1134" w:left="1701" w:header="720" w:footer="720" w:gutter="0"/>
      <w:cols w:space="708"/>
      <w:docGrid w:linePitch="360"/>
    </w:sectPr>
  </w:body>
</w:document>
</file>

<file path=word/fontTable.xml><?xml version="1.0" encoding="utf-8"?>
<w:fonts xmlns:w="http://schemas.openxmlformats.org/wordprocessingml/2006/main">
  <w:font w:name="Times New Roman">
    <w:panose1 w:val="02020603050405020304"/>
    <w:charset w:val="CC"/>
    <w:family w:val="roman"/>
    <w:pitch w:val="variable"/>
  </w:font>
  <w:font w:name="Courier New">
    <w:panose1 w:val="02070309020205020404"/>
    <w:charset w:val="CC"/>
    <w:family w:val="modern"/>
    <w:pitch w:val="fixed"/>
  </w:font>
</w:fonts>
</file>

<file path=word/numbering.xml><?xml version="1.0" encoding="utf-8"?>
<w:numbering xmlns:w="http://schemas.openxmlformats.org/wordprocessingml/2006/main"/>
</file>

<file path=word/settings.xml><?xml version="1.0" encoding="utf-8"?>
<w:settings xmlns:w="http://schemas.openxmlformats.org/wordprocessingml/2006/main">
  <w:zoom w:percent="100"/>
  <w:defaultTabStop w:val="708"/>
  <w:characterSpacingControl w:val="doNotCompress"/>
  <w:compat>
    <w:compatSetting w:name="compatibilityMode" w:uri="http://schemas.microsoft.com/office/word" w:val="15"/>
  </w:compat>
  <w:themeFontLang w:val="ru-RU"/>
</w:settings>
</file>

<file path=word/styles.xml><?xml version="1.0" encoding="utf-8"?>
<w:styles xmlns:w="http://schemas.openxmlformats.org/wordprocessingml/2006/main">
  <w:docDefaults>
    <w:rPrDefault>
      <w:rPr>
        <w:rFonts w:ascii="Times New Roman" w:hAnsi="Times New Roman" w:cs="Times New Roman" w:eastAsia="Times New Roman"/>
        <w:sz w:val="28"/>
        <w:szCs w:val="28"/>
        <w:lang w:val="ru-RU" w:eastAsia="ru-RU" w:bidi="ar-SA"/>
      </w:rPr>
    </w:rPrDefault>
    <w:pPrDefault>
      <w:pPr>
        <w:spacing w:before="0" w:after="0" w:line="360" w:lineRule="auto"/>
        <w:jc w:val="both"/>
      </w:pPr>
    </w:pPrDefault>
  </w:docDefaults>
  <w:style w:type="paragraph" w:default="1" w:styleId="Normal">
    <w:name w:val="Normal"/>
    <w:qFormat/>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fontTable" Target="fontTable.xml"/>
  <Relationship Id="rId4" Type="http://schemas.openxmlformats.org/officeDocument/2006/relationships/numbering" Target="numbering.xml"/>
</Relationships>
</file>

<file path=docProps/app.xml><?xml version="1.0" encoding="utf-8"?>
<Properties xmlns="http://schemas.openxmlformats.org/officeDocument/2006/extended-properties" xmlns:vt="http://schemas.openxmlformats.org/officeDocument/2006/docPropsVTypes">
  <Application>VKR-md2docx</Application>
</Properties>
</file>

<file path=docProps/core.xml><?xml version="1.0" encoding="utf-8"?>
<cp:coreProperties xmlns:cp="http://schemas.openxmlformats.org/package/2006/metadata/core-properties" xmlns:dc="http://purl.org/dc/elements/1.1/" xmlns:dcterms="http://purl.org/dc/terms/" xmlns:xsi="http://www.w3.org/2001/XMLSchema-instance">
  <dc:title>ВКР ГОТОВОЕ</dc:title>
  <dc:creator>Автор</dc:creator>
  <cp:lastModifiedBy>Автор</cp:lastModifiedBy>
</cp:coreProperties>
</file>