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>
  <w:body>
    <w:p>
      <w:pPr>
        <w:pStyle w:val="Heading1"/>
        <w:keepNext/>
      </w:pPr>
      <w:r>
        <w:t xml:space="preserve">Отчёт по производственной практике (преддипломной практике)</w:t>
      </w:r>
    </w:p>
    <w:p>
      <w:pPr>
        <w:pStyle w:val="Quote"/>
      </w:pPr>
      <w:r>
        <w:rPr>
          <w:b/>
          <w:i/>
        </w:rPr>
        <w:t xml:space="preserve">МИНИСТЕРСТВО НАУКИ И ВЫСШЕГО ОБРАЗОВАНИЯ РОССИЙСКОЙ ФЕДЕРАЦИИ</w:t>
      </w:r>
      <w:r>
        <w:rPr>
          <w:i/>
        </w:rPr>
        <w:t xml:space="preserve"> ФЕДЕРАЛЬНОЕ ГОСУДАРСТВЕННОЕ АВТОНОМНОЕ ОБРАЗОВАТЕЛЬНОЕ УЧРЕЖДЕНИЕ ВЫСШЕГО ОБРАЗОВАНИЯ </w:t>
      </w:r>
      <w:r>
        <w:rPr>
          <w:b/>
          <w:i/>
        </w:rPr>
        <w:t xml:space="preserve">«КАЗАНСКИЙ (ПРИВОЛЖСКИЙ) ФЕДЕРАЛЬНЫЙ УНИВЕРСИТЕТ»</w:t>
      </w:r>
      <w:r>
        <w:rPr>
          <w:i/>
        </w:rPr>
        <w:t xml:space="preserve"> Институт управления, экономики и финансов Кафедра инноваций и инвестиций --- </w:t>
      </w:r>
      <w:r>
        <w:rPr>
          <w:b/>
          <w:i/>
        </w:rPr>
        <w:t xml:space="preserve">ОТЧЁТ</w:t>
      </w:r>
      <w:r>
        <w:rPr>
          <w:i/>
        </w:rPr>
        <w:t xml:space="preserve"> по производственной практике (преддипломной практике) </w:t>
      </w:r>
      <w:r>
        <w:rPr>
          <w:b/>
          <w:i/>
        </w:rPr>
        <w:t xml:space="preserve">Тема ВКР:</w:t>
      </w:r>
      <w:r>
        <w:rPr>
          <w:i/>
        </w:rPr>
        <w:t xml:space="preserve"> Разработка стратегии продвижения инновационного продукта Face2 АК Барс Банка </w:t>
      </w:r>
      <w:r>
        <w:rPr>
          <w:b/>
          <w:i/>
        </w:rPr>
        <w:t xml:space="preserve">Обучающийся:</w:t>
      </w:r>
      <w:r>
        <w:rPr>
          <w:i/>
        </w:rPr>
        <w:t xml:space="preserve"> Назмуханова Эльвина Маратовна </w:t>
      </w:r>
      <w:r>
        <w:rPr>
          <w:b/>
          <w:i/>
        </w:rPr>
        <w:t xml:space="preserve">Курс:</w:t>
      </w:r>
      <w:r>
        <w:rPr>
          <w:i/>
        </w:rPr>
        <w:t xml:space="preserve"> 4 </w:t>
      </w:r>
      <w:r>
        <w:rPr>
          <w:b/>
          <w:i/>
        </w:rPr>
        <w:t xml:space="preserve">Группа:</w:t>
      </w:r>
      <w:r>
        <w:rPr>
          <w:i/>
        </w:rPr>
        <w:t xml:space="preserve"> 14.6-210 </w:t>
      </w:r>
      <w:r>
        <w:rPr>
          <w:b/>
          <w:i/>
        </w:rPr>
        <w:t xml:space="preserve">Руководитель практики от кафедры инноваций и инвестиций:</w:t>
      </w:r>
      <w:r>
        <w:rPr>
          <w:i/>
        </w:rPr>
        <w:t xml:space="preserve"> к.э.н., доцент Ермолаев Кирилл Андреевич </w:t>
      </w:r>
      <w:r>
        <w:rPr>
          <w:b/>
          <w:i/>
        </w:rPr>
        <w:t xml:space="preserve">Руководитель практики от профильной организации:</w:t>
      </w:r>
      <w:r>
        <w:rPr>
          <w:i/>
        </w:rPr>
        <w:t xml:space="preserve"> [должность, ФИО] </w:t>
      </w:r>
      <w:r>
        <w:rPr>
          <w:b/>
          <w:i/>
        </w:rPr>
        <w:t xml:space="preserve">Место прохождения практики:</w:t>
      </w:r>
      <w:r>
        <w:rPr>
          <w:i/>
        </w:rPr>
        <w:t xml:space="preserve"> ПАО «АК БАРС» БАНК </w:t>
      </w:r>
      <w:r>
        <w:rPr>
          <w:b/>
          <w:i/>
        </w:rPr>
        <w:t xml:space="preserve">Период практики:</w:t>
      </w:r>
      <w:r>
        <w:rPr>
          <w:i/>
        </w:rPr>
        <w:t xml:space="preserve"> с «08» мая 2026 г. по «22» мая 2026 г. </w:t>
      </w:r>
      <w:r>
        <w:rPr>
          <w:b/>
          <w:i/>
        </w:rPr>
        <w:t xml:space="preserve">Казань — 2026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Содержание</w:t>
      </w:r>
    </w:p>
    <w:p>
      <w:pPr>
        <w:pStyle w:val="ListParagraph"/>
        <w:numPr>
          <w:ilvl w:val="0"/>
          <w:numId w:val="1"/>
        </w:numPr>
      </w:pPr>
      <w:r>
        <w:t xml:space="preserve">Введение</w:t>
      </w:r>
    </w:p>
    <w:p>
      <w:pPr>
        <w:pStyle w:val="ListParagraph"/>
        <w:numPr>
          <w:ilvl w:val="0"/>
          <w:numId w:val="1"/>
        </w:numPr>
      </w:pPr>
      <w:r>
        <w:t xml:space="preserve">Раздел 1. Постановка цели и задач исследования</w:t>
      </w:r>
    </w:p>
    <w:p>
      <w:pPr>
        <w:pStyle w:val="ListParagraph"/>
        <w:numPr>
          <w:ilvl w:val="0"/>
          <w:numId w:val="1"/>
        </w:numPr>
      </w:pPr>
      <w:r>
        <w:t xml:space="preserve">1.1. Актуальность темы выпускной квалификационной работы</w:t>
      </w:r>
    </w:p>
    <w:p>
      <w:pPr>
        <w:pStyle w:val="ListParagraph"/>
        <w:numPr>
          <w:ilvl w:val="0"/>
          <w:numId w:val="1"/>
        </w:numPr>
      </w:pPr>
      <w:r>
        <w:t xml:space="preserve">1.2. Цель и задачи выпускной квалификационной работы</w:t>
      </w:r>
    </w:p>
    <w:p>
      <w:pPr>
        <w:pStyle w:val="ListParagraph"/>
        <w:numPr>
          <w:ilvl w:val="0"/>
          <w:numId w:val="1"/>
        </w:numPr>
      </w:pPr>
      <w:r>
        <w:t xml:space="preserve">1.3. Объект и предмет исследования</w:t>
      </w:r>
    </w:p>
    <w:p>
      <w:pPr>
        <w:pStyle w:val="ListParagraph"/>
        <w:numPr>
          <w:ilvl w:val="0"/>
          <w:numId w:val="1"/>
        </w:numPr>
      </w:pPr>
      <w:r>
        <w:t xml:space="preserve">1.4. Методы и информационная база исследования</w:t>
      </w:r>
    </w:p>
    <w:p>
      <w:pPr>
        <w:pStyle w:val="ListParagraph"/>
        <w:numPr>
          <w:ilvl w:val="0"/>
          <w:numId w:val="1"/>
        </w:numPr>
      </w:pPr>
      <w:r>
        <w:t xml:space="preserve">Раздел 2. Анализ предметной области объекта исследования</w:t>
      </w:r>
    </w:p>
    <w:p>
      <w:pPr>
        <w:pStyle w:val="ListParagraph"/>
        <w:numPr>
          <w:ilvl w:val="0"/>
          <w:numId w:val="1"/>
        </w:numPr>
      </w:pPr>
      <w:r>
        <w:t xml:space="preserve">2.1. Организационно-экономическая характеристика ПАО «АК БАРС» БАНК</w:t>
      </w:r>
    </w:p>
    <w:p>
      <w:pPr>
        <w:pStyle w:val="ListParagraph"/>
        <w:numPr>
          <w:ilvl w:val="0"/>
          <w:numId w:val="1"/>
        </w:numPr>
      </w:pPr>
      <w:r>
        <w:t xml:space="preserve">2.1.1. Общие сведения и юридический статус</w:t>
      </w:r>
    </w:p>
    <w:p>
      <w:pPr>
        <w:pStyle w:val="ListParagraph"/>
        <w:numPr>
          <w:ilvl w:val="0"/>
          <w:numId w:val="1"/>
        </w:numPr>
      </w:pPr>
      <w:r>
        <w:t xml:space="preserve">2.1.2. Организационная структура и система корпоративного управления</w:t>
      </w:r>
    </w:p>
    <w:p>
      <w:pPr>
        <w:pStyle w:val="ListParagraph"/>
        <w:numPr>
          <w:ilvl w:val="0"/>
          <w:numId w:val="1"/>
        </w:numPr>
      </w:pPr>
      <w:r>
        <w:t xml:space="preserve">2.1.3. Финансово-экономические показатели деятельности</w:t>
      </w:r>
    </w:p>
    <w:p>
      <w:pPr>
        <w:pStyle w:val="ListParagraph"/>
        <w:numPr>
          <w:ilvl w:val="0"/>
          <w:numId w:val="1"/>
        </w:numPr>
      </w:pPr>
      <w:r>
        <w:t xml:space="preserve">2.1.4. Стратегия развития и место инновационного направления</w:t>
      </w:r>
    </w:p>
    <w:p>
      <w:pPr>
        <w:pStyle w:val="ListParagraph"/>
        <w:numPr>
          <w:ilvl w:val="0"/>
          <w:numId w:val="1"/>
        </w:numPr>
      </w:pPr>
      <w:r>
        <w:t xml:space="preserve">2.2. Характеристика инновационного биометрического продукта Face2</w:t>
      </w:r>
    </w:p>
    <w:p>
      <w:pPr>
        <w:pStyle w:val="ListParagraph"/>
        <w:numPr>
          <w:ilvl w:val="0"/>
          <w:numId w:val="1"/>
        </w:numPr>
      </w:pPr>
      <w:r>
        <w:t xml:space="preserve">2.3. Анализ рынка биометрических технологий и конкурентной среды</w:t>
      </w:r>
    </w:p>
    <w:p>
      <w:pPr>
        <w:pStyle w:val="ListParagraph"/>
        <w:numPr>
          <w:ilvl w:val="0"/>
          <w:numId w:val="1"/>
        </w:numPr>
      </w:pPr>
      <w:r>
        <w:t xml:space="preserve">2.4. Анализ нормативно-правовой базы регулирования биометрии в РФ</w:t>
      </w:r>
    </w:p>
    <w:p>
      <w:pPr>
        <w:pStyle w:val="ListParagraph"/>
        <w:numPr>
          <w:ilvl w:val="0"/>
          <w:numId w:val="1"/>
        </w:numPr>
      </w:pPr>
      <w:r>
        <w:t xml:space="preserve">2.5. Анализ текущего положения продукта Face2 и проблем его продвижения</w:t>
      </w:r>
    </w:p>
    <w:p>
      <w:pPr>
        <w:pStyle w:val="ListParagraph"/>
        <w:numPr>
          <w:ilvl w:val="0"/>
          <w:numId w:val="1"/>
        </w:numPr>
      </w:pPr>
      <w:r>
        <w:t xml:space="preserve">2.6. Анализ целевой аудитории и приоритетных отраслевых сегментов</w:t>
      </w:r>
    </w:p>
    <w:p>
      <w:pPr>
        <w:pStyle w:val="ListParagraph"/>
        <w:numPr>
          <w:ilvl w:val="0"/>
          <w:numId w:val="1"/>
        </w:numPr>
      </w:pPr>
      <w:r>
        <w:t xml:space="preserve">Раздел 3. Выводы по итогам проведённого исследования</w:t>
      </w:r>
    </w:p>
    <w:p>
      <w:pPr>
        <w:pStyle w:val="ListParagraph"/>
        <w:numPr>
          <w:ilvl w:val="0"/>
          <w:numId w:val="1"/>
        </w:numPr>
      </w:pPr>
      <w:r>
        <w:t xml:space="preserve">3.1. Цели, задачи и направления стратегии продвижения Face2</w:t>
      </w:r>
    </w:p>
    <w:p>
      <w:pPr>
        <w:pStyle w:val="ListParagraph"/>
        <w:numPr>
          <w:ilvl w:val="0"/>
          <w:numId w:val="1"/>
        </w:numPr>
      </w:pPr>
      <w:r>
        <w:t xml:space="preserve">3.2. Позиционирование, отраслевые офферы и каналы продвижения</w:t>
      </w:r>
    </w:p>
    <w:p>
      <w:pPr>
        <w:pStyle w:val="ListParagraph"/>
        <w:numPr>
          <w:ilvl w:val="0"/>
          <w:numId w:val="1"/>
        </w:numPr>
      </w:pPr>
      <w:r>
        <w:t xml:space="preserve">3.3. Внутреннее продвижение: разработка обучающего курса для сотрудников как методический полигон</w:t>
      </w:r>
    </w:p>
    <w:p>
      <w:pPr>
        <w:pStyle w:val="ListParagraph"/>
        <w:numPr>
          <w:ilvl w:val="0"/>
          <w:numId w:val="1"/>
        </w:numPr>
      </w:pPr>
      <w:r>
        <w:t xml:space="preserve">3.4. Система KPI, оценка экономического эффекта и анализ рисков</w:t>
      </w:r>
    </w:p>
    <w:p>
      <w:pPr>
        <w:pStyle w:val="ListParagraph"/>
        <w:numPr>
          <w:ilvl w:val="0"/>
          <w:numId w:val="1"/>
        </w:numPr>
      </w:pPr>
      <w:r>
        <w:t xml:space="preserve">3.5. Организационный план внедрения мероприятий</w:t>
      </w:r>
    </w:p>
    <w:p>
      <w:pPr>
        <w:pStyle w:val="ListParagraph"/>
        <w:numPr>
          <w:ilvl w:val="0"/>
          <w:numId w:val="1"/>
        </w:numPr>
      </w:pPr>
      <w:r>
        <w:t xml:space="preserve">Заключение</w:t>
      </w:r>
    </w:p>
    <w:p>
      <w:pPr>
        <w:pStyle w:val="ListParagraph"/>
        <w:numPr>
          <w:ilvl w:val="0"/>
          <w:numId w:val="1"/>
        </w:numPr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1"/>
        </w:numPr>
      </w:pPr>
      <w:r>
        <w:t xml:space="preserve">Приложение А. Рабочий график (план) практики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Введение</w:t>
      </w:r>
    </w:p>
    <w:p>
      <w:r>
        <w:t xml:space="preserve">Производственная практика (преддипломная практика) является завершающим этапом практической подготовки обучающегося и непосредственно предшествует процедуре государственной итоговой аттестации. Её основная задача — сбор, систематизация и аналитическая обработка материала, необходимого для подготовки выпускной квалификационной работы (далее — ВКР).</w:t>
      </w:r>
    </w:p>
    <w:p>
      <w:r>
        <w:rPr>
          <w:b/>
        </w:rPr>
        <w:t xml:space="preserve">Время и место прохождения практики:</w:t>
      </w:r>
      <w:r>
        <w:t xml:space="preserve"> практика проходила на базе ПАО «АК БАРС» БАНК по адресу: Республика Татарстан, г. Казань, ул. Декабристов, д. 1.</w:t>
      </w:r>
    </w:p>
    <w:p>
      <w:r>
        <w:rPr>
          <w:b/>
        </w:rPr>
        <w:t xml:space="preserve">Срок прохождения практики:</w:t>
      </w:r>
      <w:r>
        <w:t xml:space="preserve"> с 08 мая 2026 г. по 22 мая 2026 г.</w:t>
      </w:r>
    </w:p>
    <w:p>
      <w:r>
        <w:rPr>
          <w:b/>
        </w:rPr>
        <w:t xml:space="preserve">Цель прохождения практики</w:t>
      </w:r>
      <w:r>
        <w:t xml:space="preserve"> — сбор, обобщение и анализ эмпирических, аналитических и нормативно-правовых материалов, необходимых для разработки стратегии продвижения инновационного биометрического продукта Face2 ПАО «АК БАРС» БАНК, и подготовка материалов выпускной квалификационной работы.</w:t>
      </w:r>
    </w:p>
    <w:p>
      <w:r>
        <w:t xml:space="preserve">В соответствии с поставленной целью в ходе практики решались следующие </w:t>
      </w:r>
      <w:r>
        <w:rPr>
          <w:b/>
        </w:rPr>
        <w:t xml:space="preserve">прикладные задачи:</w:t>
      </w:r>
    </w:p>
    <w:p>
      <w:pPr>
        <w:pStyle w:val="ListParagraph"/>
        <w:numPr>
          <w:ilvl w:val="0"/>
          <w:numId w:val="1"/>
        </w:numPr>
      </w:pPr>
      <w:r>
        <w:t xml:space="preserve">ознакомление с деятельностью базы практики и прохождение инструктажа по охране труда, технике безопасности, пожарной безопасности и правилам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изучение основ продвижения инновационных продуктов на рынках B2B, B2C и B2G;</w:t>
      </w:r>
    </w:p>
    <w:p>
      <w:pPr>
        <w:pStyle w:val="ListParagraph"/>
        <w:numPr>
          <w:ilvl w:val="0"/>
          <w:numId w:val="1"/>
        </w:numPr>
      </w:pPr>
      <w:r>
        <w:t xml:space="preserve">сбор и анализ материалов, характеризующих рынок биометрических решений и положение продукта Face2 на этом рынке;</w:t>
      </w:r>
    </w:p>
    <w:p>
      <w:pPr>
        <w:pStyle w:val="ListParagraph"/>
        <w:numPr>
          <w:ilvl w:val="0"/>
          <w:numId w:val="1"/>
        </w:numPr>
      </w:pPr>
      <w:r>
        <w:t xml:space="preserve">разработка проектных решений по стратегии продвижения Face2 и подготовка материалов третьей главы ВКР;</w:t>
      </w:r>
    </w:p>
    <w:p>
      <w:pPr>
        <w:pStyle w:val="ListParagraph"/>
        <w:numPr>
          <w:ilvl w:val="0"/>
          <w:numId w:val="1"/>
        </w:numPr>
      </w:pPr>
      <w:r>
        <w:t xml:space="preserve">подготовка итоговых материалов отчёта по практике.</w:t>
      </w:r>
    </w:p>
    <w:p>
      <w:r>
        <w:t xml:space="preserve">Постановка научной цели и задач исследования, его объект и предмет, методы и информационная база раскрыты в Разделе 1 настоящего отчёта.</w:t>
      </w:r>
    </w:p>
    <w:p>
      <w:r>
        <w:rPr>
          <w:b/>
        </w:rPr>
        <w:t xml:space="preserve">Структура отчёта</w:t>
      </w:r>
      <w:r>
        <w:t xml:space="preserve"> соответствует требованиям Положения о ВКР ИУЭиФ КФУ и включает: титульный лист, содержание, введение, три раздела, заключение, список использованных источников и приложение (рабочий график практики).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Раздел 1. Постановка цели и задач исследования</w:t>
      </w:r>
    </w:p>
    <w:p>
      <w:pPr>
        <w:pStyle w:val="Heading3"/>
        <w:keepNext/>
      </w:pPr>
      <w:r>
        <w:t xml:space="preserve">1.1. Актуальность темы выпускной квалификационной работы</w:t>
      </w:r>
    </w:p>
    <w:p>
      <w:r>
        <w:t xml:space="preserve">Цифровая трансформация банковской отрасли Российской Федерации сопровождается активным внедрением биометрических технологий идентификации. Принятие Федерального закона от 29.12.2022 № 572-ФЗ «Об осуществлении идентификации и (или) аутентификации физических лиц с использованием биометрических персональных данных» и развитие Единой биометрической системы (ЕБС) сформировали правовую и инфраструктурную основу для масштабного применения биометрии в финансовом, государственном и коммерческом секторах.</w:t>
      </w:r>
    </w:p>
    <w:p>
      <w:r>
        <w:t xml:space="preserve">В этих условиях разработка эффективной стратегии продвижения инновационных биометрических продуктов является актуальной управленческой задачей. ПАО «АК БАРС» БАНК, обладая собственной технологической базой и продуктом Face2, действует на быстрорастущем, но высококонкурентном рынке, где представлены как федеральные банки, так и специализированные технологические компании (VisionLabs, OVISION и др.). Ограниченная узнаваемость продукта и недостаточно дифференцированное отраслевое позиционирование сдерживают его коммерческое распространение, что определяет практическую значимость темы ВКР.</w:t>
      </w:r>
    </w:p>
    <w:p>
      <w:pPr>
        <w:pStyle w:val="Heading3"/>
        <w:keepNext/>
      </w:pPr>
      <w:r>
        <w:t xml:space="preserve">1.2. Цель и задачи выпускной квалификационной работы</w:t>
      </w:r>
    </w:p>
    <w:p>
      <w:r>
        <w:rPr>
          <w:b/>
        </w:rPr>
        <w:t xml:space="preserve">Цель выпускной квалификационной работы</w:t>
      </w:r>
      <w:r>
        <w:t xml:space="preserve"> — разработка стратегии продвижения инновационного биометрического продукта Face2 ПАО «АК БАРС» БАНК на российском рынке.</w:t>
      </w:r>
    </w:p>
    <w:p>
      <w:r>
        <w:t xml:space="preserve">Для достижения поставленной цели в ВКР решаются следующие </w:t>
      </w:r>
      <w:r>
        <w:rPr>
          <w:b/>
        </w:rPr>
        <w:t xml:space="preserve">задачи:</w:t>
      </w:r>
    </w:p>
    <w:p>
      <w:pPr>
        <w:pStyle w:val="ListParagraph"/>
        <w:numPr>
          <w:ilvl w:val="0"/>
          <w:numId w:val="2"/>
        </w:numPr>
      </w:pPr>
      <w:r>
        <w:t xml:space="preserve">изучить теоретико-методологические основы маркетинга инноваций и стратегий продвижения инновационных продуктов;</w:t>
      </w:r>
    </w:p>
    <w:p>
      <w:pPr>
        <w:pStyle w:val="ListParagraph"/>
        <w:numPr>
          <w:ilvl w:val="0"/>
          <w:numId w:val="2"/>
        </w:numPr>
      </w:pPr>
      <w:r>
        <w:t xml:space="preserve">исследовать особенности продвижения инновационных продуктов на рынках B2B, B2C и B2G;</w:t>
      </w:r>
    </w:p>
    <w:p>
      <w:pPr>
        <w:pStyle w:val="ListParagraph"/>
        <w:numPr>
          <w:ilvl w:val="0"/>
          <w:numId w:val="2"/>
        </w:numPr>
      </w:pPr>
      <w:r>
        <w:t xml:space="preserve">провести организационно-экономический анализ ПАО «АК БАРС» БАНК и охарактеризовать инновационный биометрический продукт Face2;</w:t>
      </w:r>
    </w:p>
    <w:p>
      <w:pPr>
        <w:pStyle w:val="ListParagraph"/>
        <w:numPr>
          <w:ilvl w:val="0"/>
          <w:numId w:val="2"/>
        </w:numPr>
      </w:pPr>
      <w:r>
        <w:t xml:space="preserve">проанализировать российский рынок биометрических технологий, конкурентную среду и нормативно-правовую базу регулирования биометрии;</w:t>
      </w:r>
    </w:p>
    <w:p>
      <w:pPr>
        <w:pStyle w:val="ListParagraph"/>
        <w:numPr>
          <w:ilvl w:val="0"/>
          <w:numId w:val="2"/>
        </w:numPr>
      </w:pPr>
      <w:r>
        <w:t xml:space="preserve">выявить ключевые проблемы продвижения продукта Face2 и определить приоритетные отраслевые сегменты;</w:t>
      </w:r>
    </w:p>
    <w:p>
      <w:pPr>
        <w:pStyle w:val="ListParagraph"/>
        <w:numPr>
          <w:ilvl w:val="0"/>
          <w:numId w:val="2"/>
        </w:numPr>
      </w:pPr>
      <w:r>
        <w:t xml:space="preserve">сформировать стратегию продвижения Face2: цели, задачи, позиционирование, отраслевые офферы, каналы продвижения;</w:t>
      </w:r>
    </w:p>
    <w:p>
      <w:pPr>
        <w:pStyle w:val="ListParagraph"/>
        <w:numPr>
          <w:ilvl w:val="0"/>
          <w:numId w:val="2"/>
        </w:numPr>
      </w:pPr>
      <w:r>
        <w:t xml:space="preserve">разработать систему ключевых показателей эффективности (KPI), выполнить предварительную оценку экономического эффекта и анализ рисков реализации стратегии;</w:t>
      </w:r>
    </w:p>
    <w:p>
      <w:pPr>
        <w:pStyle w:val="ListParagraph"/>
        <w:numPr>
          <w:ilvl w:val="0"/>
          <w:numId w:val="2"/>
        </w:numPr>
      </w:pPr>
      <w:r>
        <w:t xml:space="preserve">подготовить организационный план внедрения мероприятий по продвижению продукта.</w:t>
      </w:r>
    </w:p>
    <w:p>
      <w:pPr>
        <w:pStyle w:val="Heading3"/>
        <w:keepNext/>
      </w:pPr>
      <w:r>
        <w:t xml:space="preserve">1.3. Объект и предмет исследования</w:t>
      </w:r>
    </w:p>
    <w:p>
      <w:r>
        <w:rPr>
          <w:b/>
        </w:rPr>
        <w:t xml:space="preserve">Объект исследования</w:t>
      </w:r>
      <w:r>
        <w:t xml:space="preserve"> — ПАО «АК БАРС» БАНК как кредитная организация, реализующая инновационный биометрический продукт Face2.</w:t>
      </w:r>
    </w:p>
    <w:p>
      <w:r>
        <w:rPr>
          <w:b/>
        </w:rPr>
        <w:t xml:space="preserve">Предмет исследования</w:t>
      </w:r>
      <w:r>
        <w:t xml:space="preserve"> — управленческие и маркетинговые отношения, возникающие в процессе формирования и реализации стратегии продвижения инновационного биометрического продукта на российском рынке.</w:t>
      </w:r>
    </w:p>
    <w:p>
      <w:pPr>
        <w:pStyle w:val="Heading3"/>
        <w:keepNext/>
      </w:pPr>
      <w:r>
        <w:t xml:space="preserve">1.4. Методы и информационная база исследования</w:t>
      </w:r>
    </w:p>
    <w:p>
      <w:r>
        <w:rPr>
          <w:b/>
        </w:rPr>
        <w:t xml:space="preserve">Методы исследования:</w:t>
      </w:r>
      <w:r>
        <w:t xml:space="preserve"> системный подход, сравнительный анализ, экономико-статистический анализ финансовой отчётности, контент-анализ нормативных и аналитических источников, SWOT-анализ, анализ конкурентной среды по модели пяти сил М. Портера, методы сегментирования и таргетирования.</w:t>
      </w:r>
    </w:p>
    <w:p>
      <w:r>
        <w:rPr>
          <w:b/>
        </w:rPr>
        <w:t xml:space="preserve">Информационная база исследования</w:t>
      </w:r>
      <w:r>
        <w:t xml:space="preserve"> включает:</w:t>
      </w:r>
    </w:p>
    <w:p>
      <w:pPr>
        <w:pStyle w:val="ListParagraph"/>
        <w:numPr>
          <w:ilvl w:val="0"/>
          <w:numId w:val="1"/>
        </w:numPr>
      </w:pPr>
      <w:r>
        <w:t xml:space="preserve">нормативные правовые акты Российской Федерации (Федеральный закон № 152-ФЗ «О персональных данных», Федеральный закон № 572-ФЗ от 29.12.2022, Федеральный закон № 115-ФЗ);</w:t>
      </w:r>
    </w:p>
    <w:p>
      <w:pPr>
        <w:pStyle w:val="ListParagraph"/>
        <w:numPr>
          <w:ilvl w:val="0"/>
          <w:numId w:val="1"/>
        </w:numPr>
      </w:pPr>
      <w:r>
        <w:t xml:space="preserve">материалы Банка России по вопросам функционирования ЕБС и биометрии в банковской сфере;</w:t>
      </w:r>
    </w:p>
    <w:p>
      <w:pPr>
        <w:pStyle w:val="ListParagraph"/>
        <w:numPr>
          <w:ilvl w:val="0"/>
          <w:numId w:val="1"/>
        </w:numPr>
      </w:pPr>
      <w:r>
        <w:t xml:space="preserve">годовую бухгалтерскую (финансовую) отчётность ПАО «АК БАРС» БАНК за 2022–2024 гг. (РПБУ), консолидированную финансовую отчётность по МСФО за 2025 г., годовые отчёты Банка за 2023 и 2024 гг., Положение об общем собрании акционеров;</w:t>
      </w:r>
    </w:p>
    <w:p>
      <w:pPr>
        <w:pStyle w:val="ListParagraph"/>
        <w:numPr>
          <w:ilvl w:val="0"/>
          <w:numId w:val="1"/>
        </w:numPr>
      </w:pPr>
      <w:r>
        <w:t xml:space="preserve">материалы официального сайта Банка и продуктового лендинга Face2;</w:t>
      </w:r>
    </w:p>
    <w:p>
      <w:pPr>
        <w:pStyle w:val="ListParagraph"/>
        <w:numPr>
          <w:ilvl w:val="0"/>
          <w:numId w:val="1"/>
        </w:numPr>
      </w:pPr>
      <w:r>
        <w:t xml:space="preserve">аналитические обзоры TAdviser, публикации делового издания «Ведомости», специализированные научные статьи по биометрии в банковской сфере;</w:t>
      </w:r>
    </w:p>
    <w:p>
      <w:pPr>
        <w:pStyle w:val="ListParagraph"/>
        <w:numPr>
          <w:ilvl w:val="0"/>
          <w:numId w:val="1"/>
        </w:numPr>
      </w:pPr>
      <w:r>
        <w:t xml:space="preserve">открытые данные ключевых конкурентов рынка биометрических решений (VisionLabs, OVISION и др.);</w:t>
      </w:r>
    </w:p>
    <w:p>
      <w:pPr>
        <w:pStyle w:val="ListParagraph"/>
        <w:numPr>
          <w:ilvl w:val="0"/>
          <w:numId w:val="1"/>
        </w:numPr>
      </w:pPr>
      <w:r>
        <w:t xml:space="preserve">учебную и научную литературу по маркетингу, инновационному менеджменту и стратегическому управлению (Ф. Котлер, Ж.-Ж. Ламбен, М. Портер, П. Друкер, А.В. Тебекин, С.В. Мальцева, Е.П. Голубков и др.).</w:t>
      </w:r>
    </w:p>
    <w:p>
      <w:r>
        <w:t xml:space="preserve">Использование указанной информационной базы обеспечивает достоверность результатов исследования и позволяет применить современные информационные технологии и электронные базы данных при сборе и обработке материалов.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Раздел 2. Анализ предметной области объекта исследования</w:t>
      </w:r>
    </w:p>
    <w:p>
      <w:pPr>
        <w:pStyle w:val="Heading3"/>
        <w:keepNext/>
      </w:pPr>
      <w:r>
        <w:t xml:space="preserve">2.1. Организационно-экономическая характеристика ПАО «АК БАРС» БАНК</w:t>
      </w:r>
    </w:p>
    <w:p>
      <w:pPr>
        <w:pStyle w:val="Heading4"/>
        <w:keepNext/>
      </w:pPr>
      <w:r>
        <w:t xml:space="preserve">2.1.1. Общие сведения и юридический статус</w:t>
      </w:r>
    </w:p>
    <w:p>
      <w:r>
        <w:t xml:space="preserve">Публичное акционерное общество «АК БАРС» БАНК (далее — Банк) — одна из крупнейших региональных кредитных организаций Российской Федерации, осуществляющая полный спектр банковских операций для физических и юридических лиц на основании генеральной лицензии Банка России. Основные сведения о Банке как объекте исследования приведены в таблице 1.</w:t>
      </w:r>
    </w:p>
    <w:p>
      <w:r>
        <w:rPr>
          <w:b/>
        </w:rPr>
        <w:t xml:space="preserve">Таблица 1. Основные сведения о ПАО «АК БАРС» БАНК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4500"/>
      <w:gridCol w:w="4500"/>
      <w:tr>
        <w:trPr>
          <w:tblHeader/>
        </w:trPr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Полное наименование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Публичное акционерное общество «АК БАРС» БАНК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Сокращённое наименование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ПАО «АК БАРС» БАНК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Организационно-правовая форма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Публичное акционерное общество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Юридический адрес и место нахождения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Республика Татарстан, г. Казань, ул. Декабристов, д. 1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Регион регистрации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Республика Татарстан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Уставный капитал (на 31.12.2024)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48 015 396 326 ₽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Количество размещённых акций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48 015 396 326 шт., номинал 1 ₽, обыкновенные, бездокументарные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Количество акционеров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45 (30 юридических лиц, 15 физических лиц)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Регистратор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АО «Регистраторское общество «СТАТУС» (Казанский филиал)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Внешний аудитор (2024 г.)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АО «Технологии Доверия — Аудит»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Региональная сеть (на конец 2023 г.)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174 подразделения в 28 регионах РФ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Кредитные рейтинги (на конец 2024 г.)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АКРА — A(RU) (стабильный); Эксперт РА — ruA (стабильный); НКР — A.ru (позитивный)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ESG-рейтинги (на конец 2024 г.)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Эксперт РА — ESG-III(b); Банк России — ESG-BBB (стабильный); НКР — ESG-A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Участие в государственных системах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Единая биометрическая система (ЕБС); система обязательной идентификации по ФЗ-115</w:t>
            </w:r>
          </w:p>
        </w:tc>
      </w:tr>
    </w:tbl>
    <w:p>
      <w:r>
        <w:rPr>
          <w:i/>
        </w:rPr>
        <w:t xml:space="preserve">Источник: Годовой отчёт ПАО «АК БАРС» БАНК за 2024 г.; Положение об общем собрании акционеров ПАО «АК БАРС» БАНК.</w:t>
      </w:r>
    </w:p>
    <w:p>
      <w:r>
        <w:t xml:space="preserve">В первый день практики (08.05.2026) пройден инструктаж по требованиям охраны труда, техники безопасности, пожарной безопасности и правилам внутреннего трудового распорядка ПАО «АК БАРС» БАНК.</w:t>
      </w:r>
    </w:p>
    <w:p>
      <w:pPr>
        <w:pStyle w:val="Heading4"/>
        <w:keepNext/>
      </w:pPr>
      <w:r>
        <w:t xml:space="preserve">2.1.2. Организационная структура и система корпоративного управления</w:t>
      </w:r>
    </w:p>
    <w:p>
      <w:r>
        <w:t xml:space="preserve">ПАО «АК БАРС» БАНК осуществляет банковскую деятельность на основании </w:t>
      </w:r>
      <w:r>
        <w:rPr>
          <w:b/>
        </w:rPr>
        <w:t xml:space="preserve">генеральной лицензии Банка России № 2590</w:t>
      </w:r>
      <w:r>
        <w:t xml:space="preserve"> на осуществление банковских операций со средствами в рублях и в иностранной валюте (дата выдачи в действующей редакции — 12.08.2015), а также лицензии Банка России № 2590 на осуществление банковских операций с драгоценными металлами и лицензии профессионального участника рынка ценных бумаг на осуществление брокерской деятельности № 092-03460-100000 от 07.12.2000. Совокупность лицензий позволяет Банку оказывать клиентам полный спектр банковских и инвестиционных услуг.</w:t>
      </w:r>
    </w:p>
    <w:p>
      <w:r>
        <w:t xml:space="preserve">Деятельность Банка регулируется тремя группами внутренних документов: </w:t>
      </w:r>
      <w:r>
        <w:rPr>
          <w:b/>
        </w:rPr>
        <w:t xml:space="preserve">учредительными</w:t>
      </w:r>
      <w:r>
        <w:t xml:space="preserve"> (Устав ПАО «АК БАРС» БАНК в действующей редакции, утверждённой Общим собранием акционеров), </w:t>
      </w:r>
      <w:r>
        <w:rPr>
          <w:b/>
        </w:rPr>
        <w:t xml:space="preserve">корпоративно-управленческими</w:t>
      </w:r>
      <w:r>
        <w:t xml:space="preserve"> (Кодекс корпоративного управления ПАО «АК БАРС» БАНК, актуализированный с учётом современных практик и принципов устойчивого развития; Положение об Общем собрании акционеров; Положение о Совете директоров; Положение о Правлении; положения о профильных комитетах при Совете директоров; Положение о Корпоративном секретаре; Положение о Ревизионной комиссии) и </w:t>
      </w:r>
      <w:r>
        <w:rPr>
          <w:b/>
        </w:rPr>
        <w:t xml:space="preserve">этико-комплаенс-документами</w:t>
      </w:r>
      <w:r>
        <w:t xml:space="preserve"> (Кодекс этики, антикоррупционные и инсайдерские политики, политика по управлению конфликтом интересов).</w:t>
      </w:r>
    </w:p>
    <w:p>
      <w:r>
        <w:t xml:space="preserve">Банк является </w:t>
      </w:r>
      <w:r>
        <w:rPr>
          <w:b/>
        </w:rPr>
        <w:t xml:space="preserve">головной организацией Группы Банка «Ак Барс»</w:t>
      </w:r>
      <w:r>
        <w:t xml:space="preserve"> (далее — Группа), консолидированная отчётность которой составляется по МСФО. В периметр Группы помимо самого Банка входят дочерние общества лизингового, страхового (включая страхование жизни), инвестиционного направлений, негосударственный пенсионный фонд и сервисные компании, что обеспечивает комплексность продуктового предложения для клиентов и диверсификацию доходов.</w:t>
      </w:r>
    </w:p>
    <w:p>
      <w:r>
        <w:t xml:space="preserve">В соответствии с Уставом и Кодексом корпоративного управления </w:t>
      </w:r>
      <w:r>
        <w:rPr>
          <w:b/>
        </w:rPr>
        <w:t xml:space="preserve">органами управления Банка</w:t>
      </w:r>
      <w:r>
        <w:t xml:space="preserve"> являются: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Общее собрание акционеров (ОСА)</w:t>
      </w:r>
      <w:r>
        <w:t xml:space="preserve"> — высший орган управления;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Совет директоров</w:t>
      </w:r>
      <w:r>
        <w:t xml:space="preserve"> — орган общего руководства деятельностью Банка (за исключением вопросов, отнесённых к компетенции ОСА);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Правление</w:t>
      </w:r>
      <w:r>
        <w:t xml:space="preserve"> — коллегиальный исполнительный орган;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Председатель Правления</w:t>
      </w:r>
      <w:r>
        <w:t xml:space="preserve"> — единоличный исполнительный орган.</w:t>
      </w:r>
    </w:p>
    <w:p>
      <w:r>
        <w:t xml:space="preserve">Контроль за финансово-хозяйственной деятельностью Банка осуществляют </w:t>
      </w:r>
      <w:r>
        <w:rPr>
          <w:b/>
        </w:rPr>
        <w:t xml:space="preserve">Ревизионная комиссия</w:t>
      </w:r>
      <w:r>
        <w:t xml:space="preserve">, ежегодно избираемая ОСА, и </w:t>
      </w:r>
      <w:r>
        <w:rPr>
          <w:b/>
        </w:rPr>
        <w:t xml:space="preserve">внешний аудитор</w:t>
      </w:r>
      <w:r>
        <w:t xml:space="preserve">, утверждаемый ОСА по рекомендации Совета директоров; в 2024 году аудитором утверждено АО «Технологии Доверия — Аудит». Помимо этого, надзор за деятельностью Банка как кредитной организации осуществляет </w:t>
      </w:r>
      <w:r>
        <w:rPr>
          <w:b/>
        </w:rPr>
        <w:t xml:space="preserve">Банк России</w:t>
      </w:r>
      <w:r>
        <w:t xml:space="preserve"> через установленные обязательные нормативы (норматив достаточности капитала, нормативы ликвидности, нормативы кредитного риска и др.) и проверки соблюдения банковского законодательства.</w:t>
      </w:r>
    </w:p>
    <w:p>
      <w:r>
        <w:t xml:space="preserve">Распределение полномочий между органами управления и контроля и их взаимосвязи представлены на схеме 1.</w:t>
      </w:r>
    </w:p>
    <w:p>
      <w:pPr>
        <w:pStyle w:val="CodeBlock"/>
      </w:pPr>
      <w:r>
        <w:rPr>
          <w:rFonts w:ascii="Consolas" w:hAnsi="Consolas" w:cs="Consolas"/>
        </w:rPr>
        <w:t xml:space="preserve">Схема 1. Система органов управления и контроля ПАО «АК БАРС» БАНК (2024–2025)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┌──────────────────────────────┐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│   Общее собрание акционеров  │   высший орган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│   (45 акционеров: 30 ЮЛ +    │   управления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│   15 ФЛ; УК 48,02 млрд ₽)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└──────────────┬───────────────┘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    ┌──────────────────────────┼──────────────────────────┐</w:t>
      </w:r>
    </w:p>
    <w:p>
      <w:pPr>
        <w:pStyle w:val="CodeBlock"/>
      </w:pPr>
      <w:r>
        <w:rPr>
          <w:rFonts w:ascii="Consolas" w:hAnsi="Consolas" w:cs="Consolas"/>
        </w:rPr>
        <w:t xml:space="preserve">                ▼                          ▼                          ▼</w:t>
      </w:r>
    </w:p>
    <w:p>
      <w:pPr>
        <w:pStyle w:val="CodeBlock"/>
      </w:pPr>
      <w:r>
        <w:rPr>
          <w:rFonts w:ascii="Consolas" w:hAnsi="Consolas" w:cs="Consolas"/>
        </w:rPr>
        <w:t xml:space="preserve">   ┌────────────────────┐   ┌──────────────────────────┐   ┌───────────────────┐</w:t>
      </w:r>
    </w:p>
    <w:p>
      <w:pPr>
        <w:pStyle w:val="CodeBlock"/>
      </w:pPr>
      <w:r>
        <w:rPr>
          <w:rFonts w:ascii="Consolas" w:hAnsi="Consolas" w:cs="Consolas"/>
        </w:rPr>
        <w:t xml:space="preserve">   │ Совет директоров   │   │  Ревизионная комиссия    │   │ Внешний аудитор   │</w:t>
      </w:r>
    </w:p>
    <w:p>
      <w:pPr>
        <w:pStyle w:val="CodeBlock"/>
      </w:pPr>
      <w:r>
        <w:rPr>
          <w:rFonts w:ascii="Consolas" w:hAnsi="Consolas" w:cs="Consolas"/>
        </w:rPr>
        <w:t xml:space="preserve">   │ (11 чел.,          │   │  (избирается ОСА         │   │ АО «Технологии    │</w:t>
      </w:r>
    </w:p>
    <w:p>
      <w:pPr>
        <w:pStyle w:val="CodeBlock"/>
      </w:pPr>
      <w:r>
        <w:rPr>
          <w:rFonts w:ascii="Consolas" w:hAnsi="Consolas" w:cs="Consolas"/>
        </w:rPr>
        <w:t xml:space="preserve">   │ 3 независимых;     │   │  ежегодно; контроль ФХД, │   │ Доверия —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9 очных + 5        │   │  заключение по годовому  │   │ Аудит» (2024 г.)  │</w:t>
      </w:r>
    </w:p>
    <w:p>
      <w:pPr>
        <w:pStyle w:val="CodeBlock"/>
      </w:pPr>
      <w:r>
        <w:rPr>
          <w:rFonts w:ascii="Consolas" w:hAnsi="Consolas" w:cs="Consolas"/>
        </w:rPr>
        <w:t xml:space="preserve">   │ заочных заседаний  │   │  отчёту и БФО)           │   └───────────────────┘</w:t>
      </w:r>
    </w:p>
    <w:p>
      <w:pPr>
        <w:pStyle w:val="CodeBlock"/>
      </w:pPr>
      <w:r>
        <w:rPr>
          <w:rFonts w:ascii="Consolas" w:hAnsi="Consolas" w:cs="Consolas"/>
        </w:rPr>
        <w:t xml:space="preserve">   │ в 2024 г.,         │   └──────────────────────────┘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87 вопросов)       │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└────────┬───────────┘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Комитеты при Совете директоров: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• Комитет по аудиту и рискам (9 + 1 засед.,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  72 вопроса; председатель — независимый член СД)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• Комитет по кадрам и вознаграждениям (8 + 1)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• Комитет по стратегии (4 + 1)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Корпоративный секретарь (подотчётен СД)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▼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┌──────────────────────────────────────┐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Председатель Правления + Правление   │   исполнительные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(коллегиальное руководство текущей   │   органы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деятельностью)                       │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└────────┬─────────────────────────────┘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│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▼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┌────────────────────────────────────────────────────────────────┴───┐</w:t>
      </w:r>
    </w:p>
    <w:p>
      <w:pPr>
        <w:pStyle w:val="CodeBlock"/>
      </w:pPr>
      <w:r>
        <w:rPr>
          <w:rFonts w:ascii="Consolas" w:hAnsi="Consolas" w:cs="Consolas"/>
        </w:rPr>
        <w:t xml:space="preserve">   │  Три линии защиты (модель внутреннего контроля)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─────────────────────────────────────────────────────────────     │</w:t>
      </w:r>
    </w:p>
    <w:p>
      <w:pPr>
        <w:pStyle w:val="CodeBlock"/>
      </w:pPr>
      <w:r>
        <w:rPr>
          <w:rFonts w:ascii="Consolas" w:hAnsi="Consolas" w:cs="Consolas"/>
        </w:rPr>
        <w:t xml:space="preserve">   │  1-я линия: бизнес-подразделения — владельцы рисков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(розничный, корпоративный, инвестиционный бизнес,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казначейство, ИТ и цифровая трансформация и др.)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2-я линия: контролирующие функции — управление рисками,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Служба внутреннего контроля, комплаенс,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информационная безопасность, защита ПДн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3-я линия: Департамент внутреннего аудита, подотчётный СД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через Комитет по аудиту и рискам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cs="Consolas"/>
        </w:rPr>
        <w:t xml:space="preserve">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         ▼</w:t>
      </w:r>
    </w:p>
    <w:p>
      <w:pPr>
        <w:pStyle w:val="CodeBlock"/>
      </w:pPr>
      <w:r>
        <w:rPr>
          <w:rFonts w:ascii="Consolas" w:hAnsi="Consolas" w:cs="Consolas"/>
        </w:rPr>
        <w:t xml:space="preserve">   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          Группа Банка «Ак Барс»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ПАО «АК БАРС» БАНК (головная организация)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+ дочерние общества: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• лизинговая компания         • страховые компании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• инвестиционные компании     • НПФ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• сервисные компании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                                              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Сеть Банка: 174 подразделения в 28 регионах РФ    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│  (головной офис — г. Казань, ул. Декабристов, д. 1)                 │</w:t>
      </w:r>
    </w:p>
    <w:p>
      <w:pPr>
        <w:pStyle w:val="CodeBlock"/>
      </w:pPr>
      <w:r>
        <w:rPr>
          <w:rFonts w:ascii="Consolas" w:hAnsi="Consolas" w:cs="Consolas"/>
        </w:rPr>
        <w:t xml:space="preserve">   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 xml:space="preserve">   Регистратор реестра акционеров — Казанский филиал</w:t>
      </w:r>
    </w:p>
    <w:p>
      <w:pPr>
        <w:pStyle w:val="CodeBlock"/>
      </w:pPr>
      <w:r>
        <w:rPr>
          <w:rFonts w:ascii="Consolas" w:hAnsi="Consolas" w:cs="Consolas"/>
        </w:rPr>
        <w:t xml:space="preserve">   АО «Регистраторское общество «СТАТУС».</w:t>
      </w:r>
    </w:p>
    <w:p>
      <w:r>
        <w:rPr>
          <w:b/>
        </w:rPr>
        <w:t xml:space="preserve">Общее собрание акционеров</w:t>
      </w:r>
      <w:r>
        <w:t xml:space="preserve"> является высшим органом управления Банка. Уставный капитал на 31.12.2024 составляет 48 015 396 326 рублей и разделён на 48 015 396 326 обыкновенных бездокументарных акций номиналом 1 рубль каждая; все акции размещены и оплачены. Ведение реестра владельцев именных ценных бумаг осуществляет независимый регистратор — Казанский филиал АО «Регистраторское общество «СТАТУС». К исключительной компетенции ОСА относятся: внесение изменений в Устав; реорганизация и ликвидация; избрание Совета директоров и Ревизионной комиссии; утверждение аудитора; утверждение годового отчёта и годовой бухгалтерской (финансовой) отчётности; распределение прибыли и принятие решений о дивидендах; одобрение крупных сделок и сделок с заинтересованностью в установленных случаях. Порядок созыва и проведения ОСА регулируется Положением об Общем собрании акционеров ПАО «АК БАРС» БАНК.</w:t>
      </w:r>
    </w:p>
    <w:p>
      <w:r>
        <w:rPr>
          <w:b/>
        </w:rPr>
        <w:t xml:space="preserve">Совет директоров</w:t>
      </w:r>
      <w:r>
        <w:t xml:space="preserve"> — орган общего руководства, избираемый ОСА сроком до следующего годового собрания. В 2024 году в составе Совета директоров — 11 человек, из которых по результатам оценки независимости 3 признаны независимыми директорами. В отчётном году Совет провёл </w:t>
      </w:r>
      <w:r>
        <w:rPr>
          <w:b/>
        </w:rPr>
        <w:t xml:space="preserve">9 очных и 5 заочных заседаний и рассмотрел 87 вопросов</w:t>
      </w:r>
      <w:r>
        <w:t xml:space="preserve"> повестки дня, в том числе ход реализации Стратегии развития 2022–2026, бюджет 2025 года, отчётность по ВПОДК, актуализацию внутренних нормативных документов в области управления рисками и капиталом, информационной безопасности, рекомендации по утверждению аудитора. Председатель Совета директоров избирается членами СД на первом заседании после избрания. По итогам года Совет директоров провёл самооценку и оценку системы корпоративного управления Банка, признав её соответствующей стандартам корпоративного управления.</w:t>
      </w:r>
    </w:p>
    <w:p>
      <w:r>
        <w:rPr>
          <w:b/>
        </w:rPr>
        <w:t xml:space="preserve">Комитеты при Совете директоров.</w:t>
      </w:r>
      <w:r>
        <w:t xml:space="preserve"> Для эффективного выполнения контрольных и подготовительных функций при Совете директоров действуют три специализированных комитета. Сводные характеристики комитетов и статистика их работы за 2024 год представлены в таблице 2.</w:t>
      </w:r>
    </w:p>
    <w:p>
      <w:r>
        <w:rPr>
          <w:b/>
        </w:rPr>
        <w:t xml:space="preserve">Таблица 2. Комитеты при Совете директоров ПАО «АК БАРС» БАНК (2024 г.)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2250"/>
      <w:gridCol w:w="2250"/>
      <w:gridCol w:w="2250"/>
      <w:gridCol w:w="2250"/>
      <w:tr>
        <w:trPr>
          <w:tblHeader/>
        </w:trPr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Комитет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Председатель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Основные направления работы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Активность в 2024 г.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Комитет по аудиту и рискам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Независимый член СД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Внутренний контроль, управление рисками и капиталом, взаимодействие с внешним аудитором (включая организацию конкурса по выбору аудитора), ВПОДК, риск-аппетит, информационная безопасность, сделки со связанными сторонами, актуализация внутренних нормативных документов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9 очных + 1 заочное заседание, 72 вопроса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Комитет по кадрам и вознаграждениям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Член СД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HR-стратегия 2022–2026, KPI Правления и Председателя Правления, кадровый резерв, политика оплаты труда, рассмотрение оценки состояния корпоративного управления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8 очных + 1 заочное заседание, 31 вопрос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Комитет по стратегии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Член СД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Мониторинг Стратегии развития 2022–2026, ИТ-стратегия и технологический суверенитет (ЗОКИИ), организационная эволюция, ключевые стратегические инициативы 2025 г. по розничному, корпоративному и инвестиционному бизнесу, информационная безопасность, ESG-повестка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4 очных + 1 заочное заседание</w:t>
            </w:r>
          </w:p>
        </w:tc>
      </w:tr>
    </w:tbl>
    <w:p>
      <w:r>
        <w:rPr>
          <w:i/>
        </w:rPr>
        <w:t xml:space="preserve">Источник: Годовой отчёт ПАО «АК БАРС» БАНК за 2024 г. (раздел «Корпоративное управление», стр. 68–82).</w:t>
      </w:r>
    </w:p>
    <w:p>
      <w:r>
        <w:rPr>
          <w:b/>
        </w:rPr>
        <w:t xml:space="preserve">Правление Банка</w:t>
      </w:r>
      <w:r>
        <w:t xml:space="preserve"> — коллегиальный исполнительный орган, осуществляющий руководство текущей деятельностью Банка совместно с </w:t>
      </w:r>
      <w:r>
        <w:rPr>
          <w:b/>
        </w:rPr>
        <w:t xml:space="preserve">Председателем Правления</w:t>
      </w:r>
      <w:r>
        <w:t xml:space="preserve"> как единоличным исполнительным органом. Правление и Председатель Правления подотчётны Совету директоров и Общему собранию акционеров. В 2024 году срок полномочий Председателя Правления был продлён, а состав Правления обновлён в соответствии с задачами реализации Стратегии развития. Правление обеспечивает исполнение решений Совета директоров и Общего собрания акционеров, отвечает за оперативное управление активами и пассивами, кредитной, инвестиционной, тарифной и кадровой политикой, а также за функционирование системы внутреннего контроля и управления рисками на оперативном уровне.</w:t>
      </w:r>
    </w:p>
    <w:p>
      <w:r>
        <w:rPr>
          <w:b/>
        </w:rPr>
        <w:t xml:space="preserve">Корпоративный секретарь</w:t>
      </w:r>
      <w:r>
        <w:t xml:space="preserve"> назначается на должность решением Совета директоров и подотчётен ему. Деятельность Корпоративного секретаря регулируется Положением о Корпоративном секретаре, утверждаемым Советом директоров. Корпоративный секретарь обеспечивает соблюдение установленного порядка корпоративных процедур, подготовку заседаний СД и комитетов, информационное сопровождение работы СД и взаимодействие Банка с акционерами и регистратором.</w:t>
      </w:r>
    </w:p>
    <w:p>
      <w:r>
        <w:rPr>
          <w:b/>
        </w:rPr>
        <w:t xml:space="preserve">Ревизионная комиссия</w:t>
      </w:r>
      <w:r>
        <w:t xml:space="preserve"> избирается Общим собранием акционеров ежегодно и осуществляет контроль за финансово-хозяйственной деятельностью Банка. По итогам отчётного года Ревизионная комиссия представляет ОСА заключение о результатах проверки финансово-хозяйственной деятельности Банка и о достоверности годового отчёта и годовой бухгалтерской (финансовой) отчётности. В состав Ревизионной комиссии не могут входить члены Совета директоров и Правления, что обеспечивает её независимость.</w:t>
      </w:r>
    </w:p>
    <w:p>
      <w:r>
        <w:rPr>
          <w:b/>
        </w:rPr>
        <w:t xml:space="preserve">Система внутреннего контроля</w:t>
      </w:r>
      <w:r>
        <w:t xml:space="preserve"> Банка построена в соответствии с требованиями Банка России и интегрированной моделью COSO «Внутренний контроль» и реализуется по </w:t>
      </w:r>
      <w:r>
        <w:rPr>
          <w:b/>
        </w:rPr>
        <w:t xml:space="preserve">модели трёх линий защиты</w:t>
      </w:r>
      <w:r>
        <w:t xml:space="preserve">: бизнес-подразделения как владельцы рисков (1-я линия) обеспечивают идентификацию и первичный контроль рисков в операционной деятельности; контролирующие функции — управление рисками, Служба внутреннего контроля, комплаенс, информационная безопасность, защита персональных данных (2-я линия) — координируют управление рисками и мониторинг контрольных процедур; Департамент внутреннего аудита (3-я линия), подотчётный Совету директоров через Комитет по аудиту и рискам, обеспечивает независимое подтверждение эффективности корпоративного управления, системы управления рисками и внутреннего контроля. Дополнительно в Банке функционируют системы антикоррупционного, антимонопольного и инсайдерского комплаенса, отвечающие передовым международным комплаенс-стандартам.</w:t>
      </w:r>
    </w:p>
    <w:p>
      <w:r>
        <w:rPr>
          <w:b/>
        </w:rPr>
        <w:t xml:space="preserve">Бизнес-направления и функциональные блоки.</w:t>
      </w:r>
      <w:r>
        <w:t xml:space="preserve"> Деятельность Банка организована по трём ключевым бизнес-направлениям — </w:t>
      </w:r>
      <w:r>
        <w:rPr>
          <w:b/>
        </w:rPr>
        <w:t xml:space="preserve">розничный бизнес, корпоративный бизнес и инвестиционный бизнес</w:t>
      </w:r>
      <w:r>
        <w:t xml:space="preserve">, — поддерживаемым функциональными блоками: казначейство; ИТ и цифровая трансформация; управление рисками; маркетинг и коммуникации; HR и Корпоративный университет; юридическое сопровождение; информационная безопасность; сеть филиалов и дополнительных офисов (174 подразделения в 28 регионах РФ). В целях обеспечения гласности и доступности информации о финансовом положении Банк публикует годовую бухгалтерскую (финансовую) отчётность и годовой отчёт после их утверждения ОСА и подтверждения внешним аудитором.</w:t>
      </w:r>
    </w:p>
    <w:p>
      <w:r>
        <w:rPr>
          <w:b/>
        </w:rPr>
        <w:t xml:space="preserve">Место инновационного направления.</w:t>
      </w:r>
      <w:r>
        <w:t xml:space="preserve"> Биометрический продукт Face2 относится к направлению </w:t>
      </w:r>
      <w:r>
        <w:rPr>
          <w:b/>
        </w:rPr>
        <w:t xml:space="preserve">цифровой трансформации</w:t>
      </w:r>
      <w:r>
        <w:t xml:space="preserve"> и развивается в кооперации с маркетинговым, продуктовым, ИТ-блоками и блоком информационной безопасности Банка. Стратегические вопросы развития направления цифровой трансформации (включая ИТ-стратегию, технологический суверенитет и ЗОКИИ) рассматриваются Комитетом по стратегии при Совете директоров, что обеспечивает прямую интеграцию работы по продвижению Face2 в общую систему корпоративного управления Банка.</w:t>
      </w:r>
    </w:p>
    <w:p>
      <w:pPr>
        <w:pStyle w:val="Heading4"/>
        <w:keepNext/>
      </w:pPr>
      <w:r>
        <w:t xml:space="preserve">2.1.3. Финансово-экономические показатели деятельности</w:t>
      </w:r>
    </w:p>
    <w:p>
      <w:r>
        <w:t xml:space="preserve">Анализ финансово-экономической деятельности Банка проведён на основе годовой бухгалтерской (финансовой) отчётности за 2022–2024 гг. (РПБУ), Годовых отчётов за 2023 и 2024 гг. и раскрываемой консолидированной финансовой отчётности Группы Банка «Ак Барс» по МСФО за 2025 год. Сводная динамика ключевых показателей за 2023–2025 гг. представлена в таблице 3.</w:t>
      </w:r>
    </w:p>
    <w:p>
      <w:r>
        <w:rPr>
          <w:b/>
        </w:rPr>
        <w:t xml:space="preserve">Таблица 3. Ключевые финансовые показатели ПАО «АК БАРС» БАНК / Группы Банка «Ак Барс» за 2023–2025 гг.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1800"/>
      <w:gridCol w:w="1800"/>
      <w:gridCol w:w="1800"/>
      <w:gridCol w:w="1800"/>
      <w:gridCol w:w="1800"/>
      <w:tr>
        <w:trPr>
          <w:tblHeader/>
        </w:trPr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2023 г. (РПБУ)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2024 г. (РПБУ / МСФО)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2025 г. (МСФО)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Динамика 2025/2024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Активы,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~860 000 (РПБУ, оценка)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946 923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1 157 340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+22,2 %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Кредиты и авансы клиентам,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456 856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472 382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+3,4 %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Корпоративный кредитный портфель, млрд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158,5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203,0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+28 % (2024/2023)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Средства клиентов,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662 695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760 565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+14,8 %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Капитал,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111 972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126 377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+12,9 %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Уставный капитал,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48 015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48 015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48 015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без изменений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Чистый процентный доход,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46 590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58 135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+24,8 %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Прибыль до налогообложения,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8 674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23 729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 2,7 раза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Чистая прибыль, млн ₽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6 400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7 269 (МСФО) / 15 400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15 708 (МСФО)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+116 % к РПБУ-2024 (МСФО)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Рентабельность активов (ROA),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0,7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1,7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+1,0 п.п.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Рентабельность капитала (ROE),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7,6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15,4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+7,8 п.п.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Отношение операционных расходов к доходам (CIR),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37,8 (РПБУ)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Численность розничных клиентов, тыс.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~900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934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+3,8 % (2024/2023)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Численность корпоративных клиентов, тыс.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33,9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r>
        <w:rPr>
          <w:i/>
        </w:rPr>
        <w:t xml:space="preserve">Источник: Годовой отчёт ПАО «АК БАРС» БАНК за 2023 г.; Годовой отчёт ПАО «АК БАРС» БАНК за 2024 г.; Раскрываемая консолидированная финансовая отчётность Группы Банка «Ак Барс» в соответствии с МСФО за год, закончившийся 31.12.2025.</w:t>
      </w:r>
    </w:p>
    <w:p>
      <w:r>
        <w:rPr>
          <w:b/>
        </w:rPr>
        <w:t xml:space="preserve">Анализ активов и обязательств.</w:t>
      </w:r>
      <w:r>
        <w:t xml:space="preserve"> За 2024 год активы Группы Банка «Ак Барс» по МСФО составили 946,9 млрд ₽; по итогам 2025 года активы увеличились до 1 157,3 млрд ₽ (рост на 22,2 %). Источником роста выступило увеличение средств клиентов (с 662,7 до 760,6 млрд ₽; +14,8 %) и капитала (с 112,0 до 126,4 млрд ₽; +12,9 %). Кредитный портфель клиентам составил 472,4 млрд ₽ (+3,4 %). Корпоративный кредитный портфель Банка по РПБУ за 2024 год вырос на 28 % — со 158,5 до 203,0 млрд ₽, что отражает активную работу с корпоративным сегментом и инвестиционными проектами.</w:t>
      </w:r>
    </w:p>
    <w:p>
      <w:r>
        <w:rPr>
          <w:b/>
        </w:rPr>
        <w:t xml:space="preserve">Анализ доходов и финансового результата.</w:t>
      </w:r>
      <w:r>
        <w:t xml:space="preserve"> Чистый процентный доход Группы по МСФО увеличился с 46,6 млрд ₽ в 2024 году до 58,1 млрд ₽ в 2025 году (+24,8 %), что отражает рост процентной маржи и расширение кредитного портфеля. Прибыль до налогообложения выросла в 2,7 раза — с 8,7 до 23,7 млрд ₽; чистая прибыль Группы по МСФО составила 15,7 млрд ₽ в 2025 году против 7,3 млрд ₽ в 2024 году. По данным РПБУ Банк завершил 2024 год с чистой прибылью 15,4 млрд ₽ против 6,4 млрд ₽ в 2023 году.</w:t>
      </w:r>
    </w:p>
    <w:p>
      <w:r>
        <w:rPr>
          <w:b/>
        </w:rPr>
        <w:t xml:space="preserve">Анализ эффективности.</w:t>
      </w:r>
      <w:r>
        <w:t xml:space="preserve"> По итогам 2024 года рентабельность активов (ROA) Банка по РПБУ составила 1,7 % (против 0,7 % в 2023 году), рентабельность капитала (ROE) — 15,4 % (против 7,6 % в 2023 году). Соотношение операционных расходов и доходов (CIR) — 37,8 %, что соответствует целевому диапазону для крупных российских банков. Достижение указанных показателей подтверждает эффективность стратегии повышения эффективности и клиентоцентричности.</w:t>
      </w:r>
    </w:p>
    <w:p>
      <w:r>
        <w:rPr>
          <w:b/>
        </w:rPr>
        <w:t xml:space="preserve">Анализ клиентской базы.</w:t>
      </w:r>
      <w:r>
        <w:t xml:space="preserve"> На конец 2024 года Банк обслуживает 934 тыс. розничных клиентов и 33,9 тыс. корпоративных клиентов; обслуживание ведётся в физических каналах (174 подразделения в 28 регионах) и в цифровых каналах (мобильное приложение, ДБО). Цифровые каналы рассматриваются как приоритетные для роста клиентской базы и продвижения инновационных сервисов, включая Face2.</w:t>
      </w:r>
    </w:p>
    <w:p>
      <w:r>
        <w:rPr>
          <w:b/>
        </w:rPr>
        <w:t xml:space="preserve">Анализ кредитных и ESG-рейтингов.</w:t>
      </w:r>
      <w:r>
        <w:t xml:space="preserve"> На конец 2024 года Банк подтвердил высокий уровень кредитоспособности: АКРА — A(RU), Эксперт РА — ruA, НКР — A.ru. ESG-рейтинги Банка (Эксперт РА — ESG-III(b), Банк России — ESG-BBB, НКР — ESG-A) подтверждают зрелость практик в области устойчивого развития и корпоративного управления, что является важным репутационным активом при работе с B2G-сегментом и корпоративными клиентами.</w:t>
      </w:r>
    </w:p>
    <w:p>
      <w:r>
        <w:rPr>
          <w:b/>
        </w:rPr>
        <w:t xml:space="preserve">Сводный вывод.</w:t>
      </w:r>
      <w:r>
        <w:t xml:space="preserve"> В 2024–2025 гг. Банк демонстрирует устойчивый рост финансовых результатов и масштабов деятельности, сохраняя высокий уровень кредитоспособности и соответствия ESG-стандартам. Это создаёт благоприятную организационно-экономическую базу для развития инновационного направления и продвижения биометрического продукта Face2.</w:t>
      </w:r>
    </w:p>
    <w:p>
      <w:pPr>
        <w:pStyle w:val="Heading4"/>
        <w:keepNext/>
      </w:pPr>
      <w:r>
        <w:t xml:space="preserve">2.1.4. Стратегия развития и место инновационного направления</w:t>
      </w:r>
    </w:p>
    <w:p>
      <w:r>
        <w:t xml:space="preserve">В стратегии развития Банка на 2022–2026 гг. определены три приоритета — </w:t>
      </w:r>
      <w:r>
        <w:rPr>
          <w:b/>
        </w:rPr>
        <w:t xml:space="preserve">эффективность, клиентоцентричность и гибкость.</w:t>
      </w:r>
      <w:r>
        <w:t xml:space="preserve"> В числе ключевых стратегических инициатив:</w:t>
      </w:r>
    </w:p>
    <w:p>
      <w:pPr>
        <w:pStyle w:val="ListParagraph"/>
        <w:numPr>
          <w:ilvl w:val="0"/>
          <w:numId w:val="1"/>
        </w:numPr>
      </w:pPr>
      <w:r>
        <w:t xml:space="preserve">развитие продуктовых предложений и каналов дистрибуции;</w:t>
      </w:r>
    </w:p>
    <w:p>
      <w:pPr>
        <w:pStyle w:val="ListParagraph"/>
        <w:numPr>
          <w:ilvl w:val="0"/>
          <w:numId w:val="1"/>
        </w:numPr>
      </w:pPr>
      <w:r>
        <w:t xml:space="preserve">организационная эволюция (синхронизированное развитие культуры, компетенций и структуры);</w:t>
      </w:r>
    </w:p>
    <w:p>
      <w:pPr>
        <w:pStyle w:val="ListParagraph"/>
        <w:numPr>
          <w:ilvl w:val="0"/>
          <w:numId w:val="1"/>
        </w:numPr>
      </w:pPr>
      <w:r>
        <w:t xml:space="preserve">развитие ИТ-инфраструктуры и платформ, в том числе обеспечение технологического суверенитета (защита значимых объектов критической информационной инфраструктуры — ЗОКИИ);</w:t>
      </w:r>
    </w:p>
    <w:p>
      <w:pPr>
        <w:pStyle w:val="ListParagraph"/>
        <w:numPr>
          <w:ilvl w:val="0"/>
          <w:numId w:val="1"/>
        </w:numPr>
      </w:pPr>
      <w:r>
        <w:t xml:space="preserve">совершенствование системы управления рисками и капиталом;</w:t>
      </w:r>
    </w:p>
    <w:p>
      <w:pPr>
        <w:pStyle w:val="ListParagraph"/>
        <w:numPr>
          <w:ilvl w:val="0"/>
          <w:numId w:val="1"/>
        </w:numPr>
      </w:pPr>
      <w:r>
        <w:t xml:space="preserve">интеграция принципов устойчивого развития (ESG).</w:t>
      </w:r>
    </w:p>
    <w:p>
      <w:r>
        <w:t xml:space="preserve">В 2024 году СД заслушал отчёт Правления о ходе реализации Стратегии и отметил, что несмотря на колебания макроэкономических параметров, большинство её показателей находятся в пределах целевых значений. Комитет по стратегии в 2024 году рассматривал темы: оценку трендов рынка и их интеграцию в Стратегию, организационную эволюцию, ход реализации ИТ-стратегии и обеспечение технологической независимости, информационную безопасность, инвестиции в рекламу и развитие подходов к управлению изменениями.</w:t>
      </w:r>
    </w:p>
    <w:p>
      <w:r>
        <w:rPr>
          <w:b/>
        </w:rPr>
        <w:t xml:space="preserve">Место инновационного направления.</w:t>
      </w:r>
      <w:r>
        <w:t xml:space="preserve"> Биометрический продукт Face2 рассматривается как один из элементов цифровой трансформации Банка и направления, обеспечивающего рост доходов от инновационных сервисов, расширение присутствия в B2B/B2G-сегментах и укрепление имиджа Банка как технологически продвинутой организации. Развитие Face2 синхронизировано с приоритетами Стратегии: вкладом в эффективность (новые каналы монетизации), клиентоцентричность (удобные сценарии идентификации и оплаты) и гибкость (расширение продуктовой матрицы под отраслевые потребности).</w:t>
      </w:r>
    </w:p>
    <w:p>
      <w:pPr>
        <w:pStyle w:val="Heading3"/>
        <w:keepNext/>
      </w:pPr>
      <w:r>
        <w:t xml:space="preserve">2.2. Характеристика инновационного биометрического продукта Face2</w:t>
      </w:r>
    </w:p>
    <w:p>
      <w:r>
        <w:t xml:space="preserve">Face2 — инновационный биометрический продукт ПАО «АК БАРС» БАНК, основанный на технологии распознавания лица (Face Recognition) и предназначенный для бесконтактной идентификации пользователей при предоставлении банковских и сопряжённых услуг, а также в смежных отраслях (платежи, контроль доступа, транспорт, образование, государственные сервисы).</w:t>
      </w:r>
    </w:p>
    <w:p>
      <w:r>
        <w:t xml:space="preserve">Сводная карточка продукта представлена в таблице 4.</w:t>
      </w:r>
    </w:p>
    <w:p>
      <w:r>
        <w:rPr>
          <w:b/>
        </w:rPr>
        <w:t xml:space="preserve">Таблица 4. Карточка инновационного продукта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4500"/>
      <w:gridCol w:w="4500"/>
      <w:tr>
        <w:trPr>
          <w:tblHeader/>
        </w:trPr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Тип продукта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Биометрическая идентификация / аутентификация по лицу (Face Recognition)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Правообладатель / провайдер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ПАО «АК БАРС» БАНК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Технологическая основа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Алгоритмы машинного обучения и нейросетевого анализа изображений; высокая точность распознавания при бесконтактном взаимодействии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Базовые сценарии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FacePay (оплата по лицу в торгово-сервисных предприятиях); удалённая идентификация в каналах ДБО; верификация в офисе и устройствах самообслуживания; контроль доступа на территории и в информационных системах; идентификация на транспорте и в образовательных учреждениях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Каналы предоставления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Сайт Банка и продуктовый лендинг; мобильное приложение; партнёрские терминалы и устройства самообслуживания; интеграции с корпоративными ИС заказчиков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Целевые рынки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B2C — клиенты Банка и пользователи сервисов; B2B — корпоративные заказчики (транспорт, образование, корпоративный сектор); B2G — государственные организации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Регуляторная база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ФЗ-152, ФЗ-572, ФЗ-115; нормативные акты Банка России по ЕБС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Ценностное ядро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Безопасность × Удобство × Инновационность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Стадия жизненного цикла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Ранний рост: сформирована технологическая основа и ключевые сценарии, ведётся работа над расширением рынков сбыта и узнаваемостью</w:t>
            </w:r>
          </w:p>
        </w:tc>
      </w:tr>
    </w:tbl>
    <w:p>
      <w:pPr>
        <w:pStyle w:val="Heading3"/>
        <w:keepNext/>
      </w:pPr>
      <w:r>
        <w:t xml:space="preserve">2.3. Анализ рынка биометрических технологий и конкурентной среды</w:t>
      </w:r>
    </w:p>
    <w:p>
      <w:r>
        <w:t xml:space="preserve">В рамках задачи изучения основ продвижения инновационных продуктов на рынках B2B, B2C и B2G и анализа рынка биометрических решений (11.05.2026) систематизированы ключевые тенденции российского рынка биометрии.</w:t>
      </w:r>
    </w:p>
    <w:p>
      <w:r>
        <w:rPr>
          <w:b/>
        </w:rPr>
        <w:t xml:space="preserve">Объём и динамика рынка.</w:t>
      </w:r>
      <w:r>
        <w:t xml:space="preserve"> По оценкам аналитического агентства TAdviser и публикациям делового издания «Ведомости», российский рынок биометрических технологий находится в стадии активного роста, чему способствуют государственная политика цифровизации, развитие Единой биометрической системы (ЕБС) и принятие специального закона ФЗ-572 от 29.12.2022. Темпы роста рынка опережают многие смежные сегменты ИТ; основными драйверами роста выступают B2G-проекты по идентификации граждан, развитие сценариев FacePay в розничной торговле и общественном транспорте, а также корпоративные задачи контроля доступа.</w:t>
      </w:r>
    </w:p>
    <w:p>
      <w:r>
        <w:rPr>
          <w:b/>
        </w:rPr>
        <w:t xml:space="preserve">Статистика ЕБС.</w:t>
      </w:r>
      <w:r>
        <w:t xml:space="preserve"> В Единой биометрической системе зарегистрированы биометрические образцы граждан РФ; число пользователей растёт по мере подключения новых сервисов и расширения доступных операций (открытие счетов, кредитов, госуслуг). Перечень банков — операторов биометрической идентификации в рамках ФЗ-115 (по состоянию на 04.05.2026) включает крупнейшие кредитные организации страны, в том числе ПАО «АК БАРС» БАНК, что подтверждает соответствие Банка регуляторным требованиям и его статус идентифицирующей организации.</w:t>
      </w:r>
    </w:p>
    <w:p>
      <w:r>
        <w:rPr>
          <w:b/>
        </w:rPr>
        <w:t xml:space="preserve">Ключевые тенденции рынка биометрии в РФ:</w:t>
      </w:r>
    </w:p>
    <w:p>
      <w:pPr>
        <w:pStyle w:val="ListParagraph"/>
        <w:numPr>
          <w:ilvl w:val="0"/>
          <w:numId w:val="1"/>
        </w:numPr>
      </w:pPr>
      <w:r>
        <w:t xml:space="preserve">расширение практики применения распознавания лица в финансовых, государственных и коммерческих сервисах;</w:t>
      </w:r>
    </w:p>
    <w:p>
      <w:pPr>
        <w:pStyle w:val="ListParagraph"/>
        <w:numPr>
          <w:ilvl w:val="0"/>
          <w:numId w:val="1"/>
        </w:numPr>
      </w:pPr>
      <w:r>
        <w:t xml:space="preserve">рост числа кредитных организаций — участников ЕБС;</w:t>
      </w:r>
    </w:p>
    <w:p>
      <w:pPr>
        <w:pStyle w:val="ListParagraph"/>
        <w:numPr>
          <w:ilvl w:val="0"/>
          <w:numId w:val="1"/>
        </w:numPr>
      </w:pPr>
      <w:r>
        <w:t xml:space="preserve">развитие сегмента FacePay и сопряжённых платёжных сценариев (оплата лицом в магазинах, общественном транспорте, на стадионах и в индустрии гостеприимства);</w:t>
      </w:r>
    </w:p>
    <w:p>
      <w:pPr>
        <w:pStyle w:val="ListParagraph"/>
        <w:numPr>
          <w:ilvl w:val="0"/>
          <w:numId w:val="1"/>
        </w:numPr>
      </w:pPr>
      <w:r>
        <w:t xml:space="preserve">усиление внимания регулятора к вопросам защиты биометрических персональных данных и информационной безопасности участников рынка;</w:t>
      </w:r>
    </w:p>
    <w:p>
      <w:pPr>
        <w:pStyle w:val="ListParagraph"/>
        <w:numPr>
          <w:ilvl w:val="0"/>
          <w:numId w:val="1"/>
        </w:numPr>
      </w:pPr>
      <w:r>
        <w:t xml:space="preserve">активный спрос на B2B- и B2G-решения в части контроля доступа, транспорта и образования;</w:t>
      </w:r>
    </w:p>
    <w:p>
      <w:pPr>
        <w:pStyle w:val="ListParagraph"/>
        <w:numPr>
          <w:ilvl w:val="0"/>
          <w:numId w:val="1"/>
        </w:numPr>
      </w:pPr>
      <w:r>
        <w:t xml:space="preserve">ускоренная локализация технологий и переход на отечественные программные и программно-аппаратные комплексы (требования технологического суверенитета).</w:t>
      </w:r>
    </w:p>
    <w:p>
      <w:r>
        <w:t xml:space="preserve">Сравнительный анализ ключевых игроков рынка биометрических решений и продуктов, конкурирующих с Face2, представлен в таблице 5.</w:t>
      </w:r>
    </w:p>
    <w:p>
      <w:r>
        <w:rPr>
          <w:b/>
        </w:rPr>
        <w:t xml:space="preserve">Таблица 5. Сравнительный анализ конкурентов на рынке биометрической идентификации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1800"/>
      <w:gridCol w:w="1800"/>
      <w:gridCol w:w="1800"/>
      <w:gridCol w:w="1800"/>
      <w:gridCol w:w="1800"/>
      <w:tr>
        <w:trPr>
          <w:tblHeader/>
        </w:trPr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Face2 (АК Барс Банк)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VisionLabs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OVISION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Биометрические решения Сбера / других федеральных банков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Тип игрока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Региональный банк с собственным продуктом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Технологическая компания (vendor)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Технологическая компания (vendor)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Федеральный банк / экосистема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Технологическая зрелость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Высокая (собственные алгоритмы, апробированные сценарии)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Очень высокая (международно известные алгоритмы)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Высокая (российская разработка, ориентация на B2B/B2G)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Очень высокая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Каналы предоставления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Сайт, ДБО, партнёрские терминалы, корпоративные интеграции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Лицензирование SDK/API партнёрам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Готовые программно-аппаратные комплексы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Собственная экосистема, мобильное приложение, ЕБС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Целевые сегменты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B2C, B2B, B2G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Преимущественно B2B/B2G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B2B, B2G (бизнес, образование, транспорт)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B2C массовый + B2B/B2G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Модель монетизации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Транзакционная + лицензионная (B2B/B2G)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B2B-лицензирование, проектная интеграция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Продажа ПАК и лицензий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Транзакционная + кросс-продажи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Узнаваемость на рынке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Средняя в Татарстане, ограниченная за его пределами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Высокая в B2B/B2G-сегментах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Средняя (растёт)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Очень высокая (массовая)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Маркетинговое позиционирование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Безопасность, удобство, инновационность регионального бренда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Технологическое лидерство, надёжность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Российский B2B-провайдер биометрии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Удобство массовых сервисов, экосистемность</w:t>
            </w:r>
          </w:p>
        </w:tc>
      </w:tr>
    </w:tbl>
    <w:p>
      <w:r>
        <w:rPr>
          <w:i/>
        </w:rPr>
        <w:t xml:space="preserve">Источник: материалы официальных сайтов компаний, аналитика TAdviser, публикации делового издания «Ведомости» (2026 г.).</w:t>
      </w:r>
    </w:p>
    <w:p>
      <w:r>
        <w:t xml:space="preserve">Дополнительно для оценки уровня конкуренции, барьеров входа и переговорной силы участников рынка применена модель пяти сил М. Портера; результаты сведены в таблице 6.</w:t>
      </w:r>
    </w:p>
    <w:p>
      <w:r>
        <w:rPr>
          <w:b/>
        </w:rPr>
        <w:t xml:space="preserve">Таблица 6. Анализ конкурентной среды по модели пяти сил М. Портера для рынка биометрических решений в РФ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3000"/>
      <w:gridCol w:w="3000"/>
      <w:gridCol w:w="3000"/>
      <w:tr>
        <w:trPr>
          <w:tblHeader/>
        </w:trPr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Сила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Оценка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Внутриотраслевая конкуренция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Присутствуют сильные федеральные банки, специализированные вендоры (VisionLabs, OVISION), государственная инфраструктура ЕБС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Угроза входа новых игроков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Высокие технологические и регуляторные барьеры (ФЗ-572, требования Банка России), но рынок привлекателен и растёт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Угроза товаров-заменителей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Замещающие технологии: PIN, OTP, иные биометрические модальности (отпечаток, голос); со стороны клиентов сохраняется привычка к классической идентификации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Переговорная сила потребителей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Средняя/высокая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B2G и крупные B2B-клиенты обладают высокой переговорной силой; B2C-сегмент чувствителен к воспринимаемому риску и стоимости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Переговорная сила поставщиков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Зависимость от производителей вычислительной техники, разработчиков ПО, операторов ЕБС; рост требований технологического суверенитета</w:t>
            </w:r>
          </w:p>
        </w:tc>
      </w:tr>
    </w:tbl>
    <w:p>
      <w:r>
        <w:rPr>
          <w:b/>
        </w:rPr>
        <w:t xml:space="preserve">Сводная оценка отрасли:</w:t>
      </w:r>
      <w:r>
        <w:t xml:space="preserve"> рынок привлекательный и растущий, однако высокая интенсивность конкуренции и существенная переговорная сила B2G/крупных B2B-клиентов требуют от Face2 чёткого отраслевого позиционирования и дифференцированных ценностных предложений.</w:t>
      </w:r>
    </w:p>
    <w:p>
      <w:pPr>
        <w:pStyle w:val="Heading3"/>
        <w:keepNext/>
      </w:pPr>
      <w:r>
        <w:t xml:space="preserve">2.4. Анализ нормативно-правовой базы регулирования биометрии в РФ</w:t>
      </w:r>
    </w:p>
    <w:p>
      <w:r>
        <w:t xml:space="preserve">В ходе практики изучены и систематизированы нормативные источники, определяющие правовой режим использования биометрических персональных данных в банковской и смежных сферах. Сводная карта регуляторных требований приведена в таблице 7.</w:t>
      </w:r>
    </w:p>
    <w:p>
      <w:r>
        <w:rPr>
          <w:b/>
        </w:rPr>
        <w:t xml:space="preserve">Таблица 7. Карта регуляторных требований к обработке биометрических персональных данных и продвижению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3000"/>
      <w:gridCol w:w="3000"/>
      <w:gridCol w:w="3000"/>
      <w:tr>
        <w:trPr>
          <w:tblHeader/>
        </w:trPr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Источник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Ключевые требования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Влияние на стратегию продвижения Face2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ФЗ от 27.07.2006 № 152-ФЗ «О персональных данных»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Информированное согласие субъекта, обеспечение защиты ПДн, локализация хранения на территории РФ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Прозрачные коммуникации о порядке сбора и обработки данных; раздел «Безопасность» в коммуникациях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ФЗ от 29.12.2022 № 572-ФЗ «Об идентификации с использованием биометрических ПДн»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Особый правовой режим ЕБС; требования к качеству образцов, безопасности передачи и хранения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Позиционирование Face2 как решения, согласованного с ЕБС; B2G-офферы с явной отсылкой к ФЗ-572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ФЗ от 07.08.2001 № 115-ФЗ «О ПОД/ФТ»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Идентификация клиентов кредитных организаций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Использование Face2 в дистанционных сценариях открытия продуктов, удалённой идентификации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Нормативные акты Банка России по ЕБС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Требования к участию кредитных организаций в ЕБС, к процедурам идентификации/аутентификации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Соответствие требованиям регулятора как ключевое конкурентное преимущество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Перечень банков по ФЗ-115 (по состоянию на 04.05.2026)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Подтверждение статуса Банка как идентифицирующей организации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Использование статуса в B2B/B2G-коммуникациях для повышения доверия</w:t>
            </w:r>
          </w:p>
        </w:tc>
      </w:tr>
    </w:tbl>
    <w:p>
      <w:pPr>
        <w:pStyle w:val="Heading3"/>
        <w:keepNext/>
      </w:pPr>
      <w:r>
        <w:t xml:space="preserve">2.5. Анализ текущего положения продукта Face2 и проблем его продвижения</w:t>
      </w:r>
    </w:p>
    <w:p>
      <w:r>
        <w:t xml:space="preserve">В рамках задачи анализа текущего положения продукта на рынке (12.05.2026) выявлены </w:t>
      </w:r>
      <w:r>
        <w:rPr>
          <w:b/>
        </w:rPr>
        <w:t xml:space="preserve">основные проблемы его продвижения: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Низкая узнаваемость продукта</w:t>
      </w:r>
      <w:r>
        <w:t xml:space="preserve"> за пределами клиентской базы Банка и за пределами Республики Татарстан.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Ограниченное позиционирование</w:t>
      </w:r>
      <w:r>
        <w:t xml:space="preserve"> — на момент анализа продукт продвигается преимущественно в логике расширения банковских сервисов и не имеет развёрнутого предложения для отраслевых рынков (B2B, B2G).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Недостаточное присутствие в цифровых каналах массовой коммуникации</w:t>
      </w:r>
      <w:r>
        <w:t xml:space="preserve"> и в специализированных отраслевых СМИ.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Конкуренция со стороны решений федеральных банков и провайдеров биометрических технологий</w:t>
      </w:r>
      <w:r>
        <w:t xml:space="preserve"> (VisionLabs, OVISION и др.).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Воспринимаемые риски аудитории</w:t>
      </w:r>
      <w:r>
        <w:t xml:space="preserve"> в части безопасности биометрических данных, требующие отдельной образовательной и репутационной работы.</w:t>
      </w:r>
    </w:p>
    <w:p>
      <w:r>
        <w:t xml:space="preserve">Указанные проблемы обобщены в SWOT-матрице продукта Face2 (таблица 8).</w:t>
      </w:r>
    </w:p>
    <w:p>
      <w:r>
        <w:rPr>
          <w:b/>
        </w:rPr>
        <w:t xml:space="preserve">Таблица 8. SWOT-матрица инновационного продукта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4500"/>
      <w:gridCol w:w="4500"/>
      <w:tr>
        <w:trPr>
          <w:tblHeader/>
        </w:trPr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Внутренняя среда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S — Сильные стороны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• Собственная технологическая база и алгоритмы распознавания</w:t>
            </w:r>
          </w:p>
          <w:p>
            <w:pPr>
              <w:spacing w:after="0"/>
            </w:pPr>
            <w:r>
              <w:t xml:space="preserve">• Поддержка надёжного регионального бренда «АК БАРС»</w:t>
            </w:r>
          </w:p>
          <w:p>
            <w:pPr>
              <w:spacing w:after="0"/>
            </w:pPr>
            <w:r>
              <w:t xml:space="preserve">• Соответствие требованиям ФЗ-152, ФЗ-572, ФЗ-115 и нормативам Банка России</w:t>
            </w:r>
          </w:p>
          <w:p>
            <w:pPr>
              <w:spacing w:after="0"/>
            </w:pPr>
            <w:r>
              <w:t xml:space="preserve">• Опыт участия Банка в ЕБС и в финансовом регулировании</w:t>
            </w:r>
          </w:p>
          <w:p>
            <w:pPr>
              <w:spacing w:after="0"/>
            </w:pPr>
            <w:r>
              <w:t xml:space="preserve">• Комплексность сценариев применения (B2C, B2B, B2G)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W — Слабые стороны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• Низкая узнаваемость за пределами Татарстана и клиентской базы Банка</w:t>
            </w:r>
          </w:p>
          <w:p>
            <w:pPr>
              <w:spacing w:after="0"/>
            </w:pPr>
            <w:r>
              <w:t xml:space="preserve">• Ограниченное отраслевое позиционирование</w:t>
            </w:r>
          </w:p>
          <w:p>
            <w:pPr>
              <w:spacing w:after="0"/>
            </w:pPr>
            <w:r>
              <w:t xml:space="preserve">• Недостаточное присутствие в массовых цифровых каналах</w:t>
            </w:r>
          </w:p>
          <w:p>
            <w:pPr>
              <w:spacing w:after="0"/>
            </w:pPr>
            <w:r>
              <w:t xml:space="preserve">• Нет развёрнутой системы отраслевых офферов и кейсов на старте</w:t>
            </w:r>
          </w:p>
          <w:p>
            <w:pPr>
              <w:spacing w:after="0"/>
            </w:pPr>
            <w:r>
              <w:t xml:space="preserve">• Длинные циклы сделок в B2B/B2G</w:t>
            </w:r>
          </w:p>
        </w:tc>
      </w:tr>
    </w:tbl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4500"/>
      <w:gridCol w:w="4500"/>
      <w:tr>
        <w:trPr>
          <w:tblHeader/>
        </w:trPr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Внешняя среда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O — Возможности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• Рост рынка биометрии и сценариев FacePay</w:t>
            </w:r>
          </w:p>
          <w:p>
            <w:pPr>
              <w:spacing w:after="0"/>
            </w:pPr>
            <w:r>
              <w:t xml:space="preserve">• Государственная поддержка цифровизации, развитие ЕБС</w:t>
            </w:r>
          </w:p>
          <w:p>
            <w:pPr>
              <w:spacing w:after="0"/>
            </w:pPr>
            <w:r>
              <w:t xml:space="preserve">• Спрос на B2G/B2B-решения (транспорт, образование, корпоративный сектор)</w:t>
            </w:r>
          </w:p>
          <w:p>
            <w:pPr>
              <w:spacing w:after="0"/>
            </w:pPr>
            <w:r>
              <w:t xml:space="preserve">• Возможности партнёрств с ритейлом и операторами сервисов</w:t>
            </w:r>
          </w:p>
          <w:p>
            <w:pPr>
              <w:spacing w:after="0"/>
            </w:pPr>
            <w:r>
              <w:t xml:space="preserve">• Рост технологически зрелой аудитории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T — Угрозы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• Усиление конкуренции федеральных банков и специализированных вендоров</w:t>
            </w:r>
          </w:p>
          <w:p>
            <w:pPr>
              <w:spacing w:after="0"/>
            </w:pPr>
            <w:r>
              <w:t xml:space="preserve">• Ужесточение регулирования и требований к защите ПДн</w:t>
            </w:r>
          </w:p>
          <w:p>
            <w:pPr>
              <w:spacing w:after="0"/>
            </w:pPr>
            <w:r>
              <w:t xml:space="preserve">• Воспринимаемые риски и возможные репутационные инциденты с биометрическими данными</w:t>
            </w:r>
          </w:p>
          <w:p>
            <w:pPr>
              <w:spacing w:after="0"/>
            </w:pPr>
            <w:r>
              <w:t xml:space="preserve">• Макроэкономическая волатильность и ограничения бюджетов B2G/B2B-заказчиков</w:t>
            </w:r>
          </w:p>
          <w:p>
            <w:pPr>
              <w:spacing w:after="0"/>
            </w:pPr>
            <w:r>
              <w:t xml:space="preserve">• Технологические заместители (иные биометрические модальности, OTP)</w:t>
            </w:r>
          </w:p>
        </w:tc>
      </w:tr>
    </w:tbl>
    <w:p>
      <w:r>
        <w:t xml:space="preserve">Стратегические выводы из SWOT-анализа: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SO-стратегия (использовать сильные стороны на возможностях рынка):</w:t>
      </w:r>
      <w:r>
        <w:t xml:space="preserve"> масштабировать B2G/B2B-направление за счёт соответствия ФЗ-572 и собственной технологии.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WO-стратегия (закрыть слабые стороны через возможности):</w:t>
      </w:r>
      <w:r>
        <w:t xml:space="preserve"> рост узнаваемости через цифровые каналы и участие в государственных программах цифровизации.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ST-стратегия (использовать сильные стороны для нейтрализации угроз):</w:t>
      </w:r>
      <w:r>
        <w:t xml:space="preserve"> управление воспринимаемым риском за счёт прозрачности и регулярной коммуникации о защите данных.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WT-стратегия (защитные действия):</w:t>
      </w:r>
      <w:r>
        <w:t xml:space="preserve"> фокусирование ресурсов на 4–5 приоритетных отраслях вместо рассеивания, развитие отраслевых кейсов.</w:t>
      </w:r>
    </w:p>
    <w:p>
      <w:pPr>
        <w:pStyle w:val="Heading3"/>
        <w:keepNext/>
      </w:pPr>
      <w:r>
        <w:t xml:space="preserve">2.6. Анализ целевой аудитории и приоритетных отраслевых сегментов</w:t>
      </w:r>
    </w:p>
    <w:p>
      <w:r>
        <w:t xml:space="preserve">В рамках задачи анализа целевой аудитории (14.05.2026) определены </w:t>
      </w:r>
      <w:r>
        <w:rPr>
          <w:b/>
        </w:rPr>
        <w:t xml:space="preserve">приоритетные сегменты</w:t>
      </w:r>
      <w:r>
        <w:t xml:space="preserve"> для продвижения Face2 (таблица 9).</w:t>
      </w:r>
    </w:p>
    <w:p>
      <w:r>
        <w:rPr>
          <w:b/>
        </w:rPr>
        <w:t xml:space="preserve">Таблица 9. Приоритетные отраслевые сегменты для продвижения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1800"/>
      <w:gridCol w:w="1800"/>
      <w:gridCol w:w="1800"/>
      <w:gridCol w:w="1800"/>
      <w:gridCol w:w="1800"/>
      <w:tr>
        <w:trPr>
          <w:tblHeader/>
        </w:trPr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Сегмент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Тип рынка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 сегмента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Ключевая ценность Face2 для сегмента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Ключевые барьеры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Государственные организации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B2G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Органы власти, МФЦ, государственные учреждения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Безопасная идентификация граждан, соответствие ФЗ-572 и требованиям ЕБС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Длинные циклы закупок, высокие регуляторные требования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Транспортная отрасль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Метрополитен, городской транспорт, авиа- и железнодорожные перевозчики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Бесконтактная оплата (FacePay), пропускной режим, ускорение пассажиропотока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Сложные интеграции с существующими СКУД и платёжными системами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Образовательные учреждения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B2B / B2G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Вузы, школы, центры дополнительного образования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Контроль доступа, идентификация при сдаче экзаменов и аттестации, безопасность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Ограниченные бюджеты, чувствительность аудитории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Корпоративный сектор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Средний и крупный бизнес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Контроль доступа на территории/в ИС, учёт рабочего времени, корпоративные платежи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Конкуренция с СКУД-вендорами, требования интеграции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Клиенты Банка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B2C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Физические лица — пользователи цифровых каналов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Удобство, скорость и безопасность платежей и сервисов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Привычка к карте/PIN, воспринимаемый риск биометрии</w:t>
            </w:r>
          </w:p>
        </w:tc>
      </w:tr>
    </w:tbl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Раздел 3. Выводы по итогам проведённого исследования</w:t>
      </w:r>
    </w:p>
    <w:p>
      <w:r>
        <w:t xml:space="preserve">По результатам анализа предметной области, выполненного в Разделе 2, сформулированы выводы и проектные решения, образующие содержательную основу третьей главы выпускной квалификационной работы.</w:t>
      </w:r>
    </w:p>
    <w:p>
      <w:pPr>
        <w:pStyle w:val="Heading3"/>
        <w:keepNext/>
      </w:pPr>
      <w:r>
        <w:t xml:space="preserve">3.1. Цели, задачи и направления стратегии продвижения Face2</w:t>
      </w:r>
    </w:p>
    <w:p>
      <w:r>
        <w:t xml:space="preserve">На основе результатов аналитической работы (13.05.2026) сформулированы </w:t>
      </w:r>
      <w:r>
        <w:rPr>
          <w:b/>
        </w:rPr>
        <w:t xml:space="preserve">цели и задачи стратегии продвижения Face2.</w:t>
      </w:r>
    </w:p>
    <w:p>
      <w:r>
        <w:rPr>
          <w:b/>
        </w:rPr>
        <w:t xml:space="preserve">Стратегическая цель:</w:t>
      </w:r>
      <w:r>
        <w:t xml:space="preserve"> повышение узнаваемости продукта Face2 на российском рынке и увеличение числа его внедрений в приоритетных отраслевых сегментах.</w:t>
      </w:r>
    </w:p>
    <w:p>
      <w:r>
        <w:rPr>
          <w:b/>
        </w:rPr>
        <w:t xml:space="preserve">Стратегические задачи:</w:t>
      </w:r>
    </w:p>
    <w:p>
      <w:pPr>
        <w:pStyle w:val="ListParagraph"/>
        <w:numPr>
          <w:ilvl w:val="0"/>
          <w:numId w:val="2"/>
        </w:numPr>
      </w:pPr>
      <w:r>
        <w:t xml:space="preserve">повысить уровень узнаваемости бренда Face2 в целевых сегментах (B2C, B2B, B2G);</w:t>
      </w:r>
    </w:p>
    <w:p>
      <w:pPr>
        <w:pStyle w:val="ListParagraph"/>
        <w:numPr>
          <w:ilvl w:val="0"/>
          <w:numId w:val="2"/>
        </w:numPr>
      </w:pPr>
      <w:r>
        <w:t xml:space="preserve">сформировать дифференцированное отраслевое позиционирование продукта;</w:t>
      </w:r>
    </w:p>
    <w:p>
      <w:pPr>
        <w:pStyle w:val="ListParagraph"/>
        <w:numPr>
          <w:ilvl w:val="0"/>
          <w:numId w:val="2"/>
        </w:numPr>
      </w:pPr>
      <w:r>
        <w:t xml:space="preserve">расширить количество внедрений Face2 в государственных, транспортных, образовательных и корпоративных проектах;</w:t>
      </w:r>
    </w:p>
    <w:p>
      <w:pPr>
        <w:pStyle w:val="ListParagraph"/>
        <w:numPr>
          <w:ilvl w:val="0"/>
          <w:numId w:val="2"/>
        </w:numPr>
      </w:pPr>
      <w:r>
        <w:t xml:space="preserve">создать устойчивую коммуникационную инфраструктуру (контент, каналы, партнёрства);</w:t>
      </w:r>
    </w:p>
    <w:p>
      <w:pPr>
        <w:pStyle w:val="ListParagraph"/>
        <w:numPr>
          <w:ilvl w:val="0"/>
          <w:numId w:val="2"/>
        </w:numPr>
      </w:pPr>
      <w:r>
        <w:t xml:space="preserve">обеспечить системное управление воспринимаемым риском пользователей (безопасность данных, прозрачность, образование аудитории);</w:t>
      </w:r>
    </w:p>
    <w:p>
      <w:pPr>
        <w:pStyle w:val="ListParagraph"/>
        <w:numPr>
          <w:ilvl w:val="0"/>
          <w:numId w:val="2"/>
        </w:numPr>
      </w:pPr>
      <w:r>
        <w:t xml:space="preserve">внедрить систему KPI и мониторинга эффективности продвижения.</w:t>
      </w:r>
    </w:p>
    <w:p>
      <w:pPr>
        <w:pStyle w:val="Heading3"/>
        <w:keepNext/>
      </w:pPr>
      <w:r>
        <w:t xml:space="preserve">3.2. Позиционирование, отраслевые офферы и каналы продвижения</w:t>
      </w:r>
    </w:p>
    <w:p>
      <w:r>
        <w:t xml:space="preserve">На основе анализа целевой аудитории и конкурентного окружения (15.05.2026) разработаны новые подходы к позиционированию продукта Face2 и определены </w:t>
      </w:r>
      <w:r>
        <w:rPr>
          <w:b/>
        </w:rPr>
        <w:t xml:space="preserve">ключевые конкурентные преимущества:</w:t>
      </w:r>
      <w:r>
        <w:t xml:space="preserve"> собственная технологическая база и поддержка регионального бренда; соответствие требованиям регуляторов (ФЗ-152, ФЗ-572, ФЗ-115, требования Банка России); комплексность сценариев применения — от платежей до контроля доступа и идентификации в государственных и образовательных сервисах; готовность к интеграции с корпоративными ИС заказчиков.</w:t>
      </w:r>
    </w:p>
    <w:p>
      <w:r>
        <w:rPr>
          <w:b/>
        </w:rPr>
        <w:t xml:space="preserve">Базовое ценностное предложение Face2:</w:t>
      </w:r>
      <w:r>
        <w:t xml:space="preserve"> «Безопасная и удобная биометрическая идентификация — от банковского платежа до государственного сервиса».</w:t>
      </w:r>
    </w:p>
    <w:p>
      <w:r>
        <w:t xml:space="preserve">Предлагаемая позиционная карта продукта в координатах «Цена / Технологическая зрелость» представлена в виде схемы 2.</w:t>
      </w:r>
    </w:p>
    <w:p>
      <w:pPr>
        <w:pStyle w:val="CodeBlock"/>
      </w:pPr>
      <w:r>
        <w:rPr>
          <w:rFonts w:ascii="Consolas" w:hAnsi="Consolas" w:cs="Consolas"/>
        </w:rPr>
        <w:t xml:space="preserve">Схема 2. Карта позиционирования Face2 на рынке биометрических решений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 xml:space="preserve">Технологическая</w:t>
      </w:r>
    </w:p>
    <w:p>
      <w:pPr>
        <w:pStyle w:val="CodeBlock"/>
      </w:pPr>
      <w:r>
        <w:rPr>
          <w:rFonts w:ascii="Consolas" w:hAnsi="Consolas" w:cs="Consolas"/>
        </w:rPr>
        <w:t xml:space="preserve">   зрелость, ↑</w:t>
      </w:r>
    </w:p>
    <w:p>
      <w:pPr>
        <w:pStyle w:val="CodeBlock"/>
      </w:pPr>
      <w:r>
        <w:rPr>
          <w:rFonts w:ascii="Consolas" w:hAnsi="Consolas" w:cs="Consolas"/>
        </w:rPr>
        <w:t xml:space="preserve">       │</w:t>
      </w:r>
    </w:p>
    <w:p>
      <w:pPr>
        <w:pStyle w:val="CodeBlock"/>
      </w:pPr>
      <w:r>
        <w:rPr>
          <w:rFonts w:ascii="Consolas" w:hAnsi="Consolas" w:cs="Consolas"/>
        </w:rPr>
        <w:t xml:space="preserve"> Высокая │   • Сбер/федеральные банки    • Face2 (целевая позиция)</w:t>
      </w:r>
    </w:p>
    <w:p>
      <w:pPr>
        <w:pStyle w:val="CodeBlock"/>
      </w:pPr>
      <w:r>
        <w:rPr>
          <w:rFonts w:ascii="Consolas" w:hAnsi="Consolas" w:cs="Consolas"/>
        </w:rPr>
        <w:t xml:space="preserve">       │              ●                          ★</w:t>
      </w:r>
    </w:p>
    <w:p>
      <w:pPr>
        <w:pStyle w:val="CodeBlock"/>
      </w:pPr>
      <w:r>
        <w:rPr>
          <w:rFonts w:ascii="Consolas" w:hAnsi="Consolas" w:cs="Consolas"/>
        </w:rPr>
        <w:t xml:space="preserve">       │                            • VisionLabs</w:t>
      </w:r>
    </w:p>
    <w:p>
      <w:pPr>
        <w:pStyle w:val="CodeBlock"/>
      </w:pPr>
      <w:r>
        <w:rPr>
          <w:rFonts w:ascii="Consolas" w:hAnsi="Consolas" w:cs="Consolas"/>
        </w:rPr>
        <w:t xml:space="preserve">       │                                ●</w:t>
      </w:r>
    </w:p>
    <w:p>
      <w:pPr>
        <w:pStyle w:val="CodeBlock"/>
      </w:pPr>
      <w:r>
        <w:rPr>
          <w:rFonts w:ascii="Consolas" w:hAnsi="Consolas" w:cs="Consolas"/>
        </w:rPr>
        <w:t xml:space="preserve"> Средняя │                  • OVISION</w:t>
      </w:r>
    </w:p>
    <w:p>
      <w:pPr>
        <w:pStyle w:val="CodeBlock"/>
      </w:pPr>
      <w:r>
        <w:rPr>
          <w:rFonts w:ascii="Consolas" w:hAnsi="Consolas" w:cs="Consolas"/>
        </w:rPr>
        <w:t xml:space="preserve">       │                       ●</w:t>
      </w:r>
    </w:p>
    <w:p>
      <w:pPr>
        <w:pStyle w:val="CodeBlock"/>
      </w:pPr>
      <w:r>
        <w:rPr>
          <w:rFonts w:ascii="Consolas" w:hAnsi="Consolas" w:cs="Consolas"/>
        </w:rPr>
        <w:t xml:space="preserve">       │</w:t>
      </w:r>
    </w:p>
    <w:p>
      <w:pPr>
        <w:pStyle w:val="CodeBlock"/>
      </w:pPr>
      <w:r>
        <w:rPr>
          <w:rFonts w:ascii="Consolas" w:hAnsi="Consolas" w:cs="Consolas"/>
        </w:rPr>
        <w:t xml:space="preserve"> Низкая  │     • Локальные интеграторы</w:t>
      </w:r>
    </w:p>
    <w:p>
      <w:pPr>
        <w:pStyle w:val="CodeBlock"/>
      </w:pPr>
      <w:r>
        <w:rPr>
          <w:rFonts w:ascii="Consolas" w:hAnsi="Consolas" w:cs="Consolas"/>
        </w:rPr>
        <w:t xml:space="preserve">       │              ●</w:t>
      </w:r>
    </w:p>
    <w:p>
      <w:pPr>
        <w:pStyle w:val="CodeBlock"/>
      </w:pPr>
      <w:r>
        <w:rPr>
          <w:rFonts w:ascii="Consolas" w:hAnsi="Consolas" w:cs="Consolas"/>
        </w:rPr>
        <w:t xml:space="preserve">       └────────────────────────────────────────────→</w:t>
      </w:r>
    </w:p>
    <w:p>
      <w:pPr>
        <w:pStyle w:val="CodeBlock"/>
      </w:pPr>
      <w:r>
        <w:rPr>
          <w:rFonts w:ascii="Consolas" w:hAnsi="Consolas" w:cs="Consolas"/>
        </w:rPr>
        <w:t xml:space="preserve">            Низкая        Средняя       Высокая    Цена для заказчика</w:t>
      </w:r>
    </w:p>
    <w:p>
      <w:r>
        <w:t xml:space="preserve">Целевая позиция Face2 — высокая технологическая зрелость при средней цене, что обеспечивает ценностное предложение «федеральное качество — региональная ценовая гибкость».</w:t>
      </w:r>
    </w:p>
    <w:p>
      <w:r>
        <w:t xml:space="preserve">В рамках задачи разработки отраслевых офферов (18.05.2026) подготовлены </w:t>
      </w:r>
      <w:r>
        <w:rPr>
          <w:b/>
        </w:rPr>
        <w:t xml:space="preserve">отраслевые ценностные предложения</w:t>
      </w:r>
      <w:r>
        <w:t xml:space="preserve"> для целевых сегментов Face2 (таблица 10).</w:t>
      </w:r>
    </w:p>
    <w:p>
      <w:r>
        <w:rPr>
          <w:b/>
        </w:rPr>
        <w:t xml:space="preserve">Таблица 10. Отраслевые офферы Face2 для целевых сегментов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2250"/>
      <w:gridCol w:w="2250"/>
      <w:gridCol w:w="2250"/>
      <w:gridCol w:w="2250"/>
      <w:tr>
        <w:trPr>
          <w:tblHeader/>
        </w:trPr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Сегмент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Отраслевой оффер (краткая формулировка)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Ключевое сообщение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Доказательная база (proof points)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Государственные организации (B2G)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Безопасная идентификация граждан в государственных сервисах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Соответствие ФЗ-572 и требованиям ЕБС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Лицензии Банка, опыт работы с ЕБС, кейсы Татарстана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Транспортная отрасль (B2B)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FacePay и контроль доступа на транспорте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Ускорение пассажиропотока, снижение транзакционных издержек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Пилотные внедрения, расчёт экономии времени и комиссий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Образовательные учреждения (B2B/B2G)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Контроль доступа и идентификация на экзаменах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Безопасность, прозрачность, цифровизация процессов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Кейсы вузов и школ Татарстана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Корпоративный сектор (B2B)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Биометрический контроль доступа и учёт рабочего времени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Интеграция с корпоративными ИС, рост дисциплины и безопасности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Кейсы внедрений, оценка экономии HR-затрат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Клиенты Банка (B2C)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Безопасные и удобные платежи и сервисы без карт и устройств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«Заплатить лицом — это просто и безопасно»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Образовательный контент о защите ПДн</w:t>
            </w:r>
          </w:p>
        </w:tc>
      </w:tr>
    </w:tbl>
    <w:p>
      <w:r>
        <w:t xml:space="preserve">В рамках задачи изучения инструментов и каналов продвижения ИТ-продуктов (16.05.2026) определены </w:t>
      </w:r>
      <w:r>
        <w:rPr>
          <w:b/>
        </w:rPr>
        <w:t xml:space="preserve">каналы продвижения</w:t>
      </w:r>
      <w:r>
        <w:t xml:space="preserve"> в разрезе сегментов (таблица 11).</w:t>
      </w:r>
    </w:p>
    <w:p>
      <w:r>
        <w:rPr>
          <w:b/>
        </w:rPr>
        <w:t xml:space="preserve">Таблица 11. Каналы продвижения Face2 в разрезе сегментов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4500"/>
      <w:gridCol w:w="4500"/>
      <w:tr>
        <w:trPr>
          <w:tblHeader/>
        </w:trPr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Сегмент / тип рынка</w:t>
            </w:r>
          </w:p>
        </w:tc>
        <w:tc>
          <w:tcPr>
            <w:tcW w:w="45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Приоритетные каналы продвижения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B2C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Официальный сайт, мобильное приложение, SMM, контент-маркетинг, performance-реклама, работа с лидерами мнений и tech-блогерами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B2B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Прямые продажи, отраслевые конференции и выставки, профильные СМИ, кейсы и whitepaper, демонстрационные стенды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B2G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Участие в государственных мероприятиях по цифровизации, работа с регулятором, отраслевые рабочие группы, публикации в специализированных СМИ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Внутренние коммуникации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Обучающие курсы и материалы для сотрудников Банка и партнёров (см. п. 3.3)</w:t>
            </w:r>
          </w:p>
        </w:tc>
      </w:tr>
    </w:tbl>
    <w:p>
      <w:pPr>
        <w:pStyle w:val="Heading3"/>
        <w:keepNext/>
      </w:pPr>
      <w:r>
        <w:t xml:space="preserve">3.3. Внутреннее продвижение: разработка обучающего курса для сотрудников как методический полигон</w:t>
      </w:r>
    </w:p>
    <w:p>
      <w:r>
        <w:t xml:space="preserve">В ходе практики (16.05.2026 и 19.05.2026) изучены инструменты и каналы продвижения ИТ-продуктов на примере </w:t>
      </w:r>
      <w:r>
        <w:rPr>
          <w:b/>
        </w:rPr>
        <w:t xml:space="preserve">разработки и продвижения обучающего курса для сотрудников организации</w:t>
      </w:r>
      <w:r>
        <w:t xml:space="preserve">, а также рассмотрены методы внутреннего продвижения образовательных программ.</w:t>
      </w:r>
    </w:p>
    <w:p>
      <w:r>
        <w:t xml:space="preserve">На примере разработки и продвижения обучающего курса для сотрудника отработаны методики продвижения инновационного продукта: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определение целевой аудитории</w:t>
      </w:r>
      <w:r>
        <w:t xml:space="preserve"> курса (роли, функции, уровень подготовки сотрудников);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формирование ценностного предложения</w:t>
      </w:r>
      <w:r>
        <w:t xml:space="preserve"> курса (выгоды для сотрудника и для организации);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выбор каналов коммуникации</w:t>
      </w:r>
      <w:r>
        <w:t xml:space="preserve"> (внутренний портал, корпоративная рассылка, очные встречи, мессенджеры);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разработка контентной стратегии</w:t>
      </w:r>
      <w:r>
        <w:t xml:space="preserve"> (структура курса, форматы материалов, сценарий вовлечения).</w:t>
      </w:r>
    </w:p>
    <w:p>
      <w:r>
        <w:t xml:space="preserve">Полученные методические результаты использованы при разработке стратегии продвижения Face2 — в частности, при формировании контентной стратегии, образовательных материалов для аудитории и внутренних программ адаптации продукта для сотрудников Банка и партнёров.</w:t>
      </w:r>
    </w:p>
    <w:p>
      <w:pPr>
        <w:pStyle w:val="Heading3"/>
        <w:keepNext/>
      </w:pPr>
      <w:r>
        <w:t xml:space="preserve">3.4. Система KPI, оценка экономического эффекта и анализ рисков</w:t>
      </w:r>
    </w:p>
    <w:p>
      <w:r>
        <w:t xml:space="preserve">В рамках задачи (20.05.2026) разработана </w:t>
      </w:r>
      <w:r>
        <w:rPr>
          <w:b/>
        </w:rPr>
        <w:t xml:space="preserve">система KPI для оценки эффективности стратегии продвижения Face2.</w:t>
      </w:r>
      <w:r>
        <w:t xml:space="preserve"> Сводная система показателей в разрезе четырёх блоков представлена в таблице 12.</w:t>
      </w:r>
    </w:p>
    <w:p>
      <w:r>
        <w:rPr>
          <w:b/>
        </w:rPr>
        <w:t xml:space="preserve">Таблица 12. Система KPI стратегии продвижения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1800"/>
      <w:gridCol w:w="1800"/>
      <w:gridCol w:w="1800"/>
      <w:gridCol w:w="1800"/>
      <w:gridCol w:w="1800"/>
      <w:tr>
        <w:trPr>
          <w:tblHeader/>
        </w:trPr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Блок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Формула / способ измерения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Целевое значение (Y+1)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Источник данных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Маркетинговые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Узнаваемость бренда Face2 (brand awareness)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Опросы целевой аудитории,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Рост на 15–20 п.п.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Маркетинговые исследования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Охват целевой аудитории в цифровых каналах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Reach в SMM/контент-каналах, чел.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+50 % к базе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Аналитика каналов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Доля голоса (SOV) в специализированных СМИ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% упоминаний от общего числа упоминаний биометрических решений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Не менее 10 %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Медиа-мониторинг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Доля квалифицированных лидов (MQL/SQL)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MQL/общее число лидов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≥ 30 %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CRM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Продуктовые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Число внедрений в B2G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Кол-во контрактов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+Δ ед. в год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Реестр проектов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Число внедрений в B2B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Кол-во контрактов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+Δ ед. в год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Реестр проектов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Число активных пользователей B2C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DAU/MAU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+Δ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Продуктовая аналитика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Удержание (retention)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Доля пользователей, активных через 90 дней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≥ 60 %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Продуктовая аналитика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Финансовые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CAC (стоимость привлечения клиента)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Маркетинговые затраты / число привлечённых клиентов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Снижение на 10–15 %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Финансовый учёт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LTV (пожизненная ценность клиента)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Прогнозная модель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Рост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Продуктовая аналитика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ROMI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(Доход – Маркетинговые затраты) / Маркетинговые затраты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≥ 1,5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Финансовый учёт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Доля выручки от Face2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% в доходах соответствующих направлений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Рост Δ п.п.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Управленческий учёт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Репутационные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Доверие аудитории к биометрии Банка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Опросы, индекс доверия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+Δ п.п.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Маркетинговые исследования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Соответствие требованиям регулятора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Количество замечаний/инцидентов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Комплаенс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Инциденты с биометрическими данными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Количество подтверждённых инцидентов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ИБ-мониторинг</w:t>
            </w:r>
          </w:p>
        </w:tc>
      </w:tr>
    </w:tbl>
    <w:p>
      <w:r>
        <w:t xml:space="preserve">Выполнена </w:t>
      </w:r>
      <w:r>
        <w:rPr>
          <w:b/>
        </w:rPr>
        <w:t xml:space="preserve">предварительная оценка экономического эффекта</w:t>
      </w:r>
      <w:r>
        <w:t xml:space="preserve"> реализации стратегии. Расчёт выполнен на горизонте трёх лет реализации стратегии и носит оценочный характер; точные параметры подлежат детализации в ВКР с учётом утверждённого бюджета и фактических результатов пилотных внедрений.</w:t>
      </w:r>
    </w:p>
    <w:p>
      <w:r>
        <w:rPr>
          <w:b/>
        </w:rPr>
        <w:t xml:space="preserve">Сценарные допущения:</w:t>
      </w:r>
    </w:p>
    <w:p>
      <w:pPr>
        <w:pStyle w:val="ListParagraph"/>
        <w:numPr>
          <w:ilvl w:val="0"/>
          <w:numId w:val="1"/>
        </w:numPr>
      </w:pPr>
      <w:r>
        <w:t xml:space="preserve">горизонт оценки — 3 года с момента запуска стратегии;</w:t>
      </w:r>
    </w:p>
    <w:p>
      <w:pPr>
        <w:pStyle w:val="ListParagraph"/>
        <w:numPr>
          <w:ilvl w:val="0"/>
          <w:numId w:val="1"/>
        </w:numPr>
      </w:pPr>
      <w:r>
        <w:t xml:space="preserve">ежегодные инвестиции в маркетинг и продвижение Face2 — порядка 60–90 млн ₽ (включая контент, performance-каналы, отраслевые мероприятия, B2G-сопровождение);</w:t>
      </w:r>
    </w:p>
    <w:p>
      <w:pPr>
        <w:pStyle w:val="ListParagraph"/>
        <w:numPr>
          <w:ilvl w:val="0"/>
          <w:numId w:val="1"/>
        </w:numPr>
      </w:pPr>
      <w:r>
        <w:t xml:space="preserve">средний чек контракта с B2B/B2G-клиентом — от 3 до 15 млн ₽ в зависимости от сегмента;</w:t>
      </w:r>
    </w:p>
    <w:p>
      <w:pPr>
        <w:pStyle w:val="ListParagraph"/>
        <w:numPr>
          <w:ilvl w:val="0"/>
          <w:numId w:val="1"/>
        </w:numPr>
      </w:pPr>
      <w:r>
        <w:t xml:space="preserve">средний доход на одного активного пользователя B2C-сегмента — от 200 до 400 ₽ в год от транзакционной модели монетизации;</w:t>
      </w:r>
    </w:p>
    <w:p>
      <w:pPr>
        <w:pStyle w:val="ListParagraph"/>
        <w:numPr>
          <w:ilvl w:val="0"/>
          <w:numId w:val="1"/>
        </w:numPr>
      </w:pPr>
      <w:r>
        <w:t xml:space="preserve">ожидаемый прирост числа внедрений — от 20 до 50 проектов в B2B/B2G в течение трёх лет.</w:t>
      </w:r>
    </w:p>
    <w:p>
      <w:r>
        <w:rPr>
          <w:b/>
        </w:rPr>
        <w:t xml:space="preserve">Таблица 13. Сценарная оценка экономического эффекта стратегии продвижения Face2 (горизонт 3 года, оценочно)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3000"/>
      <w:gridCol w:w="3000"/>
      <w:gridCol w:w="3000"/>
      <w:tr>
        <w:trPr>
          <w:tblHeader/>
        </w:trPr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Базовый сценарий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Оптимистичный сценарий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Совокупные инвестиции в продвижение, млн ₽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200–250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270–300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Прирост числа внедрений в B2B/B2G, ед.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20–25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40–50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Кумулятивная выручка от B2B/B2G-проектов, млн ₽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250–350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500–700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Прирост B2C-аудитории Face2, тыс. чел.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100–150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250–350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Кумулятивная выручка B2C, млн ₽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60–100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200–350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Совокупный доход за 3 года, млн ₽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310–450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700–1 050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Чистый эффект (совокупный доход — инвестиции), млн ₽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110–200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430–750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ROMI (на третий год), %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50–80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160–250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Доля Face2 в доходах цифровых сервисов Банка, п.п.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+1–2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+3–5</w:t>
            </w:r>
          </w:p>
        </w:tc>
      </w:tr>
    </w:tbl>
    <w:p>
      <w:r>
        <w:rPr>
          <w:i/>
        </w:rPr>
        <w:t xml:space="preserve">Источник: расчёт обучающегося на основе материалов отчётности Банка и аналитических обзоров рынка биометрии.</w:t>
      </w:r>
    </w:p>
    <w:p>
      <w:r>
        <w:rPr>
          <w:b/>
        </w:rPr>
        <w:t xml:space="preserve">Качественные эффекты</w:t>
      </w:r>
      <w:r>
        <w:t xml:space="preserve"> реализации стратегии:</w:t>
      </w:r>
    </w:p>
    <w:p>
      <w:pPr>
        <w:pStyle w:val="ListParagraph"/>
        <w:numPr>
          <w:ilvl w:val="0"/>
          <w:numId w:val="1"/>
        </w:numPr>
      </w:pPr>
      <w:r>
        <w:t xml:space="preserve">укрепление имиджа Банка как технологически продвинутой кредитной организации, что положительно сказывается на общей рекламной ценности бренда;</w:t>
      </w:r>
    </w:p>
    <w:p>
      <w:pPr>
        <w:pStyle w:val="ListParagraph"/>
        <w:numPr>
          <w:ilvl w:val="0"/>
          <w:numId w:val="1"/>
        </w:numPr>
      </w:pPr>
      <w:r>
        <w:t xml:space="preserve">укрепление позиций Банка в B2G-сегменте через участие в государственных программах цифровизации;</w:t>
      </w:r>
    </w:p>
    <w:p>
      <w:pPr>
        <w:pStyle w:val="ListParagraph"/>
        <w:numPr>
          <w:ilvl w:val="0"/>
          <w:numId w:val="1"/>
        </w:numPr>
      </w:pPr>
      <w:r>
        <w:t xml:space="preserve">кросс-эффекты для других цифровых продуктов Банка (рост доверия к биометрии повышает эффективность дистанционных каналов).</w:t>
      </w:r>
    </w:p>
    <w:p>
      <w:r>
        <w:t xml:space="preserve">Проведён </w:t>
      </w:r>
      <w:r>
        <w:rPr>
          <w:b/>
        </w:rPr>
        <w:t xml:space="preserve">анализ рисков</w:t>
      </w:r>
      <w:r>
        <w:t xml:space="preserve"> реализации стратегии. Реестр рисков с укрупнённой оценкой вероятности и влияния и предварительными мероприятиями по их минимизации представлен в таблице 14.</w:t>
      </w:r>
    </w:p>
    <w:p>
      <w:r>
        <w:rPr>
          <w:b/>
        </w:rPr>
        <w:t xml:space="preserve">Таблица 14. Реестр рисков реализации стратегии продвижения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1800"/>
      <w:gridCol w:w="1800"/>
      <w:gridCol w:w="1800"/>
      <w:gridCol w:w="1800"/>
      <w:gridCol w:w="1800"/>
      <w:tr>
        <w:trPr>
          <w:tblHeader/>
        </w:trPr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Группа риска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 риска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Вероятность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Влияние</w:t>
            </w:r>
          </w:p>
        </w:tc>
        <w:tc>
          <w:tcPr>
            <w:tcW w:w="18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Мероприятия по минимизации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Регуляторные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Изменения нормативно-правовой базы, ужесточение требований к ЕБС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Высокое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Проактивный мониторинг изменений, юридическая экспертиза, гибкая архитектура продукта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Технологические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Инциденты с данными, рост требований к точности алгоритмов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Низкая–средняя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Очень высокое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Усиление информационной безопасности, регулярное обновление моделей, аудит ИБ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Рыночные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Конкуренция со стороны федеральных игроков, замедление спроса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Среднее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Дифференцированное отраслевое позиционирование, фокус на B2G/B2B-нишах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Организационные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Нехватка ресурсов, длительные циклы B2B/B2G-сделок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Среднее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Поэтапное планирование, формирование выделенной команды по B2G/B2B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Репутационные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Общественное недоверие к биометрии, инфоповоды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Высокое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Прозрачные коммуникации, образовательный контент, антикризисные сценарии</w:t>
            </w:r>
          </w:p>
        </w:tc>
      </w:tr>
    </w:tbl>
    <w:p>
      <w:pPr>
        <w:pStyle w:val="Heading3"/>
        <w:keepNext/>
      </w:pPr>
      <w:r>
        <w:t xml:space="preserve">3.5. Организационный план внедрения мероприятий</w:t>
      </w:r>
    </w:p>
    <w:p>
      <w:r>
        <w:t xml:space="preserve">В рамках задачи (21.05.2026) подготовлен </w:t>
      </w:r>
      <w:r>
        <w:rPr>
          <w:b/>
        </w:rPr>
        <w:t xml:space="preserve">организационный план внедрения мероприятий по продвижению продукта Face2.</w:t>
      </w:r>
      <w:r>
        <w:t xml:space="preserve"> Укрупнённый план в разрезе этапов, ответственных и сроков представлен в таблице 15.</w:t>
      </w:r>
    </w:p>
    <w:p>
      <w:r>
        <w:rPr>
          <w:b/>
        </w:rPr>
        <w:t xml:space="preserve">Таблица 15. Организационный план реализации стратегии продвижения Face2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2250"/>
      <w:gridCol w:w="2250"/>
      <w:gridCol w:w="2250"/>
      <w:gridCol w:w="2250"/>
      <w:tr>
        <w:trPr>
          <w:tblHeader/>
        </w:trPr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Этап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 мероприятий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Ответственные подразделения</w:t>
            </w:r>
          </w:p>
        </w:tc>
        <w:tc>
          <w:tcPr>
            <w:tcW w:w="225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Ориентировочные сроки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1. Подготовительный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Утверждение стратегии и системы KPI, формирование рабочей группы, согласование бюджета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Маркетинг, продукт, финансы, юридическое сопровождение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1–2 мес.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2. Базовая инфраструктура коммуникаций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Обновление лендинга Face2, контент-план, кейсы и whitepaper, медиа-карта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Маркетинг, продукт, PR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2–4 мес.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3. Запуск отраслевых офферов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Подготовка отраслевых материалов (B2G, транспорт, образование, корпоративный сектор), пилотные внедрения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Маркетинг, B2B/B2G-продажи, продукт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3–6 мес.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4. Цифровое и репутационное продвижение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SMM, performance, работа с tech-блогерами, образовательный контент о защите ПДн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Маркетинг, PR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4–9 мес.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5. Внутреннее продвижение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Обучающие курсы для сотрудников Банка и партнёров (см. п. 3.3)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HR, продукт, маркетинг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3–6 мес.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6. Мониторинг и пересмотр KPI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Регулярные обзоры KPI, корректировка тактик, отчётность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Маркетинг, продукт, финансы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Ежеквартально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 xml:space="preserve">7. Синхронизация со стратегией Банка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Точки сверки с общей стратегией цифровой трансформации Банка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Стратегия, маркетинг, продукт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 xml:space="preserve">Полугодовой цикл</w:t>
            </w:r>
          </w:p>
        </w:tc>
      </w:tr>
    </w:tbl>
    <w:p>
      <w:r>
        <w:t xml:space="preserve">По итогам этапа (21.05.2026) выполнено оформление материалов главы 3 ВКР и сформулированы выводы. По итогам этапа (22.05.2026) проведено обобщение результатов практики и подготовлены итоговые материалы для отчёта по практике и ВКР.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Заключение</w:t>
      </w:r>
    </w:p>
    <w:p>
      <w:r>
        <w:t xml:space="preserve">В ходе производственной (преддипломной) практики, проходившей с 08 по 22 мая 2026 г. на базе ПАО «АК БАРС» БАНК, поставленная цель достигнута: собран, систематизирован и проанализирован массив материалов, необходимых для подготовки выпускной квалификационной работы по теме «Разработка стратегии продвижения инновационного продукта Face2 АК Барс Банка», и подготовлены проектные решения для её третьей главы.</w:t>
      </w:r>
    </w:p>
    <w:p>
      <w:r>
        <w:rPr>
          <w:b/>
        </w:rPr>
        <w:t xml:space="preserve">Основные результаты практики:</w:t>
      </w:r>
    </w:p>
    <w:p>
      <w:pPr>
        <w:pStyle w:val="ListParagraph"/>
        <w:numPr>
          <w:ilvl w:val="0"/>
          <w:numId w:val="2"/>
        </w:numPr>
      </w:pPr>
      <w:r>
        <w:t xml:space="preserve">Пройден инструктаж по охране труда, технике безопасности, пожарной безопасности и правилам внутреннего трудового распорядка ПАО «АК БАРС» БАНК.</w:t>
      </w:r>
    </w:p>
    <w:p>
      <w:pPr>
        <w:pStyle w:val="ListParagraph"/>
        <w:numPr>
          <w:ilvl w:val="0"/>
          <w:numId w:val="2"/>
        </w:numPr>
      </w:pPr>
      <w:r>
        <w:t xml:space="preserve">Сформулированы цель, задачи, объект и предмет исследования ВКР; определены методы и информационная база исследования.</w:t>
      </w:r>
    </w:p>
    <w:p>
      <w:pPr>
        <w:pStyle w:val="ListParagraph"/>
        <w:numPr>
          <w:ilvl w:val="0"/>
          <w:numId w:val="2"/>
        </w:numPr>
      </w:pPr>
      <w:r>
        <w:t xml:space="preserve">Подготовлена организационно-экономическая характеристика ПАО «АК БАРС» БАНК на основе данных РПБУ за 2023–2024 гг. и МСФО за 2024–2025 гг., а также развёрнутое описание инновационного продукта Face2.</w:t>
      </w:r>
    </w:p>
    <w:p>
      <w:pPr>
        <w:pStyle w:val="ListParagraph"/>
        <w:numPr>
          <w:ilvl w:val="0"/>
          <w:numId w:val="2"/>
        </w:numPr>
      </w:pPr>
      <w:r>
        <w:t xml:space="preserve">Проведён анализ российского рынка биометрических технологий и конкурентной среды; выполнен сравнительный анализ ключевых игроков (VisionLabs, OVISION, федеральные банки) и оценка отрасли по модели пяти сил М. Портера.</w:t>
      </w:r>
    </w:p>
    <w:p>
      <w:pPr>
        <w:pStyle w:val="ListParagraph"/>
        <w:numPr>
          <w:ilvl w:val="0"/>
          <w:numId w:val="2"/>
        </w:numPr>
      </w:pPr>
      <w:r>
        <w:t xml:space="preserve">Систематизирована нормативно-правовая база регулирования биометрических персональных данных и функционирования ЕБС; составлена карта регуляторных требований.</w:t>
      </w:r>
    </w:p>
    <w:p>
      <w:pPr>
        <w:pStyle w:val="ListParagraph"/>
        <w:numPr>
          <w:ilvl w:val="0"/>
          <w:numId w:val="2"/>
        </w:numPr>
      </w:pPr>
      <w:r>
        <w:t xml:space="preserve">Выявлены ключевые проблемы продвижения Face2 (низкая узнаваемость, ограниченное позиционирование и др.); сформирована SWOT-матрица продукта и выведены SO/WO/ST/WT-стратегии.</w:t>
      </w:r>
    </w:p>
    <w:p>
      <w:pPr>
        <w:pStyle w:val="ListParagraph"/>
        <w:numPr>
          <w:ilvl w:val="0"/>
          <w:numId w:val="2"/>
        </w:numPr>
      </w:pPr>
      <w:r>
        <w:t xml:space="preserve">Определены приоритетные отраслевые сегменты — государственные организации, транспортная отрасль, образовательные учреждения, корпоративный сектор; разработаны отраслевые офферы и каналы продвижения.</w:t>
      </w:r>
    </w:p>
    <w:p>
      <w:pPr>
        <w:pStyle w:val="ListParagraph"/>
        <w:numPr>
          <w:ilvl w:val="0"/>
          <w:numId w:val="2"/>
        </w:numPr>
      </w:pPr>
      <w:r>
        <w:t xml:space="preserve">Сформулированы цели и задачи стратегии продвижения, разработаны новые подходы к позиционированию, построена позиционная карта Face2 на рынке биометрических решений.</w:t>
      </w:r>
    </w:p>
    <w:p>
      <w:pPr>
        <w:pStyle w:val="ListParagraph"/>
        <w:numPr>
          <w:ilvl w:val="0"/>
          <w:numId w:val="2"/>
        </w:numPr>
      </w:pPr>
      <w:r>
        <w:t xml:space="preserve">Изучены инструменты и каналы продвижения ИТ-продуктов, в том числе на примере разработки и продвижения обучающего курса для сотрудников; методические результаты использованы при разработке стратегии продвижения Face2.</w:t>
      </w:r>
    </w:p>
    <w:p>
      <w:pPr>
        <w:pStyle w:val="ListParagraph"/>
        <w:numPr>
          <w:ilvl w:val="0"/>
          <w:numId w:val="2"/>
        </w:numPr>
      </w:pPr>
      <w:r>
        <w:t xml:space="preserve">Разработана система KPI для оценки эффективности стратегии (16 показателей в четырёх блоках); выполнена предварительная оценка экономического эффекта и проведён анализ рисков с реестром мероприятий по их минимизации.</w:t>
      </w:r>
    </w:p>
    <w:p>
      <w:pPr>
        <w:pStyle w:val="ListParagraph"/>
        <w:numPr>
          <w:ilvl w:val="0"/>
          <w:numId w:val="2"/>
        </w:numPr>
      </w:pPr>
      <w:r>
        <w:t xml:space="preserve">Подготовлен организационный план внедрения мероприятий по продвижению продукта Face2 в семь этапов; оформлены материалы третьей главы ВКР.</w:t>
      </w:r>
    </w:p>
    <w:p>
      <w:r>
        <w:t xml:space="preserve">Все запланированные задачи практики выполнены в полном объёме. Полученные результаты обеспечивают необходимую информационно-аналитическую основу для успешного завершения выпускной квалификационной работы.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Список использованных источников</w:t>
      </w:r>
    </w:p>
    <w:p>
      <w:pPr>
        <w:pStyle w:val="Quote"/>
      </w:pPr>
      <w:r>
        <w:rPr>
          <w:i/>
        </w:rPr>
        <w:t xml:space="preserve">Список оформлен в соответствии с ГОСТ Р 7.0.100-2018 «Библиографическая запись. Библиографическое описание».</w:t>
      </w:r>
    </w:p>
    <w:p>
      <w:r>
        <w:rPr>
          <w:b/>
        </w:rPr>
        <w:t xml:space="preserve">I. Нормативные правовые акты</w:t>
      </w:r>
    </w:p>
    <w:p>
      <w:pPr>
        <w:pStyle w:val="ListParagraph"/>
        <w:numPr>
          <w:ilvl w:val="0"/>
          <w:numId w:val="2"/>
        </w:numPr>
      </w:pPr>
      <w:r>
        <w:t xml:space="preserve">Федеральный закон от 27.07.2006 № 152-ФЗ «О персональных данных» (с изм.).</w:t>
      </w:r>
    </w:p>
    <w:p>
      <w:pPr>
        <w:pStyle w:val="ListParagraph"/>
        <w:numPr>
          <w:ilvl w:val="0"/>
          <w:numId w:val="2"/>
        </w:numPr>
      </w:pPr>
      <w:r>
        <w:t xml:space="preserve">Федеральный закон от 07.08.2001 № 115-ФЗ «О противодействии легализации (отмыванию) доходов, полученных преступным путём, и финансированию терроризма» (с изм.).</w:t>
      </w:r>
    </w:p>
    <w:p>
      <w:pPr>
        <w:pStyle w:val="ListParagraph"/>
        <w:numPr>
          <w:ilvl w:val="0"/>
          <w:numId w:val="2"/>
        </w:numPr>
      </w:pPr>
      <w:r>
        <w:t xml:space="preserve">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Федерации».</w:t>
      </w:r>
    </w:p>
    <w:p>
      <w:pPr>
        <w:pStyle w:val="ListParagraph"/>
        <w:numPr>
          <w:ilvl w:val="0"/>
          <w:numId w:val="2"/>
        </w:numPr>
      </w:pPr>
      <w:r>
        <w:t xml:space="preserve">Федеральный закон от 26.12.1995 № 208-ФЗ «Об акционерных обществах» (с изм.).</w:t>
      </w:r>
    </w:p>
    <w:p>
      <w:pPr>
        <w:pStyle w:val="ListParagraph"/>
        <w:numPr>
          <w:ilvl w:val="0"/>
          <w:numId w:val="2"/>
        </w:numPr>
      </w:pPr>
      <w:r>
        <w:t xml:space="preserve">Положение Банка России «О раскрытии информации эмитентами эмиссионных ценных бумаг» от 27.03.2020 № 714-П.</w:t>
      </w:r>
    </w:p>
    <w:p>
      <w:pPr>
        <w:pStyle w:val="ListParagraph"/>
        <w:numPr>
          <w:ilvl w:val="0"/>
          <w:numId w:val="2"/>
        </w:numPr>
      </w:pPr>
      <w:r>
        <w:t xml:space="preserve">Письмо Банка России от 10.04.2014 № 06-52/2463 «О Кодексе корпоративного управления».</w:t>
      </w:r>
    </w:p>
    <w:p>
      <w:pPr>
        <w:pStyle w:val="ListParagraph"/>
        <w:numPr>
          <w:ilvl w:val="0"/>
          <w:numId w:val="2"/>
        </w:numPr>
      </w:pPr>
      <w:r>
        <w:t xml:space="preserve">Нормативные акты Банка России по вопросам функционирования Единой биометрической системы и удалённой идентификации клиентов кредитных организаций.</w:t>
      </w:r>
    </w:p>
    <w:p>
      <w:r>
        <w:rPr>
          <w:b/>
        </w:rPr>
        <w:t xml:space="preserve">II. Учебная и научная литература</w:t>
      </w:r>
    </w:p>
    <w:p>
      <w:pPr>
        <w:pStyle w:val="ListParagraph"/>
        <w:numPr>
          <w:ilvl w:val="0"/>
          <w:numId w:val="2"/>
        </w:numPr>
      </w:pPr>
      <w:r>
        <w:t xml:space="preserve">Котлер Ф. Маркетинг менеджмент. Экспресс-курс / Ф. Котлер, К.Л. Келлер. — СПб.: Питер, 2018.</w:t>
      </w:r>
    </w:p>
    <w:p>
      <w:pPr>
        <w:pStyle w:val="ListParagraph"/>
        <w:numPr>
          <w:ilvl w:val="0"/>
          <w:numId w:val="2"/>
        </w:numPr>
      </w:pPr>
      <w:r>
        <w:t xml:space="preserve">Котлер Ф. Основы маркетинга / Ф. Котлер. — М.: Вильямс, 2017.</w:t>
      </w:r>
    </w:p>
    <w:p>
      <w:pPr>
        <w:pStyle w:val="ListParagraph"/>
        <w:numPr>
          <w:ilvl w:val="0"/>
          <w:numId w:val="2"/>
        </w:numPr>
      </w:pPr>
      <w:r>
        <w:t xml:space="preserve">Ламбен Ж.-Ж. Стратегический маркетинг. Европейская перспектива / Ж.-Ж. Ламбен. — СПб.: Наука, 1996.</w:t>
      </w:r>
    </w:p>
    <w:p>
      <w:pPr>
        <w:pStyle w:val="ListParagraph"/>
        <w:numPr>
          <w:ilvl w:val="0"/>
          <w:numId w:val="2"/>
        </w:numPr>
      </w:pPr>
      <w:r>
        <w:t xml:space="preserve">Портер М. Конкурентная стратегия: Методика анализа отраслей и конкурентов / М. Портер. — М.: Альпина Паблишер, 2020.</w:t>
      </w:r>
    </w:p>
    <w:p>
      <w:pPr>
        <w:pStyle w:val="ListParagraph"/>
        <w:numPr>
          <w:ilvl w:val="0"/>
          <w:numId w:val="2"/>
        </w:numPr>
      </w:pPr>
      <w:r>
        <w:t xml:space="preserve">Портер М. Конкурентное преимущество: Как достичь высокого результата и обеспечить его устойчивость / М. Портер. — М.: Альпина Паблишер, 2018.</w:t>
      </w:r>
    </w:p>
    <w:p>
      <w:pPr>
        <w:pStyle w:val="ListParagraph"/>
        <w:numPr>
          <w:ilvl w:val="0"/>
          <w:numId w:val="2"/>
        </w:numPr>
      </w:pPr>
      <w:r>
        <w:t xml:space="preserve">Друкер П. Бизнес и инновации / П. Друкер. — М.: Вильямс, 2009.</w:t>
      </w:r>
    </w:p>
    <w:p>
      <w:pPr>
        <w:pStyle w:val="ListParagraph"/>
        <w:numPr>
          <w:ilvl w:val="0"/>
          <w:numId w:val="2"/>
        </w:numPr>
      </w:pPr>
      <w:r>
        <w:t xml:space="preserve">Шумпетер Й. Теория экономического развития / Й. Шумпетер. — М.: Прогресс, 1982.</w:t>
      </w:r>
    </w:p>
    <w:p>
      <w:pPr>
        <w:pStyle w:val="ListParagraph"/>
        <w:numPr>
          <w:ilvl w:val="0"/>
          <w:numId w:val="2"/>
        </w:numPr>
      </w:pPr>
      <w:r>
        <w:t xml:space="preserve">Голубков Е.П. Маркетинговые исследования: теория, методология и практика / Е.П. Голубков. — М.: Финпресс, 2019.</w:t>
      </w:r>
    </w:p>
    <w:p>
      <w:pPr>
        <w:pStyle w:val="ListParagraph"/>
        <w:numPr>
          <w:ilvl w:val="0"/>
          <w:numId w:val="2"/>
        </w:numPr>
      </w:pPr>
      <w:r>
        <w:t xml:space="preserve">Тебекин А.В. Инновационный менеджмент: учебник для бакалавров / А.В. Тебекин. — М.: Юрайт, 2023.</w:t>
      </w:r>
    </w:p>
    <w:p>
      <w:pPr>
        <w:pStyle w:val="ListParagraph"/>
        <w:numPr>
          <w:ilvl w:val="0"/>
          <w:numId w:val="2"/>
        </w:numPr>
      </w:pPr>
      <w:r>
        <w:t xml:space="preserve">Мальцева С.В. Инновационный менеджмент / С.В. Мальцева. — М.: Юрайт, 2022.</w:t>
      </w:r>
    </w:p>
    <w:p>
      <w:pPr>
        <w:pStyle w:val="ListParagraph"/>
        <w:numPr>
          <w:ilvl w:val="0"/>
          <w:numId w:val="2"/>
        </w:numPr>
      </w:pPr>
      <w:r>
        <w:t xml:space="preserve">Гольдштейн Г.Я. Стратегический инновационный менеджмент / Г.Я. Гольдштейн. — Таганрог: ТРТУ, 2004.</w:t>
      </w:r>
    </w:p>
    <w:p>
      <w:pPr>
        <w:pStyle w:val="ListParagraph"/>
        <w:numPr>
          <w:ilvl w:val="0"/>
          <w:numId w:val="2"/>
        </w:numPr>
      </w:pPr>
      <w:r>
        <w:t xml:space="preserve">Чан Ким У. Стратегия голубого океана / У. Чан Ким, Р. Моборн. — М.: Манн, Иванов и Фербер, 2017.</w:t>
      </w:r>
    </w:p>
    <w:p>
      <w:r>
        <w:rPr>
          <w:b/>
        </w:rPr>
        <w:t xml:space="preserve">III. Научные статьи</w:t>
      </w:r>
    </w:p>
    <w:p>
      <w:pPr>
        <w:pStyle w:val="ListParagraph"/>
        <w:numPr>
          <w:ilvl w:val="0"/>
          <w:numId w:val="2"/>
        </w:numPr>
      </w:pPr>
      <w:r>
        <w:t xml:space="preserve">Биометрическая идентификация: сущность и применение технологий в платёжной индустрии // Финансовые рынки и банки.</w:t>
      </w:r>
    </w:p>
    <w:p>
      <w:pPr>
        <w:pStyle w:val="ListParagraph"/>
        <w:numPr>
          <w:ilvl w:val="0"/>
          <w:numId w:val="2"/>
        </w:numPr>
      </w:pPr>
      <w:r>
        <w:t xml:space="preserve">Биометрия в банках и факторы, сдерживающие её развитие // Вопросы инновационной экономики.</w:t>
      </w:r>
    </w:p>
    <w:p>
      <w:pPr>
        <w:pStyle w:val="ListParagraph"/>
        <w:numPr>
          <w:ilvl w:val="0"/>
          <w:numId w:val="2"/>
        </w:numPr>
      </w:pPr>
      <w:r>
        <w:t xml:space="preserve">Применение биометрической идентификации в банках: проблемы и перспективы // Экономика и предпринимательство.</w:t>
      </w:r>
    </w:p>
    <w:p>
      <w:pPr>
        <w:pStyle w:val="ListParagraph"/>
        <w:numPr>
          <w:ilvl w:val="0"/>
          <w:numId w:val="2"/>
        </w:numPr>
      </w:pPr>
      <w:r>
        <w:t xml:space="preserve">Проблемы и перспективы развития биометрических технологий в банковской деятельности // Финансы и кредит.</w:t>
      </w:r>
    </w:p>
    <w:p>
      <w:pPr>
        <w:pStyle w:val="ListParagraph"/>
        <w:numPr>
          <w:ilvl w:val="0"/>
          <w:numId w:val="2"/>
        </w:numPr>
      </w:pPr>
      <w:r>
        <w:t xml:space="preserve">Правовое регулирование использования биометрии в банковской сфере и проблемы по её охране // Право и экономика.</w:t>
      </w:r>
    </w:p>
    <w:p>
      <w:pPr>
        <w:pStyle w:val="ListParagraph"/>
        <w:numPr>
          <w:ilvl w:val="0"/>
          <w:numId w:val="2"/>
        </w:numPr>
      </w:pPr>
      <w:r>
        <w:t xml:space="preserve">Особенности маркетинга инноваций // Маркетинг в России и за рубежом.</w:t>
      </w:r>
    </w:p>
    <w:p>
      <w:pPr>
        <w:pStyle w:val="ListParagraph"/>
        <w:numPr>
          <w:ilvl w:val="0"/>
          <w:numId w:val="2"/>
        </w:numPr>
      </w:pPr>
      <w:r>
        <w:t xml:space="preserve">Стратегии маркетинга инноваций // Инновации.</w:t>
      </w:r>
    </w:p>
    <w:p>
      <w:pPr>
        <w:pStyle w:val="ListParagraph"/>
        <w:numPr>
          <w:ilvl w:val="0"/>
          <w:numId w:val="2"/>
        </w:numPr>
      </w:pPr>
      <w:r>
        <w:t xml:space="preserve">Идентификация фазы развития и технологической зрелости инновационных продуктов на основе параметров демонстративного потребления // Креативная экономика.</w:t>
      </w:r>
    </w:p>
    <w:p>
      <w:pPr>
        <w:pStyle w:val="ListParagraph"/>
        <w:numPr>
          <w:ilvl w:val="0"/>
          <w:numId w:val="2"/>
        </w:numPr>
      </w:pPr>
      <w:r>
        <w:t xml:space="preserve">Необходимость маркетинга в продвижении инновационных продуктов // Экономика и предпринимательство.</w:t>
      </w:r>
    </w:p>
    <w:p>
      <w:pPr>
        <w:pStyle w:val="ListParagraph"/>
        <w:numPr>
          <w:ilvl w:val="0"/>
          <w:numId w:val="2"/>
        </w:numPr>
      </w:pPr>
      <w:r>
        <w:t xml:space="preserve">Цифровой маркетинг как инструмент продвижения банковских продуктов // Банковское дело.</w:t>
      </w:r>
    </w:p>
    <w:p>
      <w:r>
        <w:rPr>
          <w:b/>
        </w:rPr>
        <w:t xml:space="preserve">IV. Финансовая отчётность и корпоративные документы ПАО «АК БАРС» БАНК</w:t>
      </w:r>
    </w:p>
    <w:p>
      <w:pPr>
        <w:pStyle w:val="ListParagraph"/>
        <w:numPr>
          <w:ilvl w:val="0"/>
          <w:numId w:val="2"/>
        </w:numPr>
      </w:pPr>
      <w:r>
        <w:t xml:space="preserve">Бухгалтерская (финансовая) отчётность ПАО «АК БАРС» БАНК за 2022 г. (РПБУ).</w:t>
      </w:r>
    </w:p>
    <w:p>
      <w:pPr>
        <w:pStyle w:val="ListParagraph"/>
        <w:numPr>
          <w:ilvl w:val="0"/>
          <w:numId w:val="2"/>
        </w:numPr>
      </w:pPr>
      <w:r>
        <w:t xml:space="preserve">Бухгалтерская (финансовая) отчётность ПАО «АК БАРС» БАНК за 2023 г. (РПБУ).</w:t>
      </w:r>
    </w:p>
    <w:p>
      <w:pPr>
        <w:pStyle w:val="ListParagraph"/>
        <w:numPr>
          <w:ilvl w:val="0"/>
          <w:numId w:val="2"/>
        </w:numPr>
      </w:pPr>
      <w:r>
        <w:t xml:space="preserve">Годовой отчёт ПАО «АК БАРС» БАНК за 2023 г.</w:t>
      </w:r>
    </w:p>
    <w:p>
      <w:pPr>
        <w:pStyle w:val="ListParagraph"/>
        <w:numPr>
          <w:ilvl w:val="0"/>
          <w:numId w:val="2"/>
        </w:numPr>
      </w:pPr>
      <w:r>
        <w:t xml:space="preserve">Годовой отчёт ПАО «АК БАРС» БАНК за 2024 г.</w:t>
      </w:r>
    </w:p>
    <w:p>
      <w:pPr>
        <w:pStyle w:val="ListParagraph"/>
        <w:numPr>
          <w:ilvl w:val="0"/>
          <w:numId w:val="2"/>
        </w:numPr>
      </w:pPr>
      <w:r>
        <w:t xml:space="preserve">Раскрываемая консолидированная финансовая отчётность Группы Банка «Ак Барс» в соответствии с МСФО за год, закончившийся 31 декабря 2025 г.</w:t>
      </w:r>
    </w:p>
    <w:p>
      <w:pPr>
        <w:pStyle w:val="ListParagraph"/>
        <w:numPr>
          <w:ilvl w:val="0"/>
          <w:numId w:val="2"/>
        </w:numPr>
      </w:pPr>
      <w:r>
        <w:t xml:space="preserve">Положение об общем собрании акционеров ПАО «АК БАРС» БАНК.</w:t>
      </w:r>
    </w:p>
    <w:p>
      <w:pPr>
        <w:pStyle w:val="ListParagraph"/>
        <w:numPr>
          <w:ilvl w:val="0"/>
          <w:numId w:val="2"/>
        </w:numPr>
      </w:pPr>
      <w:r>
        <w:t xml:space="preserve">Кодекс корпоративного управления ПАО «АК БАРС» БАНК.</w:t>
      </w:r>
    </w:p>
    <w:p>
      <w:pPr>
        <w:pStyle w:val="ListParagraph"/>
        <w:numPr>
          <w:ilvl w:val="0"/>
          <w:numId w:val="2"/>
        </w:numPr>
      </w:pPr>
      <w:r>
        <w:t xml:space="preserve">Стратегия развития ПАО «АК БАРС» БАНК на 2022–2026 гг. (по материалам Годовых отчётов).</w:t>
      </w:r>
    </w:p>
    <w:p>
      <w:r>
        <w:rPr>
          <w:b/>
        </w:rPr>
        <w:t xml:space="preserve">V. Электронные ресурсы</w:t>
      </w:r>
    </w:p>
    <w:p>
      <w:pPr>
        <w:pStyle w:val="ListParagraph"/>
        <w:numPr>
          <w:ilvl w:val="0"/>
          <w:numId w:val="2"/>
        </w:numPr>
      </w:pPr>
      <w:r>
        <w:t xml:space="preserve">Официальный сайт ПАО «АК БАРС» БАНК. — URL: https://www.akbars.ru.</w:t>
      </w:r>
    </w:p>
    <w:p>
      <w:pPr>
        <w:pStyle w:val="ListParagraph"/>
        <w:numPr>
          <w:ilvl w:val="0"/>
          <w:numId w:val="2"/>
        </w:numPr>
      </w:pPr>
      <w:r>
        <w:t xml:space="preserve">Лендинг продукта Face2 (ПАО «АК БАРС» БАНК).</w:t>
      </w:r>
    </w:p>
    <w:p>
      <w:pPr>
        <w:pStyle w:val="ListParagraph"/>
        <w:numPr>
          <w:ilvl w:val="0"/>
          <w:numId w:val="2"/>
        </w:numPr>
      </w:pPr>
      <w:r>
        <w:t xml:space="preserve">Аналитические материалы TAdviser по биометрии и цифровой идентификации. — URL: https://www.tadviser.ru.</w:t>
      </w:r>
    </w:p>
    <w:p>
      <w:pPr>
        <w:pStyle w:val="ListParagraph"/>
        <w:numPr>
          <w:ilvl w:val="0"/>
          <w:numId w:val="2"/>
        </w:numPr>
      </w:pPr>
      <w:r>
        <w:t xml:space="preserve">Банк России. Обзор международного рынка биометрических технологий (2018). — URL: https://www.cbr.ru.</w:t>
      </w:r>
    </w:p>
    <w:p>
      <w:pPr>
        <w:pStyle w:val="ListParagraph"/>
        <w:numPr>
          <w:ilvl w:val="0"/>
          <w:numId w:val="2"/>
        </w:numPr>
      </w:pPr>
      <w:r>
        <w:t xml:space="preserve">Банк России. Раздел «Удалённая идентификация (ЕБС)». — URL: https://www.cbr.ru.</w:t>
      </w:r>
    </w:p>
    <w:p>
      <w:pPr>
        <w:pStyle w:val="ListParagraph"/>
        <w:numPr>
          <w:ilvl w:val="0"/>
          <w:numId w:val="2"/>
        </w:numPr>
      </w:pPr>
      <w:r>
        <w:t xml:space="preserve">Ведомости. Узнать одного из тысячи (биометрия 2026): аналитический материал. — URL: https://www.vedomosti.ru.</w:t>
      </w:r>
    </w:p>
    <w:p>
      <w:pPr>
        <w:pStyle w:val="ListParagraph"/>
        <w:numPr>
          <w:ilvl w:val="0"/>
          <w:numId w:val="2"/>
        </w:numPr>
      </w:pPr>
      <w:r>
        <w:t xml:space="preserve">ПАО Сбербанк. Статистика биометрии 2024. — URL: https://www.sberbank.ru.</w:t>
      </w:r>
    </w:p>
    <w:p>
      <w:pPr>
        <w:pStyle w:val="ListParagraph"/>
        <w:numPr>
          <w:ilvl w:val="0"/>
          <w:numId w:val="2"/>
        </w:numPr>
      </w:pPr>
      <w:r>
        <w:t xml:space="preserve">Перечень кредитных организаций, осуществляющих идентификацию клиентов в рамках ФЗ-115 (по состоянию на 04.05.2026).</w:t>
      </w:r>
    </w:p>
    <w:p>
      <w:pPr>
        <w:pStyle w:val="ListParagraph"/>
        <w:numPr>
          <w:ilvl w:val="0"/>
          <w:numId w:val="2"/>
        </w:numPr>
      </w:pPr>
      <w:r>
        <w:t xml:space="preserve">VisionLabs. Официальный сайт. — URL: https://visionlabs.ru.</w:t>
      </w:r>
    </w:p>
    <w:p>
      <w:pPr>
        <w:pStyle w:val="ListParagraph"/>
        <w:numPr>
          <w:ilvl w:val="0"/>
          <w:numId w:val="2"/>
        </w:numPr>
      </w:pPr>
      <w:r>
        <w:t xml:space="preserve">OVISION. Официальный сайт. — URL: https://ovision.ru.</w:t>
      </w:r>
    </w:p>
    <w:p>
      <w:pPr>
        <w:pBdr>
          <w:bottom w:val="single" w:sz="6" w:space="1" w:color="808080"/>
        </w:pBdr>
      </w:pPr>
    </w:p>
    <w:p>
      <w:pPr>
        <w:pStyle w:val="Heading2"/>
        <w:keepNext/>
      </w:pPr>
      <w:r>
        <w:t xml:space="preserve">Приложение А. Рабочий график (план) практики</w:t>
      </w:r>
    </w:p>
    <w:p>
      <w:r>
        <w:rPr>
          <w:b/>
        </w:rPr>
        <w:t xml:space="preserve">ФИО обучающегося, группа:</w:t>
      </w:r>
      <w:r>
        <w:t xml:space="preserve"> Назмуханова Эльвина Маратовна, 14.6-210 </w:t>
      </w:r>
      <w:r>
        <w:rPr>
          <w:b/>
        </w:rPr>
        <w:t xml:space="preserve">Место прохождения практики:</w:t>
      </w:r>
      <w:r>
        <w:t xml:space="preserve"> ПАО «АК БАРС» БАНК </w:t>
      </w:r>
      <w:r>
        <w:rPr>
          <w:b/>
        </w:rPr>
        <w:t xml:space="preserve">Период практики:</w:t>
      </w:r>
      <w:r>
        <w:t xml:space="preserve"> с 08.05.2026 по 22.05.2026</w:t>
      </w:r>
    </w:p>
    <w:tbl>
      <w:tblPr>
        <w:tblW w:w="9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val="04A0"/>
      </w:tblPr>
      <w:gridCol w:w="3000"/>
      <w:gridCol w:w="3000"/>
      <w:gridCol w:w="3000"/>
      <w:tr>
        <w:trPr>
          <w:tblHeader/>
        </w:trPr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Дата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Содержание выполненной работы</w:t>
            </w:r>
          </w:p>
        </w:tc>
        <w:tc>
          <w:tcPr>
            <w:tcW w:w="3000" w:type="dxa"/>
            <w:shd w:val="clear" w:color="auto" w:fill="EEEEEE"/>
          </w:tcPr>
          <w:p>
            <w:pPr>
              <w:spacing w:after="0"/>
            </w:pPr>
            <w:r>
              <w:rPr>
                <w:b/>
              </w:rPr>
              <w:t xml:space="preserve">Примечания, подпись рук. базы практики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08.05.2026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Пройден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11.05.2026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Изучены основы продвижения инновационных продуктов на B2B, B2C и B2G-рынках. Проведён анализ рынка биометрических решений и начат сбор материалов для главы 3 ВКР.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12.05.2026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Проведён анализ текущего положения продукта на рынке. Выявлены основные проблемы продвижения: низкая узнаваемость продукта и ограниченное позиционирование.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13.05.2026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Сформулированы цели и задачи стратегии продвижения Face2. Определены основные направления повышения узнаваемости продукта и увеличения числа внедрений.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14.05.2026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Выполнен анализ целевой аудитории продукта. Определены приоритетные сегменты: государственные организации, транспортная отрасль, образовательные учреждения и корпоративный сектор.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15.05.2026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Разработаны новые подходы к позиционированию продукта на рынке биометрических решений. Определены ключевые конкурентные преимущества продукта.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16.05.2026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Изучены инструменты и каналы продвижения ИТ-продуктов. Рассмотрены подходы на примере разработки и продвижения обучающих курсов для сотрудников организации, а также методы внутреннего продвижения образовательных программ.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18.05.2026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Разработаны отраслевые офферы для целевых сегментов Face2. Подготовлены предложения по адаптации преимуществ продукта под потребности различных отраслей.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19.05.2026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На примере разработки и продвижения обучающего курса для сотрудника изучены методики продвижения инновационного продукта: определение целевой аудитории, формирование ценностного предложения, выбор каналов коммуникации и разработка контентной стратегии. Полученные результаты использованы при разработке стратегии продвижения Face2.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20.05.2026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Разработана система KPI для оценки эффективности стратегии продвижения Face2. Выполнена предварительная оценка экономического эффекта и анализ рисков реализации стратегии.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21.05.2026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Подготовлен организационный план внедрения мероприятий по продвижению продукта Face2. Выполнено оформление материалов главы 3 ВКР и сформулированы выводы.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22.05.2026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Проведено обобщение результатов практики. Подготовлены итоговые материалы для отчёта по практике и выпускной квалификационной работы.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rPr>
          <w:b/>
        </w:rPr>
        <w:t xml:space="preserve">Обучающийся</w:t>
      </w:r>
      <w:r>
        <w:t xml:space="preserve"> ___________________ / Назмуханова Э.М. /</w:t>
      </w:r>
    </w:p>
    <w:p>
      <w:r>
        <w:rPr>
          <w:b/>
        </w:rPr>
        <w:t xml:space="preserve">Руководитель практики от кафедры инноваций и инвестиций</w:t>
      </w:r>
      <w:r>
        <w:t xml:space="preserve"> к.э.н., доцент ___________________ / Ермолаев К.А. /</w:t>
      </w:r>
    </w:p>
    <w:p>
      <w:r>
        <w:rPr>
          <w:b/>
        </w:rPr>
        <w:t xml:space="preserve">Руководитель практики от профильной организации</w:t>
      </w:r>
      <w:r>
        <w:t xml:space="preserve"> ___________________ / __________________ / М.П.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120"/>
      <w:outlineLvl w:val="2"/>
    </w:pPr>
    <w:rPr>
      <w:rFonts w:ascii="Times New Roman" w:hAnsi="Times New Roman" w:cs="Times New Roman"/>
      <w:b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240" w:after="120"/>
      <w:outlineLvl w:val="3"/>
    </w:pPr>
    <w:rPr>
      <w:rFonts w:ascii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spacing w:before="240" w:after="120"/>
      <w:outlineLvl w:val="4"/>
    </w:pPr>
    <w:rPr>
      <w:rFonts w:ascii="Times New Roman" w:hAnsi="Times New Roman" w:cs="Times New Roman"/>
      <w:b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spacing w:before="240" w:after="120"/>
      <w:outlineLvl w:val="5"/>
    </w:pPr>
    <w:rPr>
      <w:rFonts w:ascii="Times New Roman" w:hAnsi="Times New Roman" w:cs="Times New Roman"/>
      <w:b/>
      <w:sz w:val="22"/>
      <w:szCs w:val="22"/>
    </w:rPr>
  </w:style>
  <w:style w:type="paragraph" w:styleId="Quote">
    <w:name w:val="Quote"/>
    <w:basedOn w:val="Normal"/>
    <w:qFormat/>
    <w:pPr>
      <w:spacing w:before="120" w:after="120"/>
      <w:ind w:left="720" w:righ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deBlock">
    <w:name w:val="Code Block"/>
    <w:basedOn w:val="Normal"/>
    <w:qFormat/>
    <w:pPr>
      <w:spacing w:after="0" w:line="240" w:lineRule="auto"/>
      <w:jc w:val="left"/>
    </w:pPr>
    <w:rPr>
      <w:rFonts w:ascii="Consolas" w:hAnsi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
</file>