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c="http://schemas.microsoft.com/office/word/2010/wordprocessingCanvas" xmlns:wpg="http://schemas.microsoft.com/office/word/2010/wordprocessingGroup" xmlns:mc="http://schemas.openxmlformats.org/markup-compatibility/2006">
  <w:body>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2. АНАЛИЗ ДЕЯТЕЛЬНОСТИ АК БАРС БАНКА В КОНТЕКСТЕ РАЗРАБОТКИ СТРАТЕГИИ ПРОДВИЖЕНИЯ ИННОВАЦИОННОГО ПРОДУКТА</w:t>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2.1. Характеристика Ак Барс Банка и продукта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Анализ стратегии продвижения нового продукта начинается с разбора объекта, а не с разбора рынка. Без точного описания компании, её ресурсной базы и самого продукта оценка каналов, аудитории и рыночной позиции теряет основу. Поэтому первый шаг — характеристика Ак Барс Банка как разработчика Face2 и самого биометрического сервиса как объекта продвижения.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Акционерный коммерческий банк «Ак Барс» — публичное акционерное общество с юридическим адресом в Казани, улица Декабристов, дом 1 [26, с. 7]. Банк работает по генеральной банковской лицензии Центрального банка Российской Федерации с 1993 года и входит в государственную систему страхования вкладов физических лиц [26, с. 6]. Государственная страховка покрывает выплаты по вкладам в пределах 1,4 млн рублей, а в особых обстоятельствах — до 10 млн рублей [26, с. 6]. Основной профиль группы — коммерческие и розничные банковские операции на территории России [26, с. 6]. Республика Татарстан — основной регион присутствия банка, и доля местных поставщиков в общем бюджете закупок на конец 2024 года составила не менее 60% [28, с. 67].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Помимо самого банка в группу входят инвестиционные компании, лизинговая компания, страховые организации и негосударственный пенсионный фонд [26, с. 7]. Такая конструкция позволяет банку выходить за пределы классического кредитования и расчётов и собирать вокруг себя смежные финансовые сервисы — от пенсионных накоплений и страхования до лизинга оборудования. Состав группы показан на рисунке 2.1.1: банк объединяет вокруг головной кредитной организации инвестиционный, страховой и пенсионный блоки в единое юридически связанное целое.</w:t>
      </w:r>
    </w:p>
    <w:p>
      <w:pPr>
        <w:keepNext/>
        <w:keepLines/>
        <w:spacing w:before="12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[26, с. 7]</w:t>
      </w:r>
    </w:p>
    <w:p>
      <w:pPr>
        <w:keepNext/>
        <w:keepLines/>
        <w:spacing w:before="120" w:after="60" w:line="240" w:lineRule="auto"/>
        <w:jc w:val="center"/>
        <w:rPr>
          <w:rFonts w:ascii="Times New Roman" w:hAnsi="Times New Roman" w:cs="Times New Roman" w:eastAsia="Times New Roman"/>
          <w:sz w:val="28"/>
          <w:szCs w:val="28"/>
          <w:lang w:val="ru-RU"/>
        </w:rPr>
      </w:pPr>
      <w:r>
        <w:drawing>
          <wp:inline distT="0" distB="0" distL="0" distR="0">
            <wp:extent cx="5760000" cy="2160000"/>
            <wp:effectExtent l="0" t="0" r="0" b="0"/>
            <wp:docPr id="1001" name="Drawing1001"/>
            <wp:cNvGraphicFramePr/>
            <a:graphic>
              <a:graphicData uri="http://schemas.microsoft.com/office/word/2010/wordprocessingGroup">
                <wpg:wgp>
                  <wpg:cNvGrpSpPr/>
                  <wpg:grpSpPr>
                    <a:xfrm>
                      <a:off x="0" y="0"/>
                      <a:ext cx="5760000" cy="2160000"/>
                      <a:chOff x="0" y="0"/>
                      <a:chExt cx="5760000" cy="2160000"/>
                    </a:xfrm>
                  </wpg:grpSpPr>
                  <wps:wsp>
                    <wps:cNvPr id="1101" name="Root1101"/>
                    <wps:cNvSpPr/>
                    <wps:spPr>
                      <a:xfrm>
                        <a:off x="1620000" y="72000"/>
                        <a:ext cx="2520000" cy="360000"/>
                      </a:xfrm>
                      <a:prstGeom prst="rect">
                        <a:avLst/>
                      </a:prstGeom>
                      <a:solidFill>
                        <a:srgbClr val="1F4E79"/>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2"/>
                              <w:szCs w:val="22"/>
                              <w:lang w:val="ru-RU"/>
                            </w:rPr>
                            <w:t xml:space="preserve">Группа банка «Ак Барс»</w:t>
                          </w:r>
                        </w:p>
                      </w:txbxContent>
                    </wps:txbx>
                    <wps:bodyPr rot="0" spcFirstLastPara="0" vertOverflow="visible" horzOverflow="visible" wrap="square" lIns="36000" tIns="36000" rIns="36000" bIns="36000" anchor="ctr" anchorCtr="0" upright="1">
                      <a:noAutofit/>
                    </wps:bodyPr>
                  </wps:wsp>
                  <wps:wsp>
                    <wps:cNvPr id="1102" name="Line1102"/>
                    <wps:cNvCnPr/>
                    <wps:spPr>
                      <a:xfrm>
                        <a:off x="2880000" y="432000"/>
                        <a:ext cx="1" cy="395999"/>
                      </a:xfrm>
                      <a:prstGeom prst="line">
                        <a:avLst/>
                      </a:prstGeom>
                      <a:ln w="12700">
                        <a:solidFill>
                          <a:srgbClr val="000000"/>
                        </a:solidFill>
                      </a:ln>
                    </wps:spPr>
                    <wps:bodyPr/>
                  </wps:wsp>
                  <wps:wsp>
                    <wps:cNvPr id="1103" name="Line1103"/>
                    <wps:cNvCnPr/>
                    <wps:spPr>
                      <a:xfrm>
                        <a:off x="579600" y="827999"/>
                        <a:ext cx="4600800" cy="1"/>
                      </a:xfrm>
                      <a:prstGeom prst="line">
                        <a:avLst/>
                      </a:prstGeom>
                      <a:ln w="12700">
                        <a:solidFill>
                          <a:srgbClr val="000000"/>
                        </a:solidFill>
                      </a:ln>
                    </wps:spPr>
                    <wps:bodyPr/>
                  </wps:wsp>
                  <wps:wsp>
                    <wps:cNvPr id="1104" name="Line1104"/>
                    <wps:cNvCnPr/>
                    <wps:spPr>
                      <a:xfrm>
                        <a:off x="561600" y="827999"/>
                        <a:ext cx="1" cy="216000"/>
                      </a:xfrm>
                      <a:prstGeom prst="line">
                        <a:avLst/>
                      </a:prstGeom>
                      <a:ln w="12700">
                        <a:solidFill>
                          <a:srgbClr val="000000"/>
                        </a:solidFill>
                      </a:ln>
                    </wps:spPr>
                    <wps:bodyPr/>
                  </wps:wsp>
                  <wps:wsp>
                    <wps:cNvPr id="1105" name="Child01105"/>
                    <wps:cNvSpPr/>
                    <wps:spPr>
                      <a:xfrm>
                        <a:off x="0" y="1044000"/>
                        <a:ext cx="1123200" cy="1080000"/>
                      </a:xfrm>
                      <a:prstGeom prst="rect">
                        <a:avLst/>
                      </a:prstGeom>
                      <a:solidFill>
                        <a:srgbClr val="2E75B6"/>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ПАО «АК БАРС»</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БАНК</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(головной)</w:t>
                          </w:r>
                        </w:p>
                      </w:txbxContent>
                    </wps:txbx>
                    <wps:bodyPr rot="0" spcFirstLastPara="0" vertOverflow="visible" horzOverflow="visible" wrap="square" lIns="36000" tIns="36000" rIns="36000" bIns="36000" anchor="ctr" anchorCtr="0" upright="1">
                      <a:noAutofit/>
                    </wps:bodyPr>
                  </wps:wsp>
                  <wps:wsp>
                    <wps:cNvPr id="1106" name="Line1106"/>
                    <wps:cNvCnPr/>
                    <wps:spPr>
                      <a:xfrm>
                        <a:off x="1720800" y="827999"/>
                        <a:ext cx="1" cy="216000"/>
                      </a:xfrm>
                      <a:prstGeom prst="line">
                        <a:avLst/>
                      </a:prstGeom>
                      <a:ln w="12700">
                        <a:solidFill>
                          <a:srgbClr val="000000"/>
                        </a:solidFill>
                      </a:ln>
                    </wps:spPr>
                    <wps:bodyPr/>
                  </wps:wsp>
                  <wps:wsp>
                    <wps:cNvPr id="1107" name="Child11107"/>
                    <wps:cNvSpPr/>
                    <wps:spPr>
                      <a:xfrm>
                        <a:off x="1159200" y="1044000"/>
                        <a:ext cx="1123200" cy="1080000"/>
                      </a:xfrm>
                      <a:prstGeom prst="rect">
                        <a:avLst/>
                      </a:prstGeom>
                      <a:solidFill>
                        <a:srgbClr val="2E75B6"/>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Инвестиционные</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компании</w:t>
                          </w:r>
                        </w:p>
                      </w:txbxContent>
                    </wps:txbx>
                    <wps:bodyPr rot="0" spcFirstLastPara="0" vertOverflow="visible" horzOverflow="visible" wrap="square" lIns="36000" tIns="36000" rIns="36000" bIns="36000" anchor="ctr" anchorCtr="0" upright="1">
                      <a:noAutofit/>
                    </wps:bodyPr>
                  </wps:wsp>
                  <wps:wsp>
                    <wps:cNvPr id="1108" name="Line1108"/>
                    <wps:cNvCnPr/>
                    <wps:spPr>
                      <a:xfrm>
                        <a:off x="2880000" y="827999"/>
                        <a:ext cx="1" cy="216000"/>
                      </a:xfrm>
                      <a:prstGeom prst="line">
                        <a:avLst/>
                      </a:prstGeom>
                      <a:ln w="12700">
                        <a:solidFill>
                          <a:srgbClr val="000000"/>
                        </a:solidFill>
                      </a:ln>
                    </wps:spPr>
                    <wps:bodyPr/>
                  </wps:wsp>
                  <wps:wsp>
                    <wps:cNvPr id="1109" name="Child21109"/>
                    <wps:cNvSpPr/>
                    <wps:spPr>
                      <a:xfrm>
                        <a:off x="2318400" y="1044000"/>
                        <a:ext cx="1123200" cy="1080000"/>
                      </a:xfrm>
                      <a:prstGeom prst="rect">
                        <a:avLst/>
                      </a:prstGeom>
                      <a:solidFill>
                        <a:srgbClr val="2E75B6"/>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Лизинговая</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компания</w:t>
                          </w:r>
                        </w:p>
                      </w:txbxContent>
                    </wps:txbx>
                    <wps:bodyPr rot="0" spcFirstLastPara="0" vertOverflow="visible" horzOverflow="visible" wrap="square" lIns="36000" tIns="36000" rIns="36000" bIns="36000" anchor="ctr" anchorCtr="0" upright="1">
                      <a:noAutofit/>
                    </wps:bodyPr>
                  </wps:wsp>
                  <wps:wsp>
                    <wps:cNvPr id="1110" name="Line1110"/>
                    <wps:cNvCnPr/>
                    <wps:spPr>
                      <a:xfrm>
                        <a:off x="4039200" y="827999"/>
                        <a:ext cx="1" cy="216000"/>
                      </a:xfrm>
                      <a:prstGeom prst="line">
                        <a:avLst/>
                      </a:prstGeom>
                      <a:ln w="12700">
                        <a:solidFill>
                          <a:srgbClr val="000000"/>
                        </a:solidFill>
                      </a:ln>
                    </wps:spPr>
                    <wps:bodyPr/>
                  </wps:wsp>
                  <wps:wsp>
                    <wps:cNvPr id="1111" name="Child31111"/>
                    <wps:cNvSpPr/>
                    <wps:spPr>
                      <a:xfrm>
                        <a:off x="3477600" y="1044000"/>
                        <a:ext cx="1123200" cy="1080000"/>
                      </a:xfrm>
                      <a:prstGeom prst="rect">
                        <a:avLst/>
                      </a:prstGeom>
                      <a:solidFill>
                        <a:srgbClr val="2E75B6"/>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Страховые</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компании</w:t>
                          </w:r>
                        </w:p>
                      </w:txbxContent>
                    </wps:txbx>
                    <wps:bodyPr rot="0" spcFirstLastPara="0" vertOverflow="visible" horzOverflow="visible" wrap="square" lIns="36000" tIns="36000" rIns="36000" bIns="36000" anchor="ctr" anchorCtr="0" upright="1">
                      <a:noAutofit/>
                    </wps:bodyPr>
                  </wps:wsp>
                  <wps:wsp>
                    <wps:cNvPr id="1112" name="Line1112"/>
                    <wps:cNvCnPr/>
                    <wps:spPr>
                      <a:xfrm>
                        <a:off x="5198400" y="827999"/>
                        <a:ext cx="1" cy="216000"/>
                      </a:xfrm>
                      <a:prstGeom prst="line">
                        <a:avLst/>
                      </a:prstGeom>
                      <a:ln w="12700">
                        <a:solidFill>
                          <a:srgbClr val="000000"/>
                        </a:solidFill>
                      </a:ln>
                    </wps:spPr>
                    <wps:bodyPr/>
                  </wps:wsp>
                  <wps:wsp>
                    <wps:cNvPr id="1113" name="Child41113"/>
                    <wps:cNvSpPr/>
                    <wps:spPr>
                      <a:xfrm>
                        <a:off x="4636800" y="1044000"/>
                        <a:ext cx="1123200" cy="1080000"/>
                      </a:xfrm>
                      <a:prstGeom prst="rect">
                        <a:avLst/>
                      </a:prstGeom>
                      <a:solidFill>
                        <a:srgbClr val="2E75B6"/>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Негосударственный</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пенсионный</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фонд</w:t>
                          </w:r>
                        </w:p>
                      </w:txbxContent>
                    </wps:txbx>
                    <wps:bodyPr rot="0" spcFirstLastPara="0" vertOverflow="visible" horzOverflow="visible" wrap="square" lIns="36000" tIns="36000" rIns="36000" bIns="36000" anchor="ctr" anchorCtr="0" upright="1">
                      <a:noAutofit/>
                    </wps:bodyPr>
                  </wps:wsp>
                </wpg:wgp>
              </a:graphicData>
            </a:graphic>
          </wp:inline>
        </w:drawing>
      </w:r>
    </w:p>
    <w:p>
      <w:pPr>
        <w:keepLines/>
        <w:spacing w:before="60" w:after="20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Рис. 2.1.1. Структура группы банка «Ак Барс» по составу участников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Уставный капитал банка на 31 декабря 2024 года сформирован в сумме 48 015 396 326 рублей и разделён на 48 015 396 326 обыкновенных бездокументарных акций номинальной стоимостью 1 рубль каждая [28, с. 70]. Все акции размещены и оплачены полностью. Общее количество акционеров — 45, из них 30 юридических лиц и 15 физических лиц [28, с. 71]. Регистрацию прав собственности и ведение реестра акционеров ведёт независимый регистратор — Казанский филиал АО «Регистраторское общество „Статус“» [28, с. 71]. Совет директоров избран в составе одиннадцати человек, трое из которых признаны независимыми [28, с. 71]. Концентрация акционеров на территории Татарстана и работа через казанского регистратора показывают, что центр принятия решений по банку остаётся в регионе.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Финансовый масштаб группы характеризует её как крупного регионального игрока с устойчивой федеральной инфраструктурой. Совокупные активы выросли почти на четверть за один год — с 946,9 млрд рублей на конец 2024 года до 1 157,3 млрд рублей на конец 2025 года [25, с. 1]. Прибыль за 2025 год вернулась к двузначным значениям и достигла 15,7 млрд рублей после слабого 2024 года, когда на финансовый результат давили резервы по кредитным убыткам и переоценка активов [25, с. 2]. По собственной отчётности банка по российским стандартам бухгалтерского учёта чистая прибыль за 2024 год составила 15,4 млрд рублей и более чем в два раза превысила результат 2023 года; рентабельность капитала достигла 15,4%, рентабельность активов — 1,7%, отношение операционных расходов к доходам — 37,8% [28, с. 16–17]. Сводная динамика основных консолидированных показателей собрана в таблице 2.1.1.</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2.1.1</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Ключевые финансовые показатели группы банка «Ак Барс» за 2023–2025 гг., млн руб.</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07"/>
        <w:gridCol w:w="1376"/>
        <w:gridCol w:w="1376"/>
        <w:gridCol w:w="1376"/>
      </w:tblGrid>
      <w:tr>
        <w:trPr>
          <w:tblHeader/>
          <w:cantSplit/>
        </w:trPr>
        <w:tc>
          <w:tcPr>
            <w:tcW w:w="550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Показатель</w:t>
            </w:r>
          </w:p>
        </w:tc>
        <w:tc>
          <w:tcPr>
            <w:tcW w:w="137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2023</w:t>
            </w:r>
          </w:p>
        </w:tc>
        <w:tc>
          <w:tcPr>
            <w:tcW w:w="137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2024</w:t>
            </w:r>
          </w:p>
        </w:tc>
        <w:tc>
          <w:tcPr>
            <w:tcW w:w="137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2025</w:t>
            </w:r>
          </w:p>
        </w:tc>
      </w:tr>
      <w:tr>
        <w:trPr>
          <w:cantSplit/>
        </w:trPr>
        <w:tc>
          <w:tcPr>
            <w:tcW w:w="55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Совокупные активы (на конец года)</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946 923</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1 157 340</w:t>
            </w:r>
          </w:p>
        </w:tc>
      </w:tr>
      <w:tr>
        <w:trPr>
          <w:cantSplit/>
        </w:trPr>
        <w:tc>
          <w:tcPr>
            <w:tcW w:w="55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Итого капитал (на конец года)</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106 130</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111 972</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126 377</w:t>
            </w:r>
          </w:p>
        </w:tc>
      </w:tr>
      <w:tr>
        <w:trPr>
          <w:cantSplit/>
        </w:trPr>
        <w:tc>
          <w:tcPr>
            <w:tcW w:w="55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Чистые процентные доходы</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31 824</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46 590</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58 135</w:t>
            </w:r>
          </w:p>
        </w:tc>
      </w:tr>
      <w:tr>
        <w:trPr>
          <w:cantSplit/>
        </w:trPr>
        <w:tc>
          <w:tcPr>
            <w:tcW w:w="55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Прибыль за период</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14 195</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7 269</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15 708</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[25, с. 1–3; 26, с. 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Общая картина — рост процентной маржи и восстановление прибыли после провального 2024 года. Чистые процентные доходы выросли с 31,8 млрд рублей в 2023 году до 58,1 млрд рублей в 2025 году, то есть почти в 1,8 раза за два года [25, с. 2; 26, с. 2]. Графическое сопоставление этих величин дано на рисунке 2.1.2.</w:t>
      </w:r>
    </w:p>
    <w:p>
      <w:pPr>
        <w:keepNext/>
        <w:keepLines/>
        <w:spacing w:before="12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[25, с. 2; 26, с. 2]</w:t>
      </w:r>
    </w:p>
    <w:p>
      <w:pPr>
        <w:keepNext/>
        <w:keepLines/>
        <w:spacing w:before="120" w:after="60" w:line="240" w:lineRule="auto"/>
        <w:jc w:val="center"/>
        <w:rPr>
          <w:rFonts w:ascii="Times New Roman" w:hAnsi="Times New Roman" w:cs="Times New Roman" w:eastAsia="Times New Roman"/>
          <w:sz w:val="28"/>
          <w:szCs w:val="28"/>
          <w:lang w:val="ru-RU"/>
        </w:rPr>
      </w:pPr>
      <w:r>
        <w:drawing>
          <wp:inline distT="0" distB="0" distL="0" distR="0">
            <wp:extent cx="5760000" cy="2520000"/>
            <wp:effectExtent l="0" t="0" r="0" b="0"/>
            <wp:docPr id="1002" name="Drawing1002"/>
            <wp:cNvGraphicFramePr/>
            <a:graphic>
              <a:graphicData uri="http://schemas.microsoft.com/office/word/2010/wordprocessingGroup">
                <wpg:wgp>
                  <wpg:cNvGrpSpPr/>
                  <wpg:grpSpPr>
                    <a:xfrm>
                      <a:off x="0" y="0"/>
                      <a:ext cx="5760000" cy="2520000"/>
                      <a:chOff x="0" y="0"/>
                      <a:chExt cx="5760000" cy="2520000"/>
                    </a:xfrm>
                  </wpg:grpSpPr>
                  <wps:wsp>
                    <wps:cNvPr id="1201" name="ChartTitle1201"/>
                    <wps:cNvSpPr txBox="1"/>
                    <wps:spPr>
                      <a:xfrm>
                        <a:off x="0" y="72000"/>
                        <a:ext cx="2790000" cy="288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1F4E79"/>
                              <w:sz w:val="20"/>
                              <w:szCs w:val="20"/>
                              <w:lang w:val="ru-RU"/>
                            </w:rPr>
                            <w:t xml:space="preserve">Чистые процентные доходы, млн ₽</w:t>
                          </w:r>
                        </w:p>
                      </w:txbxContent>
                    </wps:txbx>
                    <wps:bodyPr rot="0" spcFirstLastPara="0" vertOverflow="visible" horzOverflow="visible" wrap="square" lIns="36000" tIns="36000" rIns="36000" bIns="36000" anchor="ctr" anchorCtr="0" upright="1">
                      <a:noAutofit/>
                    </wps:bodyPr>
                  </wps:wsp>
                  <wps:wsp>
                    <wps:cNvPr id="1202" name="Line1202"/>
                    <wps:cNvCnPr/>
                    <wps:spPr>
                      <a:xfrm>
                        <a:off x="180000" y="396000"/>
                        <a:ext cx="1" cy="1871999"/>
                      </a:xfrm>
                      <a:prstGeom prst="line">
                        <a:avLst/>
                      </a:prstGeom>
                      <a:ln w="6350">
                        <a:solidFill>
                          <a:srgbClr val="7F7F7F"/>
                        </a:solidFill>
                      </a:ln>
                    </wps:spPr>
                    <wps:bodyPr/>
                  </wps:wsp>
                  <wps:wsp>
                    <wps:cNvPr id="1203" name="Line1203"/>
                    <wps:cNvCnPr/>
                    <wps:spPr>
                      <a:xfrm>
                        <a:off x="180000" y="2268000"/>
                        <a:ext cx="2610000" cy="1"/>
                      </a:xfrm>
                      <a:prstGeom prst="line">
                        <a:avLst/>
                      </a:prstGeom>
                      <a:ln w="6350">
                        <a:solidFill>
                          <a:srgbClr val="7F7F7F"/>
                        </a:solidFill>
                      </a:ln>
                    </wps:spPr>
                    <wps:bodyPr/>
                  </wps:wsp>
                  <wps:wsp>
                    <wps:cNvPr id="1204" name="Bar01204"/>
                    <wps:cNvSpPr/>
                    <wps:spPr>
                      <a:xfrm>
                        <a:off x="483187" y="1275091"/>
                        <a:ext cx="513749" cy="992908"/>
                      </a:xfrm>
                      <a:prstGeom prst="rect">
                        <a:avLst/>
                      </a:prstGeom>
                      <a:solidFill>
                        <a:srgbClr val="2E75B6"/>
                      </a:solidFill>
                      <a:ln w="0">
                        <a:solidFill>
                          <a:srgbClr val="2E75B6"/>
                        </a:solidFill>
                      </a:ln>
                    </wps:spPr>
                    <wps:bodyPr/>
                  </wps:wsp>
                  <wps:wsp>
                    <wps:cNvPr id="1205" name="Val1205"/>
                    <wps:cNvSpPr txBox="1"/>
                    <wps:spPr>
                      <a:xfrm>
                        <a:off x="375187" y="1059091"/>
                        <a:ext cx="729749" cy="216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31 824</w:t>
                          </w:r>
                        </w:p>
                      </w:txbxContent>
                    </wps:txbx>
                    <wps:bodyPr rot="0" spcFirstLastPara="0" vertOverflow="visible" horzOverflow="visible" wrap="square" lIns="36000" tIns="36000" rIns="36000" bIns="36000" anchor="ctr" anchorCtr="0" upright="1">
                      <a:noAutofit/>
                    </wps:bodyPr>
                  </wps:wsp>
                  <wps:wsp>
                    <wps:cNvPr id="1206" name="Year1206"/>
                    <wps:cNvSpPr txBox="1"/>
                    <wps:spPr>
                      <a:xfrm>
                        <a:off x="375187" y="2286000"/>
                        <a:ext cx="729749"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2023</w:t>
                          </w:r>
                        </w:p>
                      </w:txbxContent>
                    </wps:txbx>
                    <wps:bodyPr rot="0" spcFirstLastPara="0" vertOverflow="visible" horzOverflow="visible" wrap="square" lIns="36000" tIns="36000" rIns="36000" bIns="36000" anchor="ctr" anchorCtr="0" upright="1">
                      <a:noAutofit/>
                    </wps:bodyPr>
                  </wps:wsp>
                  <wps:wsp>
                    <wps:cNvPr id="1207" name="Bar11207"/>
                    <wps:cNvSpPr/>
                    <wps:spPr>
                      <a:xfrm>
                        <a:off x="1228125" y="814392"/>
                        <a:ext cx="513749" cy="1453607"/>
                      </a:xfrm>
                      <a:prstGeom prst="rect">
                        <a:avLst/>
                      </a:prstGeom>
                      <a:solidFill>
                        <a:srgbClr val="2E75B6"/>
                      </a:solidFill>
                      <a:ln w="0">
                        <a:solidFill>
                          <a:srgbClr val="2E75B6"/>
                        </a:solidFill>
                      </a:ln>
                    </wps:spPr>
                    <wps:bodyPr/>
                  </wps:wsp>
                  <wps:wsp>
                    <wps:cNvPr id="1208" name="Val1208"/>
                    <wps:cNvSpPr txBox="1"/>
                    <wps:spPr>
                      <a:xfrm>
                        <a:off x="1120125" y="598392"/>
                        <a:ext cx="729749" cy="216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46 590</w:t>
                          </w:r>
                        </w:p>
                      </w:txbxContent>
                    </wps:txbx>
                    <wps:bodyPr rot="0" spcFirstLastPara="0" vertOverflow="visible" horzOverflow="visible" wrap="square" lIns="36000" tIns="36000" rIns="36000" bIns="36000" anchor="ctr" anchorCtr="0" upright="1">
                      <a:noAutofit/>
                    </wps:bodyPr>
                  </wps:wsp>
                  <wps:wsp>
                    <wps:cNvPr id="1209" name="Year1209"/>
                    <wps:cNvSpPr txBox="1"/>
                    <wps:spPr>
                      <a:xfrm>
                        <a:off x="1120125" y="2286000"/>
                        <a:ext cx="729749"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2024</w:t>
                          </w:r>
                        </w:p>
                      </w:txbxContent>
                    </wps:txbx>
                    <wps:bodyPr rot="0" spcFirstLastPara="0" vertOverflow="visible" horzOverflow="visible" wrap="square" lIns="36000" tIns="36000" rIns="36000" bIns="36000" anchor="ctr" anchorCtr="0" upright="1">
                      <a:noAutofit/>
                    </wps:bodyPr>
                  </wps:wsp>
                  <wps:wsp>
                    <wps:cNvPr id="1210" name="Bar21210"/>
                    <wps:cNvSpPr/>
                    <wps:spPr>
                      <a:xfrm>
                        <a:off x="1973062" y="454188"/>
                        <a:ext cx="513749" cy="1813811"/>
                      </a:xfrm>
                      <a:prstGeom prst="rect">
                        <a:avLst/>
                      </a:prstGeom>
                      <a:solidFill>
                        <a:srgbClr val="2E75B6"/>
                      </a:solidFill>
                      <a:ln w="0">
                        <a:solidFill>
                          <a:srgbClr val="2E75B6"/>
                        </a:solidFill>
                      </a:ln>
                    </wps:spPr>
                    <wps:bodyPr/>
                  </wps:wsp>
                  <wps:wsp>
                    <wps:cNvPr id="1211" name="Val1211"/>
                    <wps:cNvSpPr txBox="1"/>
                    <wps:spPr>
                      <a:xfrm>
                        <a:off x="1865062" y="238188"/>
                        <a:ext cx="729749" cy="216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58 135</w:t>
                          </w:r>
                        </w:p>
                      </w:txbxContent>
                    </wps:txbx>
                    <wps:bodyPr rot="0" spcFirstLastPara="0" vertOverflow="visible" horzOverflow="visible" wrap="square" lIns="36000" tIns="36000" rIns="36000" bIns="36000" anchor="ctr" anchorCtr="0" upright="1">
                      <a:noAutofit/>
                    </wps:bodyPr>
                  </wps:wsp>
                  <wps:wsp>
                    <wps:cNvPr id="1212" name="Year1212"/>
                    <wps:cNvSpPr txBox="1"/>
                    <wps:spPr>
                      <a:xfrm>
                        <a:off x="1865062" y="2286000"/>
                        <a:ext cx="729749"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2025</w:t>
                          </w:r>
                        </w:p>
                      </w:txbxContent>
                    </wps:txbx>
                    <wps:bodyPr rot="0" spcFirstLastPara="0" vertOverflow="visible" horzOverflow="visible" wrap="square" lIns="36000" tIns="36000" rIns="36000" bIns="36000" anchor="ctr" anchorCtr="0" upright="1">
                      <a:noAutofit/>
                    </wps:bodyPr>
                  </wps:wsp>
                  <wps:wsp>
                    <wps:cNvPr id="1213" name="ChartTitle1213"/>
                    <wps:cNvSpPr txBox="1"/>
                    <wps:spPr>
                      <a:xfrm>
                        <a:off x="2970000" y="72000"/>
                        <a:ext cx="2790000" cy="288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1F4E79"/>
                              <w:sz w:val="20"/>
                              <w:szCs w:val="20"/>
                              <w:lang w:val="ru-RU"/>
                            </w:rPr>
                            <w:t xml:space="preserve">Прибыль за период, млн ₽</w:t>
                          </w:r>
                        </w:p>
                      </w:txbxContent>
                    </wps:txbx>
                    <wps:bodyPr rot="0" spcFirstLastPara="0" vertOverflow="visible" horzOverflow="visible" wrap="square" lIns="36000" tIns="36000" rIns="36000" bIns="36000" anchor="ctr" anchorCtr="0" upright="1">
                      <a:noAutofit/>
                    </wps:bodyPr>
                  </wps:wsp>
                  <wps:wsp>
                    <wps:cNvPr id="1214" name="Line1214"/>
                    <wps:cNvCnPr/>
                    <wps:spPr>
                      <a:xfrm>
                        <a:off x="3150000" y="396000"/>
                        <a:ext cx="1" cy="1871999"/>
                      </a:xfrm>
                      <a:prstGeom prst="line">
                        <a:avLst/>
                      </a:prstGeom>
                      <a:ln w="6350">
                        <a:solidFill>
                          <a:srgbClr val="7F7F7F"/>
                        </a:solidFill>
                      </a:ln>
                    </wps:spPr>
                    <wps:bodyPr/>
                  </wps:wsp>
                  <wps:wsp>
                    <wps:cNvPr id="1215" name="Line1215"/>
                    <wps:cNvCnPr/>
                    <wps:spPr>
                      <a:xfrm>
                        <a:off x="3150000" y="2268000"/>
                        <a:ext cx="2610000" cy="1"/>
                      </a:xfrm>
                      <a:prstGeom prst="line">
                        <a:avLst/>
                      </a:prstGeom>
                      <a:ln w="6350">
                        <a:solidFill>
                          <a:srgbClr val="7F7F7F"/>
                        </a:solidFill>
                      </a:ln>
                    </wps:spPr>
                    <wps:bodyPr/>
                  </wps:wsp>
                  <wps:wsp>
                    <wps:cNvPr id="1216" name="Bar01216"/>
                    <wps:cNvSpPr/>
                    <wps:spPr>
                      <a:xfrm>
                        <a:off x="3453187" y="607185"/>
                        <a:ext cx="513749" cy="1660814"/>
                      </a:xfrm>
                      <a:prstGeom prst="rect">
                        <a:avLst/>
                      </a:prstGeom>
                      <a:solidFill>
                        <a:srgbClr val="ED7D31"/>
                      </a:solidFill>
                      <a:ln w="0">
                        <a:solidFill>
                          <a:srgbClr val="ED7D31"/>
                        </a:solidFill>
                      </a:ln>
                    </wps:spPr>
                    <wps:bodyPr/>
                  </wps:wsp>
                  <wps:wsp>
                    <wps:cNvPr id="1217" name="Val1217"/>
                    <wps:cNvSpPr txBox="1"/>
                    <wps:spPr>
                      <a:xfrm>
                        <a:off x="3345187" y="391185"/>
                        <a:ext cx="729749" cy="216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14 195</w:t>
                          </w:r>
                        </w:p>
                      </w:txbxContent>
                    </wps:txbx>
                    <wps:bodyPr rot="0" spcFirstLastPara="0" vertOverflow="visible" horzOverflow="visible" wrap="square" lIns="36000" tIns="36000" rIns="36000" bIns="36000" anchor="ctr" anchorCtr="0" upright="1">
                      <a:noAutofit/>
                    </wps:bodyPr>
                  </wps:wsp>
                  <wps:wsp>
                    <wps:cNvPr id="1218" name="Year1218"/>
                    <wps:cNvSpPr txBox="1"/>
                    <wps:spPr>
                      <a:xfrm>
                        <a:off x="3345187" y="2286000"/>
                        <a:ext cx="729749"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2023</w:t>
                          </w:r>
                        </w:p>
                      </w:txbxContent>
                    </wps:txbx>
                    <wps:bodyPr rot="0" spcFirstLastPara="0" vertOverflow="visible" horzOverflow="visible" wrap="square" lIns="36000" tIns="36000" rIns="36000" bIns="36000" anchor="ctr" anchorCtr="0" upright="1">
                      <a:noAutofit/>
                    </wps:bodyPr>
                  </wps:wsp>
                  <wps:wsp>
                    <wps:cNvPr id="1219" name="Bar11219"/>
                    <wps:cNvSpPr/>
                    <wps:spPr>
                      <a:xfrm>
                        <a:off x="4198125" y="1417527"/>
                        <a:ext cx="513749" cy="850472"/>
                      </a:xfrm>
                      <a:prstGeom prst="rect">
                        <a:avLst/>
                      </a:prstGeom>
                      <a:solidFill>
                        <a:srgbClr val="ED7D31"/>
                      </a:solidFill>
                      <a:ln w="0">
                        <a:solidFill>
                          <a:srgbClr val="ED7D31"/>
                        </a:solidFill>
                      </a:ln>
                    </wps:spPr>
                    <wps:bodyPr/>
                  </wps:wsp>
                  <wps:wsp>
                    <wps:cNvPr id="1220" name="Val1220"/>
                    <wps:cNvSpPr txBox="1"/>
                    <wps:spPr>
                      <a:xfrm>
                        <a:off x="4090124" y="1201527"/>
                        <a:ext cx="729749" cy="216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7 269</w:t>
                          </w:r>
                        </w:p>
                      </w:txbxContent>
                    </wps:txbx>
                    <wps:bodyPr rot="0" spcFirstLastPara="0" vertOverflow="visible" horzOverflow="visible" wrap="square" lIns="36000" tIns="36000" rIns="36000" bIns="36000" anchor="ctr" anchorCtr="0" upright="1">
                      <a:noAutofit/>
                    </wps:bodyPr>
                  </wps:wsp>
                  <wps:wsp>
                    <wps:cNvPr id="1221" name="Year1221"/>
                    <wps:cNvSpPr txBox="1"/>
                    <wps:spPr>
                      <a:xfrm>
                        <a:off x="4090124" y="2286000"/>
                        <a:ext cx="729749"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2024</w:t>
                          </w:r>
                        </w:p>
                      </w:txbxContent>
                    </wps:txbx>
                    <wps:bodyPr rot="0" spcFirstLastPara="0" vertOverflow="visible" horzOverflow="visible" wrap="square" lIns="36000" tIns="36000" rIns="36000" bIns="36000" anchor="ctr" anchorCtr="0" upright="1">
                      <a:noAutofit/>
                    </wps:bodyPr>
                  </wps:wsp>
                  <wps:wsp>
                    <wps:cNvPr id="1222" name="Bar21222"/>
                    <wps:cNvSpPr/>
                    <wps:spPr>
                      <a:xfrm>
                        <a:off x="4943062" y="430164"/>
                        <a:ext cx="513749" cy="1837835"/>
                      </a:xfrm>
                      <a:prstGeom prst="rect">
                        <a:avLst/>
                      </a:prstGeom>
                      <a:solidFill>
                        <a:srgbClr val="ED7D31"/>
                      </a:solidFill>
                      <a:ln w="0">
                        <a:solidFill>
                          <a:srgbClr val="ED7D31"/>
                        </a:solidFill>
                      </a:ln>
                    </wps:spPr>
                    <wps:bodyPr/>
                  </wps:wsp>
                  <wps:wsp>
                    <wps:cNvPr id="1223" name="Val1223"/>
                    <wps:cNvSpPr txBox="1"/>
                    <wps:spPr>
                      <a:xfrm>
                        <a:off x="4835062" y="214164"/>
                        <a:ext cx="729749" cy="216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15 708</w:t>
                          </w:r>
                        </w:p>
                      </w:txbxContent>
                    </wps:txbx>
                    <wps:bodyPr rot="0" spcFirstLastPara="0" vertOverflow="visible" horzOverflow="visible" wrap="square" lIns="36000" tIns="36000" rIns="36000" bIns="36000" anchor="ctr" anchorCtr="0" upright="1">
                      <a:noAutofit/>
                    </wps:bodyPr>
                  </wps:wsp>
                  <wps:wsp>
                    <wps:cNvPr id="1224" name="Year1224"/>
                    <wps:cNvSpPr txBox="1"/>
                    <wps:spPr>
                      <a:xfrm>
                        <a:off x="4835062" y="2286000"/>
                        <a:ext cx="729749"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2025</w:t>
                          </w:r>
                        </w:p>
                      </w:txbxContent>
                    </wps:txbx>
                    <wps:bodyPr rot="0" spcFirstLastPara="0" vertOverflow="visible" horzOverflow="visible" wrap="square" lIns="36000" tIns="36000" rIns="36000" bIns="36000" anchor="ctr" anchorCtr="0" upright="1">
                      <a:noAutofit/>
                    </wps:bodyPr>
                  </wps:wsp>
                </wpg:wgp>
              </a:graphicData>
            </a:graphic>
          </wp:inline>
        </w:drawing>
      </w:r>
    </w:p>
    <w:p>
      <w:pPr>
        <w:keepLines/>
        <w:spacing w:before="60" w:after="20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Рис. 2.1.2. Динамика чистых процентных доходов и прибыли группы банка «Ак Барс» за 2023–2025 гг.</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Совокупный капитал увеличился со 106,1 млрд рублей на конец 2023 года до 126,4 млрд рублей на конец 2025 года: банк наращивает собственные средства параллельно росту активов и не выплачивает дивиденды по итогам отчётных периодов [25, с. 3; 26, с. 3]. Свободные средства идут в развитие, а не в выплаты акционерам. Этот факт важен для запуска нового продукта: ресурсы для продвижения остаются внутри группы.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Сегментная раскладка показывает, как именно группа зарабатывает. Операции организованы по пяти бизнес-сегментам: розничные банковские операции, корпоративные банковские операции, инвестиционные банковские операции, казначейские операции и прочие операции [25, с. 66]. Сводные показатели по сегментам за 2025 год собраны в таблице 2.1.2.</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2.1.2</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Доходы от внешних клиентов и сегментная прибыль группы банка «Ак Барс» за 2025 год, млн руб.</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5"/>
        <w:gridCol w:w="2237"/>
        <w:gridCol w:w="2925"/>
        <w:gridCol w:w="1548"/>
      </w:tblGrid>
      <w:tr>
        <w:trPr>
          <w:tblHeader/>
          <w:cantSplit/>
        </w:trPr>
        <w:tc>
          <w:tcPr>
            <w:tcW w:w="292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Сегмент</w:t>
            </w:r>
          </w:p>
        </w:tc>
        <w:tc>
          <w:tcPr>
            <w:tcW w:w="223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Доходы от внешних клиентов</w:t>
            </w:r>
          </w:p>
        </w:tc>
        <w:tc>
          <w:tcPr>
            <w:tcW w:w="292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Прибыль (убыток) до налогообложения</w:t>
            </w:r>
          </w:p>
        </w:tc>
        <w:tc>
          <w:tcPr>
            <w:tcW w:w="154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Активы по сегменту</w:t>
            </w:r>
          </w:p>
        </w:tc>
      </w:tr>
      <w:tr>
        <w:trPr>
          <w:cantSplit/>
        </w:trPr>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Розничные банковские операции</w:t>
            </w:r>
          </w:p>
        </w:tc>
        <w:tc>
          <w:tcPr>
            <w:tcW w:w="2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32 251</w:t>
            </w:r>
          </w:p>
        </w:tc>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(364)</w:t>
            </w:r>
          </w:p>
        </w:tc>
        <w:tc>
          <w:tcPr>
            <w:tcW w:w="15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168 122</w:t>
            </w:r>
          </w:p>
        </w:tc>
      </w:tr>
      <w:tr>
        <w:trPr>
          <w:cantSplit/>
        </w:trPr>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Корпоративные банковские операции</w:t>
            </w:r>
          </w:p>
        </w:tc>
        <w:tc>
          <w:tcPr>
            <w:tcW w:w="2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41 139</w:t>
            </w:r>
          </w:p>
        </w:tc>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20 857</w:t>
            </w:r>
          </w:p>
        </w:tc>
        <w:tc>
          <w:tcPr>
            <w:tcW w:w="15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221 581</w:t>
            </w:r>
          </w:p>
        </w:tc>
      </w:tr>
      <w:tr>
        <w:trPr>
          <w:cantSplit/>
        </w:trPr>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Инвестиционные банковские операции</w:t>
            </w:r>
          </w:p>
        </w:tc>
        <w:tc>
          <w:tcPr>
            <w:tcW w:w="2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62 999</w:t>
            </w:r>
          </w:p>
        </w:tc>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4 301</w:t>
            </w:r>
          </w:p>
        </w:tc>
        <w:tc>
          <w:tcPr>
            <w:tcW w:w="15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522 864</w:t>
            </w:r>
          </w:p>
        </w:tc>
      </w:tr>
      <w:tr>
        <w:trPr>
          <w:cantSplit/>
        </w:trPr>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Казначейские операции</w:t>
            </w:r>
          </w:p>
        </w:tc>
        <w:tc>
          <w:tcPr>
            <w:tcW w:w="2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25 740</w:t>
            </w:r>
          </w:p>
        </w:tc>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3 120</w:t>
            </w:r>
          </w:p>
        </w:tc>
        <w:tc>
          <w:tcPr>
            <w:tcW w:w="15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171 729</w:t>
            </w:r>
          </w:p>
        </w:tc>
      </w:tr>
      <w:tr>
        <w:trPr>
          <w:cantSplit/>
        </w:trPr>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Прочие операции</w:t>
            </w:r>
          </w:p>
        </w:tc>
        <w:tc>
          <w:tcPr>
            <w:tcW w:w="2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w:t>
            </w:r>
          </w:p>
        </w:tc>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(4 581)</w:t>
            </w:r>
          </w:p>
        </w:tc>
        <w:tc>
          <w:tcPr>
            <w:tcW w:w="15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58 915</w:t>
            </w:r>
          </w:p>
        </w:tc>
      </w:tr>
      <w:tr>
        <w:trPr>
          <w:cantSplit/>
        </w:trPr>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Итого</w:t>
            </w:r>
          </w:p>
        </w:tc>
        <w:tc>
          <w:tcPr>
            <w:tcW w:w="2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162 138</w:t>
            </w:r>
          </w:p>
        </w:tc>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23 333</w:t>
            </w:r>
          </w:p>
        </w:tc>
        <w:tc>
          <w:tcPr>
            <w:tcW w:w="15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1 143 211</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[25, с. 68]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Главный финансовый результат приносят корпоративный и инвестиционный сегменты: их совокупная прибыль до налогообложения за 2025 год — 25,2 млрд рублей при итоговой по группе 23,3 млрд рублей; разрыв в 1,9 млрд рублей закрыт убытком розничного блока и прочих операций, тогда как казначейский сегмент удерживал положительный результат за счёт операций с ликвидностью [25, с. 68]. Такая структура важна для продвижения Face2: основной коммерческий потенциал биометрии сосредоточен в B2B-сценариях для корпоративных и инвестиционных клиентов, а не в массовом ритейле, и собственная клиентская база группы в этих сегментах работает как готовый канал входа.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Фундамент рыночной позиции банка задаёт стратегия. Действующая Стратегия развития Ак Барс Банка на 2022–2026 годы фиксирует три приоритета: эффективность, клиентоцентричность, гибкость [28, с. 16]. Эффективность подразумевает масштабирование бизнеса с устойчивой прибыльностью и контроль уровня риска. Клиентоцентричность — построение долгосрочных отношений и рост числа продуктов на одного клиента. Гибкость — скорость и качество процессов и способность быстро реагировать на изменения внешней среды. Под эти приоритеты банк разворачивает четыре направления трансформации: развитие продуктовых предложений и клиентских путей, организационную эволюцию, развитие ИТ-инфраструктуры и платформ в логике технологического суверенитета, а также управление рисками [28, с. 16]. Сама миссия сформулирована коротко — «Сегодня и всегда мы создаём возможности для достижения целей нашими клиентами и партнёрами» [28, с. 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Биометрический продукт встаёт в этот стратегический контур естественно. Линия «технологический суверенитет» закрывается у Face2 через сертификацию ФСБ, ФСТЭК и попадание в реестр отечественного программного обеспечения [27]. Линия «клиентоцентричность» — через переход на сценарии оплаты и доступа без карт и документов. Линия «гибкость» — через возможность быстро запускать сервисы на одной платформе для разных сегментов B2B. Face2 — не точечный эксперимент, а реализация трёх приоритетов одновременно.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Клиентская база и розничный портфель банка задают канал, через который продукт может быть распространён во внешний рынок. Сводные показатели за 2024 год даны в таблице 2.1.3.</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2.1.3</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Клиентская база и продуктовые показатели Ак Барс Банка по итогам 2024 года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52"/>
        <w:gridCol w:w="2585"/>
      </w:tblGrid>
      <w:tr>
        <w:trPr>
          <w:tblHeader/>
          <w:cantSplit/>
        </w:trPr>
        <w:tc>
          <w:tcPr>
            <w:tcW w:w="705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Показатель</w:t>
            </w:r>
          </w:p>
        </w:tc>
        <w:tc>
          <w:tcPr>
            <w:tcW w:w="258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Значение на 01.01.2025</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Розничные клиенты, тыс. чел.</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934</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Корпоративные клиенты, тыс.</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33,9</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Активные пользователи Ак Барс Онлайн, тыс.</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930</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Действующие банковские карты, тыс. шт.</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2 265</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Карты жителя Республики Татарстан (всего, включая Детскую карту), шт.</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450 131</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Объём транзакций через Ак Барс Онлайн за год, млн</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12</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Розничный кредитный портфель, млрд руб.</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199</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Корпоративный кредитный портфель, млрд руб.</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203</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[28, с. 17, 25, 28, 29, 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Структура клиентской базы показывает, что банк уже работает одновременно с массовой розницей, корпоративным сегментом и социальной аудиторией Татарстана. Карта жителя Республики Татарстан охватывает 450 тыс. держателей, а только за 2024 год выдано 345 тыс. карт; среди держателей — 115 тыс. школьников, обороты по картам за школьное питание превысили 147,5 млн рублей [28, с. 29]. Такая встроенность банка в социальную инфраструктуру региона даёт Face2 готовую площадку для пилотов и распространения сценариев — от прохода в библиотеки до оплаты в школьных столовых.</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Цифровая зрелость банка делает биометрию частью продуктового ландшафта, а не экзотической надстройкой. Через мобильное приложение «Ак Барс Онлайн» за год прошло 12 млн транзакций, активная аудитория сервиса удержалась на уровне около 930 тыс. человек даже после удаления приложения из AppStore в начале 2024 года [28, с. 33]. Внутри приложения уже реализован функционал оплаты по биометрии [28, с. 33]. На портале государственных и муниципальных услуг Татарстана за год совершено 1,2 млн транзакций через Систему быстрых платежей при участии банка [28, с. 33]. Запущен биоэквайринг через СБП в Казанском метрополитене — проект банк ведёт совместно с Министерством цифрового развития, связи и массовых коммуникаций РФ, Министерством транспорта РФ, Центром биометрических технологий и Национальной системой платёжных карт [28, с. 30–31]. Параллельно идёт пилот биоэквайринга через СБП на POS-терминалах [28, с. 31]. Банк включён в реестр отечественного ПО Минцифры по системе ТЭКОМ — собственной платформе автоматических проверок и регистрации клиентов для торгового эквайринга [28, с. 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Внешнюю оценку устойчивости банку дают рейтинговые агентства. Сводные действующие рейтинги собраны в таблице 2.1.4.</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2.1.4</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Кредитные и ESG-рейтинги Ак Барс Банка по состоянию на конец 2024 года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8"/>
        <w:gridCol w:w="4819"/>
        <w:gridCol w:w="2650"/>
      </w:tblGrid>
      <w:tr>
        <w:trPr>
          <w:tblHeader/>
          <w:cantSplit/>
        </w:trPr>
        <w:tc>
          <w:tcPr>
            <w:tcW w:w="216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Агентство</w:t>
            </w:r>
          </w:p>
        </w:tc>
        <w:tc>
          <w:tcPr>
            <w:tcW w:w="48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Кредитный рейтинг</w:t>
            </w:r>
          </w:p>
        </w:tc>
        <w:tc>
          <w:tcPr>
            <w:tcW w:w="265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ESG-рейтинг</w:t>
            </w:r>
          </w:p>
        </w:tc>
      </w:tr>
      <w:tr>
        <w:trPr>
          <w:cantSplit/>
        </w:trPr>
        <w:tc>
          <w:tcPr>
            <w:tcW w:w="21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АКРА</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A(RU), стабильный</w:t>
            </w:r>
          </w:p>
        </w:tc>
        <w:tc>
          <w:tcPr>
            <w:tcW w:w="26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r>
        <w:trPr>
          <w:cantSplit/>
        </w:trPr>
        <w:tc>
          <w:tcPr>
            <w:tcW w:w="21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Эксперт РА</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ruA, стабильный (повышен в феврале 2024)</w:t>
            </w:r>
          </w:p>
        </w:tc>
        <w:tc>
          <w:tcPr>
            <w:tcW w:w="26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ESG-III(b)</w:t>
            </w:r>
          </w:p>
        </w:tc>
      </w:tr>
      <w:tr>
        <w:trPr>
          <w:cantSplit/>
        </w:trPr>
        <w:tc>
          <w:tcPr>
            <w:tcW w:w="21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НКР</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A.ru, позитивный</w:t>
            </w:r>
          </w:p>
        </w:tc>
        <w:tc>
          <w:tcPr>
            <w:tcW w:w="26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ESG-A</w:t>
            </w:r>
          </w:p>
        </w:tc>
      </w:tr>
      <w:tr>
        <w:trPr>
          <w:cantSplit/>
        </w:trPr>
        <w:tc>
          <w:tcPr>
            <w:tcW w:w="21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 России</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26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ESG-BBB, стабильный</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[28, с. 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Совокупность рейтингов «A» по национальной шкале и подтверждённого ESG-статуса формирует репутационный капитал, который банк переносит на дочерние продукты. Для B2B-заказчика Face2 это означает, что за биометрической системой стоит финансово устойчивый и аккредитованный по ESG банк, а не отдельный технологический стартап.</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Региональная сеть и численность персонала задают физические границы продукта. Банк держит 166 дополнительных офисов в Татарстане и других регионах России — на конец 2023 года их было 174 [26, с. 7]. Сокращение сети сопровождалось ростом штата: численность персонала увеличилась с 4 725 человек в 2023 году до 5 032 человек в 2024 году [26, с. 7]. Такой сдвиг означает, что банк концентрирует функции в более крупных и технологичных отделениях, а часть нагрузки перекладывает на цифровые каналы. Эта же сеть стала первой площадкой для тестирования и масштабирования биометрических решений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Биометрия — одно из инновационных направлений, в котором финансовая база банка соединяется с собственной технологической разработкой. Face2 закрепляет это направление как самостоятельный продуктовый бренд, а не как внутренний ИТ-проект.</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Команда Face2 много лет экспериментировала с разными методами обработки изображений и сосредоточилась на компьютерном зрении [27]. Точкой старта стал тестовый биометрический проект 2019 года в офисах самого банка. Хронология развития проекта собрана в таблице 2.1.5.</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2.1.5</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Хронология развития проекта Face2</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3"/>
        <w:gridCol w:w="8504"/>
      </w:tblGrid>
      <w:tr>
        <w:trPr>
          <w:tblHeader/>
          <w:cantSplit/>
        </w:trPr>
        <w:tc>
          <w:tcPr>
            <w:tcW w:w="113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Год</w:t>
            </w:r>
          </w:p>
        </w:tc>
        <w:tc>
          <w:tcPr>
            <w:tcW w:w="850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Ключевое событие</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2019</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Тестовый биометрический проект в офисах Ак Барс Банка</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2022</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Создание бренда Face2; запуск сервисов доступа на территорию без карточек и выдачи книг в библиотеках без документов</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2023</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Создание коммерческой биометрической системы (КБС) и аккредитация Минцифры России (Решение № 4-А от 15.11.2023)</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2024</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Запуск оплаты по лицу, в том числе в Казанском метрополитене</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2025</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Запуск сервисов подтверждения возраста и регистрации в гостинице без паспорта</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Хронология показывает три фазы. Внутренний эксперимент 2019–2022 годов закладывал технологию и команду. Регуляторное оформление 2023 года давало юридическую оболочку и доступ к векторам ГИС ЕБС. Выход на массовые сценарии в 2024–2025 годах разворачивал продукт в транспорте, торговле и гостеприимстве. Каждая следующая фаза опирается на накопленную в предыдущей базу: сначала отладка на собственных сотрудниках, затем юридическая оболочка КБС, затем коммерческие сценарии для внешних заказчиков.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Регуляторный контур Face2 определяет 572-ФЗ от 29 декабря 2022 года — закон отдаёт сбор биометрии лица только аккредитованным организациям и обязывает хранить векторы в Государственной информационной системе ЕБС [27]. Аутентификация по биометрии разрешена только аккредитованным организациям и только при согласии гражданина [27]. Решение Минцифры России № 4-А от 15 ноября 2023 года вписало банк в число первых в стране операторов КБС, которые могут оказывать услуги на основе векторов из ГИС ЕБС [27]. Этот статус — главная разделительная линия между Face2 и локальными биометрическими системами на рынке: локальные решения нарушают 572-ФЗ, не сертифицированы ФСБ России и не обеспечивают защиты биометрических данных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Технологическое ядро Face2 строится на компьютерном зрении и подчинено требованиям 572-ФЗ. Система Face2Pass прошла сертификацию ФСБ и ФСТЭК и попала в реестр отечественного программного обеспечения [27]. Заявленная точность распознавания — 99,5%, среднее время сканирования при благоприятных условиях — около двух секунд [27]. Архитектура работы с данными показана на рисунке 2.1.3.</w:t>
      </w:r>
    </w:p>
    <w:p>
      <w:pPr>
        <w:keepNext/>
        <w:keepLines/>
        <w:spacing w:before="12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w:t>
      </w:r>
    </w:p>
    <w:p>
      <w:pPr>
        <w:keepNext/>
        <w:keepLines/>
        <w:spacing w:before="120" w:after="60" w:line="240" w:lineRule="auto"/>
        <w:jc w:val="center"/>
        <w:rPr>
          <w:rFonts w:ascii="Times New Roman" w:hAnsi="Times New Roman" w:cs="Times New Roman" w:eastAsia="Times New Roman"/>
          <w:sz w:val="28"/>
          <w:szCs w:val="28"/>
          <w:lang w:val="ru-RU"/>
        </w:rPr>
      </w:pPr>
      <w:r>
        <w:drawing>
          <wp:inline distT="0" distB="0" distL="0" distR="0">
            <wp:extent cx="5760000" cy="3420000"/>
            <wp:effectExtent l="0" t="0" r="0" b="0"/>
            <wp:docPr id="1003" name="Drawing1003"/>
            <wp:cNvGraphicFramePr/>
            <a:graphic>
              <a:graphicData uri="http://schemas.microsoft.com/office/word/2010/wordprocessingGroup">
                <wpg:wgp>
                  <wpg:cNvGrpSpPr/>
                  <wpg:grpSpPr>
                    <a:xfrm>
                      <a:off x="0" y="0"/>
                      <a:ext cx="5760000" cy="3420000"/>
                      <a:chOff x="0" y="0"/>
                      <a:chExt cx="5760000" cy="3420000"/>
                    </a:xfrm>
                  </wpg:grpSpPr>
                  <wps:wsp>
                    <wps:cNvPr id="1301" name="Client1301"/>
                    <wps:cNvSpPr/>
                    <wps:spPr>
                      <a:xfrm>
                        <a:off x="180000" y="108000"/>
                        <a:ext cx="1620000" cy="576000"/>
                      </a:xfrm>
                      <a:prstGeom prst="rect">
                        <a:avLst/>
                      </a:prstGeom>
                      <a:solidFill>
                        <a:srgbClr val="D9E2F3"/>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1F4E79"/>
                              <w:sz w:val="22"/>
                              <w:szCs w:val="22"/>
                              <w:lang w:val="ru-RU"/>
                            </w:rPr>
                            <w:t xml:space="preserve">Клиент</w:t>
                          </w:r>
                        </w:p>
                      </w:txbxContent>
                    </wps:txbx>
                    <wps:bodyPr rot="0" spcFirstLastPara="0" vertOverflow="visible" horzOverflow="visible" wrap="square" lIns="36000" tIns="36000" rIns="36000" bIns="36000" anchor="ctr" anchorCtr="0" upright="1">
                      <a:noAutofit/>
                    </wps:bodyPr>
                  </wps:wsp>
                  <wps:wsp>
                    <wps:cNvPr id="1302" name="EBS1302"/>
                    <wps:cNvSpPr/>
                    <wps:spPr>
                      <a:xfrm>
                        <a:off x="3960000" y="108000"/>
                        <a:ext cx="1620000" cy="576000"/>
                      </a:xfrm>
                      <a:prstGeom prst="rect">
                        <a:avLst/>
                      </a:prstGeom>
                      <a:solidFill>
                        <a:srgbClr val="1F4E79"/>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ГИС ЕБС</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(Минцифры РФ)</w:t>
                          </w:r>
                        </w:p>
                      </w:txbxContent>
                    </wps:txbx>
                    <wps:bodyPr rot="0" spcFirstLastPara="0" vertOverflow="visible" horzOverflow="visible" wrap="square" lIns="36000" tIns="36000" rIns="36000" bIns="36000" anchor="ctr" anchorCtr="0" upright="1">
                      <a:noAutofit/>
                    </wps:bodyPr>
                  </wps:wsp>
                  <wps:wsp>
                    <wps:cNvPr id="1303" name="Line1303"/>
                    <wps:cNvCnPr/>
                    <wps:spPr>
                      <a:xfrm>
                        <a:off x="1835999" y="396000"/>
                        <a:ext cx="2088000" cy="1"/>
                      </a:xfrm>
                      <a:prstGeom prst="line">
                        <a:avLst/>
                      </a:prstGeom>
                      <a:ln w="12700">
                        <a:solidFill>
                          <a:srgbClr val="1F4E79"/>
                        </a:solidFill>
                        <a:tailEnd type="triangle" w="med" len="med"/>
                      </a:ln>
                    </wps:spPr>
                    <wps:bodyPr/>
                  </wps:wsp>
                  <wps:wsp>
                    <wps:cNvPr id="1304" name="ArrowLabel1304"/>
                    <wps:cNvSpPr txBox="1"/>
                    <wps:spPr>
                      <a:xfrm>
                        <a:off x="1835999" y="180000"/>
                        <a:ext cx="2088000"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i/>
                              <w:iCs/>
                              <w:color w:val="7F7F7F"/>
                              <w:sz w:val="16"/>
                              <w:szCs w:val="16"/>
                              <w:lang w:val="ru-RU"/>
                            </w:rPr>
                            <w:t xml:space="preserve">упрощённая биометрия</w:t>
                          </w:r>
                        </w:p>
                      </w:txbxContent>
                    </wps:txbx>
                    <wps:bodyPr rot="0" spcFirstLastPara="0" vertOverflow="visible" horzOverflow="visible" wrap="square" lIns="36000" tIns="36000" rIns="36000" bIns="36000" anchor="ctr" anchorCtr="0" upright="1">
                      <a:noAutofit/>
                    </wps:bodyPr>
                  </wps:wsp>
                  <wps:wsp>
                    <wps:cNvPr id="1305" name="KBS1305"/>
                    <wps:cNvSpPr/>
                    <wps:spPr>
                      <a:xfrm>
                        <a:off x="1800000" y="1188000"/>
                        <a:ext cx="2160000" cy="648000"/>
                      </a:xfrm>
                      <a:prstGeom prst="rect">
                        <a:avLst/>
                      </a:prstGeom>
                      <a:solidFill>
                        <a:srgbClr val="2E75B6"/>
                      </a:solidFill>
                      <a:ln w="12700">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4"/>
                              <w:szCs w:val="24"/>
                              <w:lang w:val="ru-RU"/>
                            </w:rPr>
                            <w:t xml:space="preserve">КБС Ак Барс Банк (Face2)</w:t>
                          </w:r>
                        </w:p>
                      </w:txbxContent>
                    </wps:txbx>
                    <wps:bodyPr rot="0" spcFirstLastPara="0" vertOverflow="visible" horzOverflow="visible" wrap="square" lIns="36000" tIns="36000" rIns="36000" bIns="36000" anchor="ctr" anchorCtr="0" upright="1">
                      <a:noAutofit/>
                    </wps:bodyPr>
                  </wps:wsp>
                  <wps:wsp>
                    <wps:cNvPr id="1306" name="Line1306"/>
                    <wps:cNvCnPr/>
                    <wps:spPr>
                      <a:xfrm>
                        <a:off x="990000" y="684000"/>
                        <a:ext cx="1062000" cy="503999"/>
                      </a:xfrm>
                      <a:prstGeom prst="line">
                        <a:avLst/>
                      </a:prstGeom>
                      <a:ln w="12700">
                        <a:solidFill>
                          <a:srgbClr val="1F4E79"/>
                        </a:solidFill>
                        <a:tailEnd type="triangle" w="med" len="med"/>
                      </a:ln>
                    </wps:spPr>
                    <wps:bodyPr/>
                  </wps:wsp>
                  <wps:wsp>
                    <wps:cNvPr id="1307" name="L11307"/>
                    <wps:cNvSpPr txBox="1"/>
                    <wps:spPr>
                      <a:xfrm>
                        <a:off x="360000" y="846000"/>
                        <a:ext cx="900000"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i/>
                              <w:iCs/>
                              <w:color w:val="7F7F7F"/>
                              <w:sz w:val="16"/>
                              <w:szCs w:val="16"/>
                              <w:lang w:val="ru-RU"/>
                            </w:rPr>
                            <w:t xml:space="preserve">согласие на КБС АББ</w:t>
                          </w:r>
                        </w:p>
                      </w:txbxContent>
                    </wps:txbx>
                    <wps:bodyPr rot="0" spcFirstLastPara="0" vertOverflow="visible" horzOverflow="visible" wrap="square" lIns="36000" tIns="36000" rIns="36000" bIns="36000" anchor="ctr" anchorCtr="0" upright="1">
                      <a:noAutofit/>
                    </wps:bodyPr>
                  </wps:wsp>
                  <wps:wsp>
                    <wps:cNvPr id="1308" name="Line1308"/>
                    <wps:cNvCnPr/>
                    <wps:spPr>
                      <a:xfrm flipH="1">
                        <a:off x="3708000" y="684000"/>
                        <a:ext cx="1061999" cy="503999"/>
                      </a:xfrm>
                      <a:prstGeom prst="line">
                        <a:avLst/>
                      </a:prstGeom>
                      <a:ln w="12700">
                        <a:solidFill>
                          <a:srgbClr val="1F4E79"/>
                        </a:solidFill>
                        <a:tailEnd type="triangle" w="med" len="med"/>
                      </a:ln>
                    </wps:spPr>
                    <wps:bodyPr/>
                  </wps:wsp>
                  <wps:wsp>
                    <wps:cNvPr id="1309" name="L21309"/>
                    <wps:cNvSpPr txBox="1"/>
                    <wps:spPr>
                      <a:xfrm>
                        <a:off x="3780000" y="846000"/>
                        <a:ext cx="900000"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i/>
                              <w:iCs/>
                              <w:color w:val="7F7F7F"/>
                              <w:sz w:val="16"/>
                              <w:szCs w:val="16"/>
                              <w:lang w:val="ru-RU"/>
                            </w:rPr>
                            <w:t xml:space="preserve">вектор</w:t>
                          </w:r>
                        </w:p>
                      </w:txbxContent>
                    </wps:txbx>
                    <wps:bodyPr rot="0" spcFirstLastPara="0" vertOverflow="visible" horzOverflow="visible" wrap="square" lIns="36000" tIns="36000" rIns="36000" bIns="36000" anchor="ctr" anchorCtr="0" upright="1">
                      <a:noAutofit/>
                    </wps:bodyPr>
                  </wps:wsp>
                  <wps:wsp>
                    <wps:cNvPr id="1310" name="Line1310"/>
                    <wps:cNvCnPr/>
                    <wps:spPr>
                      <a:xfrm flipH="1">
                        <a:off x="1035000" y="1835999"/>
                        <a:ext cx="1845000" cy="504000"/>
                      </a:xfrm>
                      <a:prstGeom prst="line">
                        <a:avLst/>
                      </a:prstGeom>
                      <a:ln w="12700">
                        <a:solidFill>
                          <a:srgbClr val="1F4E79"/>
                        </a:solidFill>
                        <a:tailEnd type="triangle" w="med" len="med"/>
                      </a:ln>
                    </wps:spPr>
                    <wps:bodyPr/>
                  </wps:wsp>
                  <wps:wsp>
                    <wps:cNvPr id="1311" name="Prod01311"/>
                    <wps:cNvSpPr/>
                    <wps:spPr>
                      <a:xfrm>
                        <a:off x="225000" y="2340000"/>
                        <a:ext cx="1620000" cy="648000"/>
                      </a:xfrm>
                      <a:prstGeom prst="rect">
                        <a:avLst/>
                      </a:prstGeom>
                      <a:solidFill>
                        <a:srgbClr val="D9E2F3"/>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1F4E79"/>
                              <w:sz w:val="22"/>
                              <w:szCs w:val="22"/>
                              <w:lang w:val="ru-RU"/>
                            </w:rPr>
                            <w:t xml:space="preserve">Face2Pay</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оплата по лицу</w:t>
                          </w:r>
                        </w:p>
                      </w:txbxContent>
                    </wps:txbx>
                    <wps:bodyPr rot="0" spcFirstLastPara="0" vertOverflow="visible" horzOverflow="visible" wrap="square" lIns="36000" tIns="36000" rIns="36000" bIns="36000" anchor="ctr" anchorCtr="0" upright="1">
                      <a:noAutofit/>
                    </wps:bodyPr>
                  </wps:wsp>
                  <wps:wsp>
                    <wps:cNvPr id="1312" name="Line1312"/>
                    <wps:cNvCnPr/>
                    <wps:spPr>
                      <a:xfrm>
                        <a:off x="2880000" y="1835999"/>
                        <a:ext cx="1" cy="504000"/>
                      </a:xfrm>
                      <a:prstGeom prst="line">
                        <a:avLst/>
                      </a:prstGeom>
                      <a:ln w="12700">
                        <a:solidFill>
                          <a:srgbClr val="1F4E79"/>
                        </a:solidFill>
                        <a:tailEnd type="triangle" w="med" len="med"/>
                      </a:ln>
                    </wps:spPr>
                    <wps:bodyPr/>
                  </wps:wsp>
                  <wps:wsp>
                    <wps:cNvPr id="1313" name="Prod11313"/>
                    <wps:cNvSpPr/>
                    <wps:spPr>
                      <a:xfrm>
                        <a:off x="2070000" y="2340000"/>
                        <a:ext cx="1620000" cy="648000"/>
                      </a:xfrm>
                      <a:prstGeom prst="rect">
                        <a:avLst/>
                      </a:prstGeom>
                      <a:solidFill>
                        <a:srgbClr val="D9E2F3"/>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1F4E79"/>
                              <w:sz w:val="22"/>
                              <w:szCs w:val="22"/>
                              <w:lang w:val="ru-RU"/>
                            </w:rPr>
                            <w:t xml:space="preserve">Face2Pass</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контроль доступа</w:t>
                          </w:r>
                        </w:p>
                      </w:txbxContent>
                    </wps:txbx>
                    <wps:bodyPr rot="0" spcFirstLastPara="0" vertOverflow="visible" horzOverflow="visible" wrap="square" lIns="36000" tIns="36000" rIns="36000" bIns="36000" anchor="ctr" anchorCtr="0" upright="1">
                      <a:noAutofit/>
                    </wps:bodyPr>
                  </wps:wsp>
                  <wps:wsp>
                    <wps:cNvPr id="1314" name="Line1314"/>
                    <wps:cNvCnPr/>
                    <wps:spPr>
                      <a:xfrm>
                        <a:off x="2880000" y="1835999"/>
                        <a:ext cx="1845000" cy="504000"/>
                      </a:xfrm>
                      <a:prstGeom prst="line">
                        <a:avLst/>
                      </a:prstGeom>
                      <a:ln w="12700">
                        <a:solidFill>
                          <a:srgbClr val="1F4E79"/>
                        </a:solidFill>
                        <a:tailEnd type="triangle" w="med" len="med"/>
                      </a:ln>
                    </wps:spPr>
                    <wps:bodyPr/>
                  </wps:wsp>
                  <wps:wsp>
                    <wps:cNvPr id="1315" name="Prod21315"/>
                    <wps:cNvSpPr/>
                    <wps:spPr>
                      <a:xfrm>
                        <a:off x="3915000" y="2340000"/>
                        <a:ext cx="1620000" cy="648000"/>
                      </a:xfrm>
                      <a:prstGeom prst="rect">
                        <a:avLst/>
                      </a:prstGeom>
                      <a:solidFill>
                        <a:srgbClr val="D9E2F3"/>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1F4E79"/>
                              <w:sz w:val="22"/>
                              <w:szCs w:val="22"/>
                              <w:lang w:val="ru-RU"/>
                            </w:rPr>
                            <w:t xml:space="preserve">Face2Check-in</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подтверждение возраста</w:t>
                          </w:r>
                        </w:p>
                      </w:txbxContent>
                    </wps:txbx>
                    <wps:bodyPr rot="0" spcFirstLastPara="0" vertOverflow="visible" horzOverflow="visible" wrap="square" lIns="36000" tIns="36000" rIns="36000" bIns="36000" anchor="ctr" anchorCtr="0" upright="1">
                      <a:noAutofit/>
                    </wps:bodyPr>
                  </wps:wsp>
                </wpg:wgp>
              </a:graphicData>
            </a:graphic>
          </wp:inline>
        </w:drawing>
      </w:r>
    </w:p>
    <w:p>
      <w:pPr>
        <w:keepLines/>
        <w:spacing w:before="60" w:after="20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Рис. 2.1.3. Архитектура взаимодействия Face2 с ГИС ЕБС в контуре коммерческой биометрической системы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Схема снимает один из ключевых барьеров доверия к биометрии: клиент сдаёт упрощённую биометрию через приложение «Госуслуги Биометрия», вектор хранится в государственной системе, а банк получает обезличенный вектор только по явному согласию пользователя [27]. Криптозащита и сертификация ФСБ закрывают риски утечки и подделки.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Пользовательский путь подключения к Face2 укладывается в четыре шага: установка приложения «Госуслуги Биометрия», сдача упрощённой биометрии через приложение, согласие на использование биометрического вектора КБС Ак Барс Банка, проход в офис или оплата по лицу [27]. Каждый шаг — за пределами контура самого заказчика, что снимает с клиентского бизнеса нагрузку по сбору и хранению чувствительных данных. Со стороны заказчика для запуска требуется только турникет, совместимый с биотерминалами, стабильное интернет-соединение со скоростью не менее 10 Мбит/с и непрерывностью работы канала не менее 95%, а также доступ к базовой СКУД-системе [27]. Низкий порог входа по инфраструктуре — один из ключевых аргументов в продвижении.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Линейка Face2 охватывает несколько крупных направлений и собирается вокруг базовой системы КБС, при этом продажи распадаются на два экономически разных уровня. Первый уровень — поставка полного контура коммерческой биометрической системы аккредитованной организации-оператору биометрии (банку-партнёру или государственной структуре, имеющей право регистрировать биометрические векторы в ЕБС): заказчику передаётся полный программный стек Face2 — модули «КБС API», «Face2Pay (Биоэквайринг)», «Проверка живости: пассивный liveness» и «Face2SDK» — с обязательными интеграциями ЕСИА, ЕБС, СМЭВ и КриптоПро DSS, разворачиваемыми у поставщика услуг через инсталлятор Helm или Ansible на серверах приложений и БД в защищённом контуре [47; 48]. На этом уровне сам заказчик должен быть зарегистрирован в ЕСИА как юридическое лицо и аккредитован для предоставления услуг с использованием биометрических данных, что отсекает от уровня 1 любые организации без профильного регуляторного статуса [47]. Второй уровень — подключение конечного объекта (магазина, турникета, бизнес-центра, спортивной арены, точки продажи алкоголя) к КБС, размещённой у Ак Барс Банка: заказчик не получает аккредитацию и не разворачивает у себя контур биометрии, а пользуется им как сервисом, платя по транзакционной или абонементной модели за число операций или количество подключённых точек, а в качестве клиентского ПО используется готовый Face2SDK или биотерминал [27; 48]. Состав продуктов и целевые сегменты с разнесением по этим двум уровням показаны в таблице 2.1.6.</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2.1.6</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Линейка продуктов Face2 в разрезе двух уровней продажи и экономики</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7"/>
        <w:gridCol w:w="1927"/>
        <w:gridCol w:w="1927"/>
        <w:gridCol w:w="1927"/>
        <w:gridCol w:w="1927"/>
      </w:tblGrid>
      <w:tr>
        <w:trPr>
          <w:tblHeader/>
          <w:cantSplit/>
        </w:trPr>
        <w:tc>
          <w:tcPr>
            <w:tcW w:w="192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Уровень продажи</w:t>
            </w:r>
          </w:p>
        </w:tc>
        <w:tc>
          <w:tcPr>
            <w:tcW w:w="192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Продукт</w:t>
            </w:r>
          </w:p>
        </w:tc>
        <w:tc>
          <w:tcPr>
            <w:tcW w:w="192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Решаемая задача</w:t>
            </w:r>
          </w:p>
        </w:tc>
        <w:tc>
          <w:tcPr>
            <w:tcW w:w="192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Целевые сегменты</w:t>
            </w:r>
          </w:p>
        </w:tc>
        <w:tc>
          <w:tcPr>
            <w:tcW w:w="192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Экономическая модель</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1. КБС под ключ для банка-партнёра / организации-оператора биометрии</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под ключ — полный контур Face2: модули «КБС API», «Face2Pay (Биоэквайринг)», «Проверка живости: пассивный liveness», «Face2SDK»; интеграции ЕСИА, ЕБС (через ТИБ ЕБС и Крипто канал), СМЭВ, КриптоПро DSS; дистрибутивы Helm и Ansible</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Передача аккредитованной организации полного программного контура коммерческой биометрической системы для самостоятельной работы оператором биометрии в собственной розничной или корпоративной экосистеме</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Банки и МФО, аккредитованные Минцифры по правилам КБС и имеющие статус оператора по № 115-ФЗ; государственные и квазигосударственные структуры федерального и регионального уровня; крупные корпорации федерального масштаба, готовые получать профильные аккредитации</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Единичные крупные сделки: лицензия + работы по развёртыванию (инсталлятор, серверы приложений и БД, интеграции с ЕСИА, ЕБС, СМЭВ, КриптоПро DSS) + сопровождение и SLA. Длинный цикл сделки, выручка с одной сделки — от десятков до сотен миллионов рублей</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 Face2Pay / Face2Pass / Face2Check-in для конечного объекта</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 (биоэквайринг)</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Оплата товаров и услуг распознаванием лица через КБС Ак Барс Банка без переноса биометрической инфраструктуры в контур заказчика</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Ритейл, метрополитен и общественный транспорт, вендинговые сети, маркетплейсы, киоски самообслуживания</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Транзакционная модель: подключение объекта или POS-терминала по типовому договору, выручка с числа платежей или фиксированный платёж за подключённый POS. Короткий цикл подключения, выручка с одного объекта — десятки — сотни тысяч рублей в месяц</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 Face2Pay / Face2Pass / Face2Check-in для конечного объекта</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 и Face2Pass.Terminal</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СКУД на основе распознавания лиц на режимных объектах с использованием биометрических векторов из ЕБС, без необходимости заказчику получать собственную аккредитацию</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Заводы, бизнес-центры, ВУЗы, площадки массовых мероприятий, складские и логистические комплексы</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Лицензия на объект + поставка биотерминалов. Выручка с одного объекта складывается из единовременной поставки оборудования и абонементной платы за подключение к КБС</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 Face2Pay / Face2Pass / Face2Check-in для конечного объекта</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Face2Check-in</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Подтверждение возраста и личности на чувствительных площадках по биометрическому вектору из ЕБС</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Аэропорты, спортивные объекты, гостиничный сектор, точки продажи алкоголя и рецептурных лекарств</w:t>
            </w:r>
          </w:p>
        </w:tc>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Подключение объекта по транзакционной или абонементной модели; единица продажи — отдельная точка продаж или зона контроля</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 47, разд. «Требования к окружению», «Системные требования», «Варианты развертывания»; 48, разд. «Описание функциональных возможностей продукта»]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Разделение на два уровня показывает, что один и тот же программный фундамент Face2 продаётся в двух экономически разных моделях. Первый уровень даёт банку единичные крупные сделки длительного цикла с аккредитованными контрагентами (банки, госструктуры, корпорации федерального масштаба), второй — массу типовых подключений конечных объектов с быстрой выручкой по транзакционной или абонементной схеме. Такая раскладка позволяет банку работать сразу в нескольких сегментах B2B и B2G и не привязываться к одному типу заказчика, но требует разной маркетинговой логики для каждого уровня: длинной экспертной коммуникации с аккредитованной организацией на первом уровне и короткой продуктовой коммуникации с конечным объектом на втором.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Помимо распознавания лиц Face2Pass расширяется в сторону видеоаналитики режимных объектов: обнаружение драк, упавших людей, оружия и подозрительных предметов, распознавание автомобильных номеров на парковках, подсчёт людей в очереди и в торговом зале [27]. Дополнительные сценарии помогают продавать систему вместе с услугой контроля доступа и снижают порог входа для заказчика, у которого видеоаналитика и СКУД покупаются одним пакетом.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Внешние партнёрства и пилотные внедрения 2024 года показывают, что Face2 уже вышел за пределы внутреннего контура группы. Биоэквайринг в Казанском метрополитене реализован совместно с Минцифры России, Минтрансом России, Центром биометрических технологий и Национальной системой платёжных карт [28, с. 30–31]. Проект «Электронный читательский билет» позволяет посещать Национальную библиотеку Республики Татарстан по биометрии, а сдать биометрию можно прямо в мобильном приложении «Карта жителя Республики Татарстан» [28, с. 29]. Биоэквайринг через СБП на POS-терминалах развивается как отдельная пилотная линия [28, с. 31]. Совокупность партнёров федерального уровня и социальных сценариев в Татарстане формирует первую референтную базу для масштабирования продукта на другие регионы.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Опорной площадкой для отладки продукта остаётся сам банк. Сервисом прохода по биометрии пользуются больше пяти тысяч сотрудников, во всех офисах и отделениях установлено около двухсот биотерминалов, через них же ведётся учёт рабочего времени [27]. Внутренняя инсталляция работает постоянно и даёт команде площадку для проверки решения в реальной нагрузке. Накопленный там опыт банк переносит во внешние коммерческие проекты: масштаб клиентских внедрений колеблется от двухсот до пятнадцати тысяч биометрических векторов на одну инсталляцию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Регуляторная среда вокруг продукта ужесточается. Федеральные законы № 420-ФЗ и № 421-ФЗ от 30 ноября 2024 года ввели крупные административные штрафы и уголовную ответственность за неправомерное обращение с биометрическими персональными данными [27]. Незаконное использование, передача, сбор или хранение компьютерной информации с биометрическими данными карается лишением свободы до пяти лет, а административный штраф за неправомерную передачу таких данных оператором достигает 20 млн рублей и при повторе доходит до 1–3% годового дохода компании [27]. Усиление наказаний делает аккредитацию КБС и сертификацию ФСБ конкурентным преимуществом, а не формальностью.</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Получившаяся характеристика складывается из двух уровней. На верхнем — крупный региональный банк со штаб-квартирой в Казани, концентрированной акционерной базой, рейтингами «A» по национальной шкале, утверждённой стратегией с тремя приоритетами «эффективность — клиентоцентричность — гибкость», клиентской базой почти в миллион физических лиц и развитой цифровой инфраструктурой. На нижнем — собственный биометрический продукт с государственной аккредитацией, сертификацией ФСБ, отлаженной внутренней инсталляцией, понятной продуктовой линейкой для четырёх целевых сегментов B2B и первой коммерческой референтной базой в виде проектов с Минцифры, Минтрансом и НСПК. Эти исходные данные задают точку старта для дальнейшего анализа: дальше нужно понять, в каком конкурентном окружении Face2 выходит на рынок, какие игроки уже работают в этой нише и какие ограничения сдерживают спрос на коммерческую биометрию.</w:t>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2.2. Анализ рынка биометрии и конкурентной среды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Параграф 2.1 описал Face2 как объект продвижения и Ак Барс Банк как разработчика. Чтобы стратегия продвижения опиралась не только на внутренние характеристики продукта, но и на внешний контекст, в этом параграфе решаются четыре связанные задачи. Сначала фиксируется масштаб и фаза российского рынка биометрии — без этого невозможно оценить, насколько ёмкое окружение, в которое выходит Face2. Затем разбирается сегментная структура рынка и регуляторно-инфраструктурный контур, формирующий правила игры для всех участников. На полученной фактической базе строится сводный PESTEL-анализ макросреды, переводящий разрозненные внешние факторы в управленческий вход для стратегии продвижения. На этой основе строится карта конкурентов, дополняется анализом пяти конкурентных сил М. Портера и переводится в сравнительный анализ Face2 с ключевыми игроками — банками-разработчиками биометрических сервисов и технологическими вендорами. Финальная часть формулирует конкурентную позицию Face2 и пробелы, на которые опирается план продвижения в главе 3.</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Объём и динамика российского рынка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Мировой рынок биометрических систем перешёл в фазу массовой коммерциализации задолго до запуска Face2. По оценке Банка России и привлечённых им аналитиков J’son &amp; Partners Consulting, объём мирового рынка биометрических систем в 2016 году составил около 14,45 млрд долларов США при среднегодовом темпе роста (CAGR) на уровне 18,6%, а прогнозный объём к 2022 году оценивался в 40,2 млрд долларов США [35, с. 3]. На отпечатки пальцев в 2016 году приходилось более 50% всего объёма рынка, на изображение лица — 21,6%, на радужную оболочку — 10,2%, на голос — 4%, на рисунок вен — 3% [35, с. 4]. Отдельно регулятор фиксировал, что финансовый сектор формирует около 15% мирового рынка биометрии и относится к самым быстрорастущим коммерческим сегментам наряду с государственными сервисами и иммиграционным контролем [35, с. 6]. Эти данные определяют долгосрочный фон: биометрия в финансовом секторе развивалась как мировой тренд, а не локальное российское явление, и российский рынок встроился в этот тренд через государственную инфраструктуру удалённой идентификации.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Российская инфраструктура биометрической идентификации сформировалась в три этапа. В 2017 году был принят Федеральный закон от 31 декабря 2017 года № 482-ФЗ, закрепивший возможность проведения удалённой идентификации, в первом квартале 2018 года Банком России и «Ростелекомом» создана Единая биометрическая система, а 30 июня 2018 года механизм удалённой идентификации запущен в коммерческую эксплуатацию [34]. На 1 января 2021 года услуга сбора биометрических данных предоставлялась более чем в 13,3 тыс. структурных подразделений банков [34]. Конец 2021 года — точка институционального перехода: ЕБС получила статус государственной информационной системы, к ней подключились все банки, а оператором ЕБС было определено АО «Центр биометрических технологий» [38; 42]. С 1 января 2023 года вступил в силу Федеральный закон от 29 декабря 2022 года № 572-ФЗ, который зафиксировал обязательное хранение биометрических данных только в ГИС ЕБС и разрешил аутентификацию по биометрии только аккредитованным организациям при письменном согласии гражданина [33]. Эта последовательность нормативных и инфраструктурных шагов превратила биометрию из набора пилотных проектов в регулируемую государством рыночную инфраструктуру.</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Современный российский рынок биометрических платежей перешёл в фазу массового коммерческого использования в 2024–2025 годах. По данным Банка России, за первые девять месяцев 2025 года в России совершено 145,9 млн биометрических платежей, что в девять раз больше, чем за аналогичный период 2024 года, а денежный оборот этих платежей вырос почти в пять раз и достиг 112,5 млрд рублей [38]. К началу 2026 года в Единой биометрической системе зарегистрировались более 10 млн пользователей [38]. Эти цифры разворачивают картину рынка, на которую выходит Face2: ёмкое окружение, девятикратный годовой рост числа транзакций, сформированная инфраструктура и аккредитованный круг операторов, в который банк успел войти одним из первых.</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Поквартальная статистика Банка России разворачивает динамику более детально. Во II квартале 2025 года биоэквайрингом воспользовались около 60 млн раз, оплатив товары и услуги на сумму около 45 млрд рублей; число операций в 1,5 раза превысило показатель I квартала 2025 года и в 11 раз — показатель II квартала 2024 года [43]. Средний чек биометрической операции составил 770 рублей в апреле — июне 2025 года против 774 рублей кварталом ранее [43]. Сопоставимая динамика по QR-кодам в том же квартале — около 990 млн операций на сумму более 1,3 трлн рублей, превышение I квартала 2025 года на 25% по числу операций и на 16% по сумме [43]. Сопоставление двух инструментов оплаты показывает три устойчивых вывода. Первый — биоэквайринг растёт быстрее QR-эквайринга по темпам (+50% за квартал против +25%), но в 16 раз отстаёт от него по абсолютному масштабу количества операций. Второй — стабилизация среднего чека биометрической операции в районе 770 рублей подтверждает массовый розничный профиль сегмента: это уровень покупки в продуктовом магазине или общественном транспорте, а не премиальной транзакции. Третий — синхронность роста биометрии и QR-эквайринга означает, что оба канала встраиваются в общий тренд бесконтактной розницы и не вытесняют друг друга, а делят между собой нишу «оплата без карты». Сводные показатели динамики российского рынка биометрических платежей собраны в таблице 2.2.1.</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2.2.1</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Динамика российского рынка биометрических платежей по данным Банка России и оператора ЕБС</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9"/>
        <w:gridCol w:w="777"/>
        <w:gridCol w:w="777"/>
        <w:gridCol w:w="1709"/>
        <w:gridCol w:w="2953"/>
      </w:tblGrid>
      <w:tr>
        <w:trPr>
          <w:tblHeader/>
          <w:cantSplit/>
        </w:trPr>
        <w:tc>
          <w:tcPr>
            <w:tcW w:w="34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Показатель</w:t>
            </w:r>
          </w:p>
        </w:tc>
        <w:tc>
          <w:tcPr>
            <w:tcW w:w="77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II кв. 2024</w:t>
            </w:r>
          </w:p>
        </w:tc>
        <w:tc>
          <w:tcPr>
            <w:tcW w:w="77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I кв. 2025</w:t>
            </w:r>
          </w:p>
        </w:tc>
        <w:tc>
          <w:tcPr>
            <w:tcW w:w="170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II кв. 2025</w:t>
            </w:r>
          </w:p>
        </w:tc>
        <w:tc>
          <w:tcPr>
            <w:tcW w:w="295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Темп прироста II кв. 2025 / II кв. 2024</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Количество биометрических платежей, млн</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5,5</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40</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60</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11 раз</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Оборот по биометрическим платежам, млрд руб.</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30</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45</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 чек, руб.</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774</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770</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стабильно</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Количество QR-операций, млн</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790</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990</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Оборот по QR-операциям, трлн руб.</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1,12</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более 1,3</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Зарегистрированных пользователей в ЕБС, млн</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менее 5</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7</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более 10 (на нач. 2026)</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[34; 38; 43]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Соотношение цифр в таблице 2.2.1 показывает, что рост рынка идёт прежде всего по числу транзакций, а не по среднему чеку: количество операций за год увеличилось в 11 раз при стабильном среднем чеке около 770 рублей. Это означает, что биометрия закрепляется в сценариях массовых небольших платежей, а не премиальных операций, и подтверждает фазу проникновения технологии в повседневную розничную инфраструктуру. Графически динамика биометрических платежей за два квартала 2025 года представлена на рисунке 2.2.1.</w:t>
      </w:r>
    </w:p>
    <w:p>
      <w:pPr>
        <w:keepNext/>
        <w:keepLines/>
        <w:spacing w:before="12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[43]</w:t>
      </w:r>
    </w:p>
    <w:p>
      <w:pPr>
        <w:keepNext/>
        <w:keepLines/>
        <w:spacing w:before="120" w:after="60" w:line="240" w:lineRule="auto"/>
        <w:jc w:val="center"/>
        <w:rPr>
          <w:rFonts w:ascii="Times New Roman" w:hAnsi="Times New Roman" w:cs="Times New Roman" w:eastAsia="Times New Roman"/>
          <w:sz w:val="28"/>
          <w:szCs w:val="28"/>
          <w:lang w:val="ru-RU"/>
        </w:rPr>
      </w:pPr>
      <w:r>
        <w:drawing>
          <wp:inline distT="0" distB="0" distL="0" distR="0">
            <wp:extent cx="5760000" cy="2520000"/>
            <wp:effectExtent l="0" t="0" r="0" b="0"/>
            <wp:docPr id="1004" name="Drawing1004"/>
            <wp:cNvGraphicFramePr/>
            <a:graphic>
              <a:graphicData uri="http://schemas.microsoft.com/office/word/2010/wordprocessingGroup">
                <wpg:wgp>
                  <wpg:cNvGrpSpPr/>
                  <wpg:grpSpPr>
                    <a:xfrm>
                      <a:off x="0" y="0"/>
                      <a:ext cx="5760000" cy="2520000"/>
                      <a:chOff x="0" y="0"/>
                      <a:chExt cx="5760000" cy="2520000"/>
                    </a:xfrm>
                  </wpg:grpSpPr>
                  <wps:wsp>
                    <wps:cNvPr id="1401" name="ChartTitle1401"/>
                    <wps:cNvSpPr txBox="1"/>
                    <wps:spPr>
                      <a:xfrm>
                        <a:off x="0" y="72000"/>
                        <a:ext cx="2790000" cy="288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1F4E79"/>
                              <w:sz w:val="20"/>
                              <w:szCs w:val="20"/>
                              <w:lang w:val="ru-RU"/>
                            </w:rPr>
                            <w:t xml:space="preserve">Количество платежей, млн</w:t>
                          </w:r>
                        </w:p>
                      </w:txbxContent>
                    </wps:txbx>
                    <wps:bodyPr rot="0" spcFirstLastPara="0" vertOverflow="visible" horzOverflow="visible" wrap="square" lIns="36000" tIns="36000" rIns="36000" bIns="36000" anchor="ctr" anchorCtr="0" upright="1">
                      <a:noAutofit/>
                    </wps:bodyPr>
                  </wps:wsp>
                  <wps:wsp>
                    <wps:cNvPr id="1402" name="Line1402"/>
                    <wps:cNvCnPr/>
                    <wps:spPr>
                      <a:xfrm>
                        <a:off x="180000" y="396000"/>
                        <a:ext cx="1" cy="1871999"/>
                      </a:xfrm>
                      <a:prstGeom prst="line">
                        <a:avLst/>
                      </a:prstGeom>
                      <a:ln w="6350">
                        <a:solidFill>
                          <a:srgbClr val="7F7F7F"/>
                        </a:solidFill>
                      </a:ln>
                    </wps:spPr>
                    <wps:bodyPr/>
                  </wps:wsp>
                  <wps:wsp>
                    <wps:cNvPr id="1403" name="Line1403"/>
                    <wps:cNvCnPr/>
                    <wps:spPr>
                      <a:xfrm>
                        <a:off x="180000" y="2268000"/>
                        <a:ext cx="2610000" cy="1"/>
                      </a:xfrm>
                      <a:prstGeom prst="line">
                        <a:avLst/>
                      </a:prstGeom>
                      <a:ln w="6350">
                        <a:solidFill>
                          <a:srgbClr val="7F7F7F"/>
                        </a:solidFill>
                      </a:ln>
                    </wps:spPr>
                    <wps:bodyPr/>
                  </wps:wsp>
                  <wps:wsp>
                    <wps:cNvPr id="1404" name="Bar01404"/>
                    <wps:cNvSpPr/>
                    <wps:spPr>
                      <a:xfrm>
                        <a:off x="483187" y="2124000"/>
                        <a:ext cx="513749" cy="144000"/>
                      </a:xfrm>
                      <a:prstGeom prst="rect">
                        <a:avLst/>
                      </a:prstGeom>
                      <a:solidFill>
                        <a:srgbClr val="2E75B6"/>
                      </a:solidFill>
                      <a:ln w="0">
                        <a:solidFill>
                          <a:srgbClr val="2E75B6"/>
                        </a:solidFill>
                      </a:ln>
                    </wps:spPr>
                    <wps:bodyPr/>
                  </wps:wsp>
                  <wps:wsp>
                    <wps:cNvPr id="1405" name="Val1405"/>
                    <wps:cNvSpPr txBox="1"/>
                    <wps:spPr>
                      <a:xfrm>
                        <a:off x="375187" y="1908000"/>
                        <a:ext cx="729749" cy="216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5</w:t>
                          </w:r>
                        </w:p>
                      </w:txbxContent>
                    </wps:txbx>
                    <wps:bodyPr rot="0" spcFirstLastPara="0" vertOverflow="visible" horzOverflow="visible" wrap="square" lIns="36000" tIns="36000" rIns="36000" bIns="36000" anchor="ctr" anchorCtr="0" upright="1">
                      <a:noAutofit/>
                    </wps:bodyPr>
                  </wps:wsp>
                  <wps:wsp>
                    <wps:cNvPr id="1406" name="Year1406"/>
                    <wps:cNvSpPr txBox="1"/>
                    <wps:spPr>
                      <a:xfrm>
                        <a:off x="375187" y="2286000"/>
                        <a:ext cx="729749"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II'24</w:t>
                          </w:r>
                        </w:p>
                      </w:txbxContent>
                    </wps:txbx>
                    <wps:bodyPr rot="0" spcFirstLastPara="0" vertOverflow="visible" horzOverflow="visible" wrap="square" lIns="36000" tIns="36000" rIns="36000" bIns="36000" anchor="ctr" anchorCtr="0" upright="1">
                      <a:noAutofit/>
                    </wps:bodyPr>
                  </wps:wsp>
                  <wps:wsp>
                    <wps:cNvPr id="1407" name="Bar11407"/>
                    <wps:cNvSpPr/>
                    <wps:spPr>
                      <a:xfrm>
                        <a:off x="1228125" y="1116000"/>
                        <a:ext cx="513749" cy="1152000"/>
                      </a:xfrm>
                      <a:prstGeom prst="rect">
                        <a:avLst/>
                      </a:prstGeom>
                      <a:solidFill>
                        <a:srgbClr val="2E75B6"/>
                      </a:solidFill>
                      <a:ln w="0">
                        <a:solidFill>
                          <a:srgbClr val="2E75B6"/>
                        </a:solidFill>
                      </a:ln>
                    </wps:spPr>
                    <wps:bodyPr/>
                  </wps:wsp>
                  <wps:wsp>
                    <wps:cNvPr id="1408" name="Val1408"/>
                    <wps:cNvSpPr txBox="1"/>
                    <wps:spPr>
                      <a:xfrm>
                        <a:off x="1120125" y="900000"/>
                        <a:ext cx="729749" cy="216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40</w:t>
                          </w:r>
                        </w:p>
                      </w:txbxContent>
                    </wps:txbx>
                    <wps:bodyPr rot="0" spcFirstLastPara="0" vertOverflow="visible" horzOverflow="visible" wrap="square" lIns="36000" tIns="36000" rIns="36000" bIns="36000" anchor="ctr" anchorCtr="0" upright="1">
                      <a:noAutofit/>
                    </wps:bodyPr>
                  </wps:wsp>
                  <wps:wsp>
                    <wps:cNvPr id="1409" name="Year1409"/>
                    <wps:cNvSpPr txBox="1"/>
                    <wps:spPr>
                      <a:xfrm>
                        <a:off x="1120125" y="2286000"/>
                        <a:ext cx="729749"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I'25</w:t>
                          </w:r>
                        </w:p>
                      </w:txbxContent>
                    </wps:txbx>
                    <wps:bodyPr rot="0" spcFirstLastPara="0" vertOverflow="visible" horzOverflow="visible" wrap="square" lIns="36000" tIns="36000" rIns="36000" bIns="36000" anchor="ctr" anchorCtr="0" upright="1">
                      <a:noAutofit/>
                    </wps:bodyPr>
                  </wps:wsp>
                  <wps:wsp>
                    <wps:cNvPr id="1410" name="Bar21410"/>
                    <wps:cNvSpPr/>
                    <wps:spPr>
                      <a:xfrm>
                        <a:off x="1973062" y="540000"/>
                        <a:ext cx="513749" cy="1728000"/>
                      </a:xfrm>
                      <a:prstGeom prst="rect">
                        <a:avLst/>
                      </a:prstGeom>
                      <a:solidFill>
                        <a:srgbClr val="2E75B6"/>
                      </a:solidFill>
                      <a:ln w="0">
                        <a:solidFill>
                          <a:srgbClr val="2E75B6"/>
                        </a:solidFill>
                      </a:ln>
                    </wps:spPr>
                    <wps:bodyPr/>
                  </wps:wsp>
                  <wps:wsp>
                    <wps:cNvPr id="1411" name="Val1411"/>
                    <wps:cNvSpPr txBox="1"/>
                    <wps:spPr>
                      <a:xfrm>
                        <a:off x="1865062" y="324000"/>
                        <a:ext cx="729749" cy="216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60</w:t>
                          </w:r>
                        </w:p>
                      </w:txbxContent>
                    </wps:txbx>
                    <wps:bodyPr rot="0" spcFirstLastPara="0" vertOverflow="visible" horzOverflow="visible" wrap="square" lIns="36000" tIns="36000" rIns="36000" bIns="36000" anchor="ctr" anchorCtr="0" upright="1">
                      <a:noAutofit/>
                    </wps:bodyPr>
                  </wps:wsp>
                  <wps:wsp>
                    <wps:cNvPr id="1412" name="Year1412"/>
                    <wps:cNvSpPr txBox="1"/>
                    <wps:spPr>
                      <a:xfrm>
                        <a:off x="1865062" y="2286000"/>
                        <a:ext cx="729749"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II'25</w:t>
                          </w:r>
                        </w:p>
                      </w:txbxContent>
                    </wps:txbx>
                    <wps:bodyPr rot="0" spcFirstLastPara="0" vertOverflow="visible" horzOverflow="visible" wrap="square" lIns="36000" tIns="36000" rIns="36000" bIns="36000" anchor="ctr" anchorCtr="0" upright="1">
                      <a:noAutofit/>
                    </wps:bodyPr>
                  </wps:wsp>
                  <wps:wsp>
                    <wps:cNvPr id="1413" name="ChartTitle1413"/>
                    <wps:cNvSpPr txBox="1"/>
                    <wps:spPr>
                      <a:xfrm>
                        <a:off x="2970000" y="72000"/>
                        <a:ext cx="2790000" cy="288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1F4E79"/>
                              <w:sz w:val="20"/>
                              <w:szCs w:val="20"/>
                              <w:lang w:val="ru-RU"/>
                            </w:rPr>
                            <w:t xml:space="preserve">Оборот, млрд ₽</w:t>
                          </w:r>
                        </w:p>
                      </w:txbxContent>
                    </wps:txbx>
                    <wps:bodyPr rot="0" spcFirstLastPara="0" vertOverflow="visible" horzOverflow="visible" wrap="square" lIns="36000" tIns="36000" rIns="36000" bIns="36000" anchor="ctr" anchorCtr="0" upright="1">
                      <a:noAutofit/>
                    </wps:bodyPr>
                  </wps:wsp>
                  <wps:wsp>
                    <wps:cNvPr id="1414" name="Line1414"/>
                    <wps:cNvCnPr/>
                    <wps:spPr>
                      <a:xfrm>
                        <a:off x="3150000" y="396000"/>
                        <a:ext cx="1" cy="1871999"/>
                      </a:xfrm>
                      <a:prstGeom prst="line">
                        <a:avLst/>
                      </a:prstGeom>
                      <a:ln w="6350">
                        <a:solidFill>
                          <a:srgbClr val="7F7F7F"/>
                        </a:solidFill>
                      </a:ln>
                    </wps:spPr>
                    <wps:bodyPr/>
                  </wps:wsp>
                  <wps:wsp>
                    <wps:cNvPr id="1415" name="Line1415"/>
                    <wps:cNvCnPr/>
                    <wps:spPr>
                      <a:xfrm>
                        <a:off x="3150000" y="2268000"/>
                        <a:ext cx="2610000" cy="1"/>
                      </a:xfrm>
                      <a:prstGeom prst="line">
                        <a:avLst/>
                      </a:prstGeom>
                      <a:ln w="6350">
                        <a:solidFill>
                          <a:srgbClr val="7F7F7F"/>
                        </a:solidFill>
                      </a:ln>
                    </wps:spPr>
                    <wps:bodyPr/>
                  </wps:wsp>
                  <wps:wsp>
                    <wps:cNvPr id="1416" name="Bar01416"/>
                    <wps:cNvSpPr/>
                    <wps:spPr>
                      <a:xfrm>
                        <a:off x="3453187" y="2118240"/>
                        <a:ext cx="513749" cy="149759"/>
                      </a:xfrm>
                      <a:prstGeom prst="rect">
                        <a:avLst/>
                      </a:prstGeom>
                      <a:solidFill>
                        <a:srgbClr val="70AD47"/>
                      </a:solidFill>
                      <a:ln w="0">
                        <a:solidFill>
                          <a:srgbClr val="70AD47"/>
                        </a:solidFill>
                      </a:ln>
                    </wps:spPr>
                    <wps:bodyPr/>
                  </wps:wsp>
                  <wps:wsp>
                    <wps:cNvPr id="1417" name="Val1417"/>
                    <wps:cNvSpPr txBox="1"/>
                    <wps:spPr>
                      <a:xfrm>
                        <a:off x="3345187" y="1902240"/>
                        <a:ext cx="729749" cy="216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4</w:t>
                          </w:r>
                        </w:p>
                      </w:txbxContent>
                    </wps:txbx>
                    <wps:bodyPr rot="0" spcFirstLastPara="0" vertOverflow="visible" horzOverflow="visible" wrap="square" lIns="36000" tIns="36000" rIns="36000" bIns="36000" anchor="ctr" anchorCtr="0" upright="1">
                      <a:noAutofit/>
                    </wps:bodyPr>
                  </wps:wsp>
                  <wps:wsp>
                    <wps:cNvPr id="1418" name="Year1418"/>
                    <wps:cNvSpPr txBox="1"/>
                    <wps:spPr>
                      <a:xfrm>
                        <a:off x="3345187" y="2286000"/>
                        <a:ext cx="729749"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II'24</w:t>
                          </w:r>
                        </w:p>
                      </w:txbxContent>
                    </wps:txbx>
                    <wps:bodyPr rot="0" spcFirstLastPara="0" vertOverflow="visible" horzOverflow="visible" wrap="square" lIns="36000" tIns="36000" rIns="36000" bIns="36000" anchor="ctr" anchorCtr="0" upright="1">
                      <a:noAutofit/>
                    </wps:bodyPr>
                  </wps:wsp>
                  <wps:wsp>
                    <wps:cNvPr id="1419" name="Bar11419"/>
                    <wps:cNvSpPr/>
                    <wps:spPr>
                      <a:xfrm>
                        <a:off x="4198125" y="1144800"/>
                        <a:ext cx="513749" cy="1123199"/>
                      </a:xfrm>
                      <a:prstGeom prst="rect">
                        <a:avLst/>
                      </a:prstGeom>
                      <a:solidFill>
                        <a:srgbClr val="70AD47"/>
                      </a:solidFill>
                      <a:ln w="0">
                        <a:solidFill>
                          <a:srgbClr val="70AD47"/>
                        </a:solidFill>
                      </a:ln>
                    </wps:spPr>
                    <wps:bodyPr/>
                  </wps:wsp>
                  <wps:wsp>
                    <wps:cNvPr id="1420" name="Val1420"/>
                    <wps:cNvSpPr txBox="1"/>
                    <wps:spPr>
                      <a:xfrm>
                        <a:off x="4090124" y="928800"/>
                        <a:ext cx="729749" cy="216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30</w:t>
                          </w:r>
                        </w:p>
                      </w:txbxContent>
                    </wps:txbx>
                    <wps:bodyPr rot="0" spcFirstLastPara="0" vertOverflow="visible" horzOverflow="visible" wrap="square" lIns="36000" tIns="36000" rIns="36000" bIns="36000" anchor="ctr" anchorCtr="0" upright="1">
                      <a:noAutofit/>
                    </wps:bodyPr>
                  </wps:wsp>
                  <wps:wsp>
                    <wps:cNvPr id="1421" name="Year1421"/>
                    <wps:cNvSpPr txBox="1"/>
                    <wps:spPr>
                      <a:xfrm>
                        <a:off x="4090124" y="2286000"/>
                        <a:ext cx="729749"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I'25</w:t>
                          </w:r>
                        </w:p>
                      </w:txbxContent>
                    </wps:txbx>
                    <wps:bodyPr rot="0" spcFirstLastPara="0" vertOverflow="visible" horzOverflow="visible" wrap="square" lIns="36000" tIns="36000" rIns="36000" bIns="36000" anchor="ctr" anchorCtr="0" upright="1">
                      <a:noAutofit/>
                    </wps:bodyPr>
                  </wps:wsp>
                  <wps:wsp>
                    <wps:cNvPr id="1422" name="Bar21422"/>
                    <wps:cNvSpPr/>
                    <wps:spPr>
                      <a:xfrm>
                        <a:off x="4943062" y="583200"/>
                        <a:ext cx="513749" cy="1684800"/>
                      </a:xfrm>
                      <a:prstGeom prst="rect">
                        <a:avLst/>
                      </a:prstGeom>
                      <a:solidFill>
                        <a:srgbClr val="70AD47"/>
                      </a:solidFill>
                      <a:ln w="0">
                        <a:solidFill>
                          <a:srgbClr val="70AD47"/>
                        </a:solidFill>
                      </a:ln>
                    </wps:spPr>
                    <wps:bodyPr/>
                  </wps:wsp>
                  <wps:wsp>
                    <wps:cNvPr id="1423" name="Val1423"/>
                    <wps:cNvSpPr txBox="1"/>
                    <wps:spPr>
                      <a:xfrm>
                        <a:off x="4835062" y="367200"/>
                        <a:ext cx="729749" cy="216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45</w:t>
                          </w:r>
                        </w:p>
                      </w:txbxContent>
                    </wps:txbx>
                    <wps:bodyPr rot="0" spcFirstLastPara="0" vertOverflow="visible" horzOverflow="visible" wrap="square" lIns="36000" tIns="36000" rIns="36000" bIns="36000" anchor="ctr" anchorCtr="0" upright="1">
                      <a:noAutofit/>
                    </wps:bodyPr>
                  </wps:wsp>
                  <wps:wsp>
                    <wps:cNvPr id="1424" name="Year1424"/>
                    <wps:cNvSpPr txBox="1"/>
                    <wps:spPr>
                      <a:xfrm>
                        <a:off x="4835062" y="2286000"/>
                        <a:ext cx="729749" cy="180000"/>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II'25</w:t>
                          </w:r>
                        </w:p>
                      </w:txbxContent>
                    </wps:txbx>
                    <wps:bodyPr rot="0" spcFirstLastPara="0" vertOverflow="visible" horzOverflow="visible" wrap="square" lIns="36000" tIns="36000" rIns="36000" bIns="36000" anchor="ctr" anchorCtr="0" upright="1">
                      <a:noAutofit/>
                    </wps:bodyPr>
                  </wps:wsp>
                </wpg:wgp>
              </a:graphicData>
            </a:graphic>
          </wp:inline>
        </w:drawing>
      </w:r>
    </w:p>
    <w:p>
      <w:pPr>
        <w:keepLines/>
        <w:spacing w:before="60" w:after="20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Рис. 2.2.1. Поквартальная динамика биометрических платежей в России (II кв. 2024 — II кв. 2025)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двух блоков диаграммы показывает кратный годовой рост и количества, и оборота биоэквайринговых операций при стабильном среднем чеке. Если бы маркетинговые усилия игроков были направлены преимущественно на премиальный сегмент, средний чек рос бы быстрее количества операций; в действительности картина обратная — растёт привычность сценария оплаты лицом, а не размер каждой транзакции. Это смещает оптимальную стратегию продвижения биометрических продуктов с премиум-позиционирования на массовое использование в высокочастотных сценариях: транспорт, ритейл повседневного спроса, оплата услуг.</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Лидер рынка биометрических платежей в Российской Федерации — ПАО Сбербанк со своим сервисом «Оплата улыбкой». На август 2024 года Сбер сообщал о 2 млн биометрических транзакций в месяц, ежемесячном обороте около 1 млрд рублей, более 700 тыс. установленных терминалов и более 1 млн пользователей сервиса с момента его запуска; зарегистрированных в собственной биометрической системе банка — 30 млн клиентов [32]. К концу 2024 года планировалось довести парк терминалов до более чем 1 млн штук, а скорость транзакции — с шести до двух секунд к 2025 году [32]. Этот масштаб задаёт верхнюю планку рынка и ориентир для всех остальных игроков.</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Сегментная структура рынка биометрии в России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 началу 2026 года биометрические сервисы покрывают шесть устойчивых сегментов российского рынка. По данным открытой деловой прессы и оператора ЕБС, по биометрии в России можно оплатить проезд в метро и покупки в магазинах, оформить сим-карту, открыть банковский счёт и зарегистрировать бизнес, пройти в бизнес-зал аэропорта, заселиться в гостиницу [38]. Эти сценарии распределены между разными типами заказчиков и разной природой спроса. Государственный сегмент построен вокруг ЕБС и ЕСИА и концентрирует базовый акт идентификации гражданина при любом дистанционном обслуживании [34]. Финансовый сегмент — крупнейший по объёму транзакций и по числу пользователей — включает биоэквайринг (оплата лицом в торговых точках), удалённое открытие счёта и подтверждение операций в банковских приложениях. Транспортный сегмент после запуска биоэквайринга в Московском и Казанском метрополитене стал самой массовой точкой контакта пользователя с биометрией. СКУД режимных объектов и сегмент учёта рабочего времени работают преимущественно в B2B-логике и охватывают заводы, бизнес-центры, государственные учреждения. Ритейл и общественные пространства расширяют сценарии в сторону подтверждения возраста при покупке алкоголя и рецептурных лекарств, а гостиничный сегмент — заселение без паспорта [38]. Структура сегментов и их характеристики собраны в таблице 2.2.2.</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2.2.2</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Сегменты применения биометрии на российском рынке и их характеристики</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5"/>
        <w:gridCol w:w="2514"/>
        <w:gridCol w:w="2514"/>
        <w:gridCol w:w="2514"/>
      </w:tblGrid>
      <w:tr>
        <w:trPr>
          <w:tblHeader/>
          <w:cantSplit/>
        </w:trPr>
        <w:tc>
          <w:tcPr>
            <w:tcW w:w="209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Сегмент</w:t>
            </w:r>
          </w:p>
        </w:tc>
        <w:tc>
          <w:tcPr>
            <w:tcW w:w="251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Типовой сценарий</w:t>
            </w:r>
          </w:p>
        </w:tc>
        <w:tc>
          <w:tcPr>
            <w:tcW w:w="251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Тип заказчика</w:t>
            </w:r>
          </w:p>
        </w:tc>
        <w:tc>
          <w:tcPr>
            <w:tcW w:w="251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Драйвер спроса</w:t>
            </w:r>
          </w:p>
        </w:tc>
      </w:tr>
      <w:tr>
        <w:trPr>
          <w:cantSplit/>
        </w:trPr>
        <w:tc>
          <w:tcPr>
            <w:tcW w:w="2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Государственная идентификация</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Подтверждение личности при дистанционном получении услуг через ЕСИА и ЕБС</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Граждане, государственные организации</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Перевод госуслуг в цифровую среду, ЕСИА как точка доступа</w:t>
            </w:r>
          </w:p>
        </w:tc>
      </w:tr>
      <w:tr>
        <w:trPr>
          <w:cantSplit/>
        </w:trPr>
        <w:tc>
          <w:tcPr>
            <w:tcW w:w="2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Финансовый сектор (эквайринг и онлайн-обслуживание)</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Оплата лицом в торговой точке, удалённое открытие счёта, подтверждение операций</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Банки, МФО, ритейл, маркетплейсы</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Сокращение времени операции, противодействие мошенничеству, экономия на эквайринговой комиссии</w:t>
            </w:r>
          </w:p>
        </w:tc>
      </w:tr>
      <w:tr>
        <w:trPr>
          <w:cantSplit/>
        </w:trPr>
        <w:tc>
          <w:tcPr>
            <w:tcW w:w="2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Транспорт</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Биометрический проход и оплата проезда в метро, бизнес-залы аэропортов, авиапосадка</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Метрополитены, авиакомпании, аэропорты</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Массовый сценарий с высокой частотой использования, привычка пассажира</w:t>
            </w:r>
          </w:p>
        </w:tc>
      </w:tr>
      <w:tr>
        <w:trPr>
          <w:cantSplit/>
        </w:trPr>
        <w:tc>
          <w:tcPr>
            <w:tcW w:w="2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Контроль доступа на режимные объекты (СКУД)</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Биометрический проход сотрудников, учёт рабочего времени, доступ в производственные зоны</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Промышленные предприятия, бизнес-центры, государственные учреждения, ВУЗы</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Усиление безопасности, исключение передачи карт, точный учёт рабочего времени</w:t>
            </w:r>
          </w:p>
        </w:tc>
      </w:tr>
      <w:tr>
        <w:trPr>
          <w:cantSplit/>
        </w:trPr>
        <w:tc>
          <w:tcPr>
            <w:tcW w:w="2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Ритейл и общественные пространства</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Подтверждение возраста при покупке алкоголя и рецептурных лекарств, лояльность по биометрии</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Сетевой ритейл, аптеки, общепит</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Регуляторное требование возрастной верификации, снижение нагрузки на кассира</w:t>
            </w:r>
          </w:p>
        </w:tc>
      </w:tr>
      <w:tr>
        <w:trPr>
          <w:cantSplit/>
        </w:trPr>
        <w:tc>
          <w:tcPr>
            <w:tcW w:w="2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Гостеприимство</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Заселение в гостиницу без паспорта, доступ в номер по лицу</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Гостиничные сети, апарт-отели, бизнес-центры</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Сокращение времени заселения, новый клиентский опыт</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 28, с. 30–31; 34; 38]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Сегменты в таблице 2.2.2 различаются по логике принятия решения. В государственной идентификации, финансовом секторе и транспорте основной драйвер — масса транзакций и сокращение времени каждой операции; в СКУД и режимных объектах — безопасность и точность учёта; в ритейле и гостиничном секторе — соответствие регуляторным требованиям и улучшение клиентского опыта. Такое распределение драйверов означает, что один и тот же биометрический продукт продвигается в разных сегментах через разные ключевые сообщения. Для Face2 это уже учтено в продуктовой линейке (Face2Pay для эквайринга, Face2Pass для СКУД, Face2Check-in для гостиничного сегмента и подтверждения возраста, КБС под ключ для крупных заказчиков из государственного и корпоративного сегмента) [27]. Сегментная структура рынка совпадает с продуктовой раскладкой банка по сценариям и работает как валидация продуктовой стратегии: каждый продукт линейки соответствует устойчивому рыночному сегменту, в котором уже сформирован спрос.</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Регуляторный и инфраструктурный контур рынка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Рынок биометрической идентификации в Российской Федерации работает в одном из самых жёстких регуляторных контуров среди мировых юрисдикций. Эту оценку прямо фиксирует генеральный директор VisionLabs Дмитрий Марков в публичных комментариях деловой прессе: «В России действует одно из самых жёстких законодательств в этой сфере»; в отличие от других стран, в России каждый сервис должен получать индивидуальное согласие гражданина на использование его биометрических данных [38]. Базой регулирования служит Федеральный закон от 29 декабря 2022 года № 572-ФЗ, относящий биометрические данные к специальной категории персональных данных, обязывающий хранить их в ГИС ЕБС и разрешающий аутентификацию по биометрии только аккредитованным организациям при наличии письменного согласия гражданина [33]. Архитектура работы пользователя с ЕБС строится на связке ЕСИА и ЕБС: первичная регистрация с явкой в уполномоченный банк, последующее использование биометрии через сайты или мобильные приложения банков и иных подключённых организаций [34]. Важная особенность — добровольность и бесплатность регистрации для гражданина, что одновременно открывает доступ к рынку широкого круга пользователей и ограничивает инструменты массового стимулирования сдачи биометрии [34].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Регуляторный контур ужесточился в конце 2024 года. Федеральные законы от 30 ноября 2024 года № 420-ФЗ и № 421-ФЗ ввели крупные административные штрафы и уголовную ответственность за неправомерное обращение с биометрическими персональными данными: лишение свободы до пяти лет, административные штрафы до 20 млн рублей и до 1–3% годового дохода компании при повторных нарушениях [27]. Этот сдвиг превратил аккредитацию КБС и сертификацию ФСБ из формального статуса в жёсткий барьер входа на рынок: организация без аккредитации и сертификации не может легально работать с биометрией, а у уже аккредитованных игроков риски от потери аккредитации становятся сопоставимы с риском потери лицензии. Барьер работает в обе стороны: он защищает аккредитованных операторов от выхода на рынок неаккредитованных конкурентов и одновременно увеличивает их собственные операционные требования.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Под уровень федерального закона подведён слой подзаконных актов Банка России, конкретизирующих требования к работе коммерческих биометрических систем. Поставщик услуг, разворачивающий КБС, должен одновременно соответствовать трём документам Банка России: Указанию от 25 сентября 2023 года № 6541-У, Методическим рекомендациям от 20 декабря 2023 года № 18-МР и Методическим рекомендациям от 23 декабря 2023 года № 19-МР [44; 45; 46]. Этот блок прямо зафиксирован в требованиях к поставщику услуг в руководстве по развёртыванию системы Face2 как обязательный наряду с 572-ФЗ [47]. На уровне технической реализации указанные акты переводятся в конкретный набор интеграций и инфраструктурных условий: регистрация поставщика в ЕСИА как юридического лица, подключение к ЕБС через защищённый канал «ТИБ ЕБС», регистрация в СМЭВ через личный кабинет участника взаимодействия (ЛКУВ), выпуск сертификата цифровой подписи — для интеграционной среды через ЛКУВ, для продуктовой среды через аккредитованные удостоверяющие центры, и хранение закрытой части сертификата во внешней системе типа КриптоПро DSS, развёрнутой в одном защищённом контуре с самой биометрической системой [47]. Совместное действие 572-ФЗ, законов об ужесточении ответственности от 30.11.2024 и подзаконного блока Банка России формирует пятиуровневую регуляторную конструкцию: федеральный закон, подзаконные акты Банка России, ведомственные сертификации ФСБ и ФСТЭК, реестр отечественного ПО, отраслевая аккредитация Минцифры. Каждый уровень повышает капиталоёмкость входа на рынок и удлиняет горизонт подготовки нового игрока.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Круг банков-операторов рынка биометрической идентификации количественно ограничен. По данным Банка России на 4 мая 2026 года, в перечень банков, соответствующих требованиям п. 5.7 ст. 7 Федерального закона № 115-ФЗ — то есть банков, имеющих право проводить идентификацию клиента в государственных информационных системах, включая ЕБС, — входят 194 кредитные организации; ПАО «АК БАРС» БАНК в этом перечне числится под номером 101 [36]. Это значит, что менее 194 банков на всю страну могут работать с биометрической инфраструктурой как операторы, и Ак Барс Банк входит в эту группу.</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Историческая глубина участия банка в биометрической инфраструктуре отдельно повышает его регуляторный капитал. Подключение Ак Барс Банка к Единой биометрической системе было реализовано в декабре 2017 — мае 2018 года и официально объявлено 10 июля 2018 года; первое отделение приёма биометрии открылось в Казани на ул. Декабристов, 1, и банк стал первым в Приволжском федеральном округе, начавшим собирать биометрические данные для ЕБС [40]. Между подключением к инфраструктуре в 2018 году и публичным запуском продуктовой линейки Face2 в 2024 году прошло шесть лет — этот период использовался банком для отладки внутренних процессов работы с биометрией, накопления клиентской базы зарегистрированных в ЕБС пользователей и подготовки собственной коммерческой биометрической системы (КБС). Аккредитация Минцифры России решением № 4-А от 15 ноября 2023 года поставила банк в число первых аккредитованных операторов КБС в стране [27]. Совокупность этих институциональных позиций — статус банка-оператора по № 115-ФЗ, аккредитация КБС, сертификация ФСБ и ФСТЭК, нахождение в реестре отечественного ПО — образует регуляторный фундамент, на который опирается весь дальнейший анализ конкурентной среды.</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PESTEL-анализ российского рынка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Предыдущие три подраздела зафиксировали разные проекции внешней среды: масштаб и динамику рынка, сегментную структуру и регуляторно-инфраструктурный контур. Чтобы перевести эти проекции в управленческий вход для стратегии продвижения, разрозненные факторы целесообразно собрать в единую рамку макроанализа. Методологически выбор PESTEL обусловлен тем, что продукт Face2 одновременно находится на пересечении шести крупных полей — государственного курса на цифровой суверенитет, банковской экономики высокочастотных микроплатежей, поколенческих сдвигов в потребительском поведении, быстро развивающихся алгоритмов компьютерного зрения, ESG-повестки крупного банка и особого режима оборота биометрических персональных данных. Эти шесть полей чисто соотносятся с шестью измерениями PESTEL и позволяют построить однородную карту факторов, влияющих на коммерциализацию Face2. Сводный анализ собран в таблице 2.2.3.</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2.2.3</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Сводный PESTEL-анализ российского рынка биометрии (на начало 2026 года)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7"/>
        <w:gridCol w:w="3755"/>
        <w:gridCol w:w="3755"/>
      </w:tblGrid>
      <w:tr>
        <w:trPr>
          <w:tblHeader/>
          <w:cantSplit/>
        </w:trPr>
        <w:tc>
          <w:tcPr>
            <w:tcW w:w="212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Фактор</w:t>
            </w:r>
          </w:p>
        </w:tc>
        <w:tc>
          <w:tcPr>
            <w:tcW w:w="37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 фактора</w:t>
            </w:r>
          </w:p>
        </w:tc>
        <w:tc>
          <w:tcPr>
            <w:tcW w:w="37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Влияние на продвижение Face2</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 — политические**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Государственная политика технологического суверенитета и импортозамещения; ЕБС как государственная информационная система под управлением АО «Центр биометрических технологий»; Минцифры России как регулятор аккредитации операторов коммерческих биометрических систем; вытеснение иностранных биометрических вендоров с российского рынка после 2022 года; включение отечественных решений в реестр российского ПО как условие участия в государственных закупках [27; 33; 34; 42].</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Положительное. Аккредитация Минцифры от 15.11.2023 (Решение № 4-А) и нахождение в реестре отечественного ПО автоматически открывают для Face2 B2G-сегмент, в котором отстранены иностранные вендоры [27].</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**E — экономические**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Девятикратный рост числа биометрических платежей за девять месяцев 2025 года (145,9 млн транзакций, оборот 112,5 млрд руб.); стабильный средний чек около 770 руб. как индикатор массового розничного сценария; пониженная эквайринговая комиссия для торгово-сервисных предприятий при оплате лицом по сравнению с классическим эквайрингом; финансовый сектор формирует около 15% мирового рынка биометрии при глобальном CAGR 18,6% [35, с. 3, 6; 38; 43].</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Положительное в части роста; нейтральное в части ценовой эластичности B2B-заказчика. Биоэквайринг получает экономическое обоснование для торговой розницы за счёт пониженной комиссии, но крупные B2B- и B2G-заказчики ориентируются не на цену, а на регуляторный статус поставщика.</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**S — социальные**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Более 10 млн зарегистрированных в ЕБС пользователей к началу 2026 года, формирование привычки оплачивать проезд и покупки лицом в Московском и Казанском метрополитене; одновременно — устойчивые психологические барьеры: страх утечки биометрических данных, невозможность отозвать сданный биометрический образец, недоверие к коммерческим операторам биометрии; поколенческая поляризация принятия (молодёжь — высокая, старшие группы — низкая) [4, с. 41; 9, с. 112; 38; 42].</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Двойное. Привычка к оплате лицом в массовых розничных и транспортных сценариях работает в пользу Face2Pay; психологические барьеры доверия требуют непропорционально большой доли бюджета продвижения на образовательный контент и демонстрацию мер защиты данных.</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**T — технологические**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Зрелость алгоритмов распознавания лица: точность отечественных решений на уровне 99,5%, среднее время сканирования около двух секунд; развитие функций антиспуфинга и детекции дипфейков; объединение биометрии с QR-эквайрингом и СБП в единый платёжный флоу; рост вычислительных требований к обработке биометрических векторов в реальном времени [27; 32; 37; 43].</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Положительное по уровню зрелости технологии в целом; критическая зона для Face2 — отсутствие публичной независимой верификации точности (NIST FRTE) на фоне VisionLabs и публично заявленного отдельного решения по детекции дипфейков.</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**E — экологические**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Снижение оборота пластиковых платёжных карт в массовой рознице за счёт перехода на бесконтактные сценарии (биометрия и QR); безбумажное оформление документов при удалённой идентификации; одновременно — энергоёмкость дата-центров для обработки биометрических векторов; ESG-повестка крупных банков как формальное требование к корпоративному поставщику [28, с. 17, 33; 38].</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Слабо положительное. Подтверждённый ESG-статус Ак Барс Банка снимает часть формальных барьеров входа в B2G-закупки, для которых устойчивость поставщика входит в требования; собственного маркетингового плеча у этого фактора нет, он работает фоном.</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**L — правовые**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Федеральный закон от 29.12.2022 № 572-ФЗ относит биометрические данные к специальной категории и обязывает хранить их в ГИС ЕБС; федеральные законы от 30.11.2024 № 420-ФЗ и № 421-ФЗ ввели штрафы до 20 млн руб. и до 1–3% годового дохода компании, уголовную ответственность до пяти лет за неправомерное обращение с биометрией; обязательное письменное согласие гражданина на каждое использование биометрии; статус банка-оператора по п. 5.7 ст. 7 № 115-ФЗ ограничивает круг участников рынка 194 кредитными организациями; обязательная аккредитация Минцифры для коммерческих биометрических систем; сертификация ФСБ и ФСТЭК как условие участия в государственных закупках [27; 33; 34; 36].</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Двойное. Положительное — жёсткая регуляторная рамка превращает аккредитацию КБС, статус по № 115-ФЗ и сертификацию ФСБ/ФСТЭК в барьер входа для неаккредитованных конкурентов и формирует для Face2 защитный «ров». Отрицательное — обязательность письменного согласия на каждое использование биометрии исключает массовые B2C-инструменты стимулирования сдачи биометрии (промокоды, кешбэки за регистрацию) и переводит продвижение в формат образовательного и экспертного контента.</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[4, с. 41; 9, с. 112; 27; 28, с. 17, 33; 32; 33; 34; 35, с. 3, 6; 36; 37; 38; 42; 43]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шести факторов выводит несколько устойчивых наблюдений. Первое — три фактора из шести (P, T, L) работают для Face2 преимущественно в плюс: государственный курс на технологический суверенитет в комплекте с жёсткой регуляторной рамкой создаёт защищённый рынок аккредитованных операторов, в который Face2 уже встроен по статусу банка и аккредитации Минцифры, а зрелость алгоритмов распознавания лица обеспечивает технологическую состоятельность продукта. Второе — экономический фактор (E) положителен по динамике, но ценовая чувствительность работает преимущественно в массовом B2C-биоэквайринге, где доминирует Сбер; в собственном целевом сегменте Face2 — B2B и B2G-заказчики со сценариями работы с физическими лицами через ЕБС — ценовое преимущество биоэквайринга играет вторичную роль по сравнению с регуляторным статусом поставщика. Третье — социальный фактор (S) двойственен и расщепляется на два потока: массовая привычка к оплате лицом в транспортных сценариях работает в пользу продвижения, но психологический барьер недоверия требует переноса акцента в коммуникации с информирования на демонстрацию мер защиты данных и юридической корректности. Четвёртое — экологический фактор (E) работает фоном через ESG-статус банка и не задаёт самостоятельного маркетингового плеча. Пятое — правовой фактор (L) одновременно открывает рынок и закрывает каналы стимулирования: жёсткая рамка устраняет конкурентов без аккредитации, но запрещает массовые акции по сдаче биометрии и переводит продвижение в формат экспертного контента, пилотных проектов и B2B-референсов.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Из этих наблюдений складывается макрорамка для последующего конкурентного анализа. Регуляторно-политический фактор работает как фильтр входа на рынок и оставляет в качестве реальных конкурентов Face2 ограниченный круг аккредитованных операторов и банков-операторов биометрии; экономический и технологический факторы задают планку масштаба и качества; социальный и правовой факторы определяют допустимые и недопустимые инструменты продвижения. Именно эта макрорамка формирует трёхслойную структуру конкурентной среды, разбираемую в следующем подразделе.</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Конкурентная среда: трёхслойная структура рынка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Российский рынок биометрических технологий организован в три различающихся по типу деятельности слоя. Каждый слой отвечает на свой тип спроса, использует свою бизнес-модель и предъявляет свой набор формальных аккредитаций. Структура конкурентной среды показана на рисунке 2.2.2.</w:t>
      </w:r>
    </w:p>
    <w:p>
      <w:pPr>
        <w:keepNext/>
        <w:keepLines/>
        <w:spacing w:before="12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 32; 37; 38; 39; 41]</w:t>
      </w:r>
    </w:p>
    <w:p>
      <w:pPr>
        <w:keepNext/>
        <w:keepLines/>
        <w:spacing w:before="120" w:after="60" w:line="240" w:lineRule="auto"/>
        <w:jc w:val="center"/>
        <w:rPr>
          <w:rFonts w:ascii="Times New Roman" w:hAnsi="Times New Roman" w:cs="Times New Roman" w:eastAsia="Times New Roman"/>
          <w:sz w:val="28"/>
          <w:szCs w:val="28"/>
          <w:lang w:val="ru-RU"/>
        </w:rPr>
      </w:pPr>
      <w:r>
        <w:drawing>
          <wp:inline distT="0" distB="0" distL="0" distR="0">
            <wp:extent cx="5760000" cy="3240000"/>
            <wp:effectExtent l="0" t="0" r="0" b="0"/>
            <wp:docPr id="1005" name="Drawing1005"/>
            <wp:cNvGraphicFramePr/>
            <a:graphic>
              <a:graphicData uri="http://schemas.microsoft.com/office/word/2010/wordprocessingGroup">
                <wpg:wgp>
                  <wpg:cNvGrpSpPr/>
                  <wpg:grpSpPr>
                    <a:xfrm>
                      <a:off x="0" y="0"/>
                      <a:ext cx="5760000" cy="3240000"/>
                      <a:chOff x="0" y="0"/>
                      <a:chExt cx="5760000" cy="3240000"/>
                    </a:xfrm>
                  </wpg:grpSpPr>
                  <wps:wsp>
                    <wps:cNvPr id="1501" name="Root1501"/>
                    <wps:cNvSpPr/>
                    <wps:spPr>
                      <a:xfrm>
                        <a:off x="1260000" y="72000"/>
                        <a:ext cx="3240000" cy="360000"/>
                      </a:xfrm>
                      <a:prstGeom prst="rect">
                        <a:avLst/>
                      </a:prstGeom>
                      <a:solidFill>
                        <a:srgbClr val="1F4E79"/>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2"/>
                              <w:szCs w:val="22"/>
                              <w:lang w:val="ru-RU"/>
                            </w:rPr>
                            <w:t xml:space="preserve">Российский рынок биометрии (B2B/B2C)</w:t>
                          </w:r>
                        </w:p>
                      </w:txbxContent>
                    </wps:txbx>
                    <wps:bodyPr rot="0" spcFirstLastPara="0" vertOverflow="visible" horzOverflow="visible" wrap="square" lIns="36000" tIns="36000" rIns="36000" bIns="36000" anchor="ctr" anchorCtr="0" upright="1">
                      <a:noAutofit/>
                    </wps:bodyPr>
                  </wps:wsp>
                  <wps:wsp>
                    <wps:cNvPr id="1502" name="Line1502"/>
                    <wps:cNvCnPr/>
                    <wps:spPr>
                      <a:xfrm>
                        <a:off x="2880000" y="432000"/>
                        <a:ext cx="1" cy="180000"/>
                      </a:xfrm>
                      <a:prstGeom prst="line">
                        <a:avLst/>
                      </a:prstGeom>
                      <a:ln w="12700">
                        <a:solidFill>
                          <a:srgbClr val="000000"/>
                        </a:solidFill>
                      </a:ln>
                    </wps:spPr>
                    <wps:bodyPr/>
                  </wps:wsp>
                  <wps:wsp>
                    <wps:cNvPr id="1503" name="Line1503"/>
                    <wps:cNvCnPr/>
                    <wps:spPr>
                      <a:xfrm>
                        <a:off x="729000" y="612000"/>
                        <a:ext cx="4302000" cy="1"/>
                      </a:xfrm>
                      <a:prstGeom prst="line">
                        <a:avLst/>
                      </a:prstGeom>
                      <a:ln w="12700">
                        <a:solidFill>
                          <a:srgbClr val="000000"/>
                        </a:solidFill>
                      </a:ln>
                    </wps:spPr>
                    <wps:bodyPr/>
                  </wps:wsp>
                  <wps:wsp>
                    <wps:cNvPr id="1504" name="Line1504"/>
                    <wps:cNvCnPr/>
                    <wps:spPr>
                      <a:xfrm>
                        <a:off x="693000" y="612000"/>
                        <a:ext cx="1" cy="180000"/>
                      </a:xfrm>
                      <a:prstGeom prst="line">
                        <a:avLst/>
                      </a:prstGeom>
                      <a:ln w="12700">
                        <a:solidFill>
                          <a:srgbClr val="000000"/>
                        </a:solidFill>
                      </a:ln>
                    </wps:spPr>
                    <wps:bodyPr/>
                  </wps:wsp>
                  <wps:wsp>
                    <wps:cNvPr id="1505" name="Layer0H1505"/>
                    <wps:cNvSpPr/>
                    <wps:spPr>
                      <a:xfrm>
                        <a:off x="0" y="792000"/>
                        <a:ext cx="1386000" cy="864000"/>
                      </a:xfrm>
                      <a:prstGeom prst="rect">
                        <a:avLst/>
                      </a:prstGeom>
                      <a:solidFill>
                        <a:srgbClr val="2E75B6"/>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Слой 1.</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Банки-разработчики</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собственных биосервисов</w:t>
                          </w:r>
                        </w:p>
                      </w:txbxContent>
                    </wps:txbx>
                    <wps:bodyPr rot="0" spcFirstLastPara="0" vertOverflow="visible" horzOverflow="visible" wrap="square" lIns="36000" tIns="36000" rIns="36000" bIns="36000" anchor="ctr" anchorCtr="0" upright="1">
                      <a:noAutofit/>
                    </wps:bodyPr>
                  </wps:wsp>
                  <wps:wsp>
                    <wps:cNvPr id="1506" name="Layer0B1506"/>
                    <wps:cNvSpPr/>
                    <wps:spPr>
                      <a:xfrm>
                        <a:off x="0" y="1655999"/>
                        <a:ext cx="1386000" cy="756000"/>
                      </a:xfrm>
                      <a:prstGeom prst="rect">
                        <a:avLst/>
                      </a:prstGeom>
                      <a:solidFill>
                        <a:srgbClr val="FFFFFF"/>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ПАО Сбербанк</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ПАО «АК БАРС» БАНК</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(Face2)</w:t>
                          </w:r>
                        </w:p>
                      </w:txbxContent>
                    </wps:txbx>
                    <wps:bodyPr rot="0" spcFirstLastPara="0" vertOverflow="visible" horzOverflow="visible" wrap="square" lIns="36000" tIns="36000" rIns="36000" bIns="36000" anchor="ctr" anchorCtr="0" upright="1">
                      <a:noAutofit/>
                    </wps:bodyPr>
                  </wps:wsp>
                  <wps:wsp>
                    <wps:cNvPr id="1507" name="Line1507"/>
                    <wps:cNvCnPr/>
                    <wps:spPr>
                      <a:xfrm>
                        <a:off x="2151000" y="612000"/>
                        <a:ext cx="1" cy="180000"/>
                      </a:xfrm>
                      <a:prstGeom prst="line">
                        <a:avLst/>
                      </a:prstGeom>
                      <a:ln w="12700">
                        <a:solidFill>
                          <a:srgbClr val="000000"/>
                        </a:solidFill>
                      </a:ln>
                    </wps:spPr>
                    <wps:bodyPr/>
                  </wps:wsp>
                  <wps:wsp>
                    <wps:cNvPr id="1508" name="Layer1H1508"/>
                    <wps:cNvSpPr/>
                    <wps:spPr>
                      <a:xfrm>
                        <a:off x="1458000" y="792000"/>
                        <a:ext cx="1386000" cy="864000"/>
                      </a:xfrm>
                      <a:prstGeom prst="rect">
                        <a:avLst/>
                      </a:prstGeom>
                      <a:solidFill>
                        <a:srgbClr val="2E75B6"/>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Слой 2.</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Технологические</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вендоры алгоритмов</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и платформ</w:t>
                          </w:r>
                        </w:p>
                      </w:txbxContent>
                    </wps:txbx>
                    <wps:bodyPr rot="0" spcFirstLastPara="0" vertOverflow="visible" horzOverflow="visible" wrap="square" lIns="36000" tIns="36000" rIns="36000" bIns="36000" anchor="ctr" anchorCtr="0" upright="1">
                      <a:noAutofit/>
                    </wps:bodyPr>
                  </wps:wsp>
                  <wps:wsp>
                    <wps:cNvPr id="1509" name="Layer1B1509"/>
                    <wps:cNvSpPr/>
                    <wps:spPr>
                      <a:xfrm>
                        <a:off x="1458000" y="1655999"/>
                        <a:ext cx="1386000" cy="756000"/>
                      </a:xfrm>
                      <a:prstGeom prst="rect">
                        <a:avLst/>
                      </a:prstGeom>
                      <a:solidFill>
                        <a:srgbClr val="FFFFFF"/>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VisionLabs</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NtechLab</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Tevian</w:t>
                          </w:r>
                        </w:p>
                      </w:txbxContent>
                    </wps:txbx>
                    <wps:bodyPr rot="0" spcFirstLastPara="0" vertOverflow="visible" horzOverflow="visible" wrap="square" lIns="36000" tIns="36000" rIns="36000" bIns="36000" anchor="ctr" anchorCtr="0" upright="1">
                      <a:noAutofit/>
                    </wps:bodyPr>
                  </wps:wsp>
                  <wps:wsp>
                    <wps:cNvPr id="1510" name="Line1510"/>
                    <wps:cNvCnPr/>
                    <wps:spPr>
                      <a:xfrm>
                        <a:off x="3609000" y="612000"/>
                        <a:ext cx="1" cy="180000"/>
                      </a:xfrm>
                      <a:prstGeom prst="line">
                        <a:avLst/>
                      </a:prstGeom>
                      <a:ln w="12700">
                        <a:solidFill>
                          <a:srgbClr val="000000"/>
                        </a:solidFill>
                      </a:ln>
                    </wps:spPr>
                    <wps:bodyPr/>
                  </wps:wsp>
                  <wps:wsp>
                    <wps:cNvPr id="1511" name="Layer2H1511"/>
                    <wps:cNvSpPr/>
                    <wps:spPr>
                      <a:xfrm>
                        <a:off x="2916000" y="792000"/>
                        <a:ext cx="1386000" cy="864000"/>
                      </a:xfrm>
                      <a:prstGeom prst="rect">
                        <a:avLst/>
                      </a:prstGeom>
                      <a:solidFill>
                        <a:srgbClr val="2E75B6"/>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Слой 3.</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Производители</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полного цикла СКУД</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(ПО + оборудование)</w:t>
                          </w:r>
                        </w:p>
                      </w:txbxContent>
                    </wps:txbx>
                    <wps:bodyPr rot="0" spcFirstLastPara="0" vertOverflow="visible" horzOverflow="visible" wrap="square" lIns="36000" tIns="36000" rIns="36000" bIns="36000" anchor="ctr" anchorCtr="0" upright="1">
                      <a:noAutofit/>
                    </wps:bodyPr>
                  </wps:wsp>
                  <wps:wsp>
                    <wps:cNvPr id="1512" name="Layer2B1512"/>
                    <wps:cNvSpPr/>
                    <wps:spPr>
                      <a:xfrm>
                        <a:off x="2916000" y="1655999"/>
                        <a:ext cx="1386000" cy="756000"/>
                      </a:xfrm>
                      <a:prstGeom prst="rect">
                        <a:avLst/>
                      </a:prstGeom>
                      <a:solidFill>
                        <a:srgbClr val="FFFFFF"/>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OVISION</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BioSmart</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и др.</w:t>
                          </w:r>
                        </w:p>
                      </w:txbxContent>
                    </wps:txbx>
                    <wps:bodyPr rot="0" spcFirstLastPara="0" vertOverflow="visible" horzOverflow="visible" wrap="square" lIns="36000" tIns="36000" rIns="36000" bIns="36000" anchor="ctr" anchorCtr="0" upright="1">
                      <a:noAutofit/>
                    </wps:bodyPr>
                  </wps:wsp>
                  <wps:wsp>
                    <wps:cNvPr id="1513" name="Line1513"/>
                    <wps:cNvCnPr/>
                    <wps:spPr>
                      <a:xfrm>
                        <a:off x="5067000" y="612000"/>
                        <a:ext cx="1" cy="180000"/>
                      </a:xfrm>
                      <a:prstGeom prst="line">
                        <a:avLst/>
                      </a:prstGeom>
                      <a:ln w="12700">
                        <a:solidFill>
                          <a:srgbClr val="000000"/>
                        </a:solidFill>
                      </a:ln>
                    </wps:spPr>
                    <wps:bodyPr/>
                  </wps:wsp>
                  <wps:wsp>
                    <wps:cNvPr id="1514" name="Layer3H1514"/>
                    <wps:cNvSpPr/>
                    <wps:spPr>
                      <a:xfrm>
                        <a:off x="4373999" y="792000"/>
                        <a:ext cx="1386000" cy="864000"/>
                      </a:xfrm>
                      <a:prstGeom prst="rect">
                        <a:avLst/>
                      </a:prstGeom>
                      <a:solidFill>
                        <a:srgbClr val="7F7F7F"/>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Государственная</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инфраструктура</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(АО «ЦБТ» —</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оператор ЕБС)</w:t>
                          </w:r>
                        </w:p>
                      </w:txbxContent>
                    </wps:txbx>
                    <wps:bodyPr rot="0" spcFirstLastPara="0" vertOverflow="visible" horzOverflow="visible" wrap="square" lIns="36000" tIns="36000" rIns="36000" bIns="36000" anchor="ctr" anchorCtr="0" upright="1">
                      <a:noAutofit/>
                    </wps:bodyPr>
                  </wps:wsp>
                  <wps:wsp>
                    <wps:cNvPr id="1515" name="Layer3B1515"/>
                    <wps:cNvSpPr/>
                    <wps:spPr>
                      <a:xfrm>
                        <a:off x="4373999" y="1655999"/>
                        <a:ext cx="1386000" cy="756000"/>
                      </a:xfrm>
                      <a:prstGeom prst="rect">
                        <a:avLst/>
                      </a:prstGeom>
                      <a:solidFill>
                        <a:srgbClr val="FFFFFF"/>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ЕБС / ЕСИА</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18"/>
                              <w:szCs w:val="18"/>
                              <w:lang w:val="ru-RU"/>
                            </w:rPr>
                            <w:t xml:space="preserve">(574-ФЗ, 572-ФЗ)</w:t>
                          </w:r>
                        </w:p>
                      </w:txbxContent>
                    </wps:txbx>
                    <wps:bodyPr rot="0" spcFirstLastPara="0" vertOverflow="visible" horzOverflow="visible" wrap="square" lIns="36000" tIns="36000" rIns="36000" bIns="36000" anchor="ctr" anchorCtr="0" upright="1">
                      <a:noAutofit/>
                    </wps:bodyPr>
                  </wps:wsp>
                </wpg:wgp>
              </a:graphicData>
            </a:graphic>
          </wp:inline>
        </w:drawing>
      </w:r>
    </w:p>
    <w:p>
      <w:pPr>
        <w:keepLines/>
        <w:spacing w:before="60" w:after="20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Рис. 2.2.2. Структура конкурентной среды на российском рынке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Первый слой — банки-разработчики собственных биометрических сервисов, для которых биометрия одновременно работает внутренним средством обслуживания клиентов и самостоятельным коммерческим продуктом. Главный представитель слоя — ПАО Сбербанк с сервисом «Оплата улыбкой» (СберPay Smile), второй — ПАО «АК БАРС» БАНК с линейкой Face2. Второй слой — технологические вендоры, разрабатывающие алгоритмы и платформы распознавания и продающие их корпоративным и государственным заказчикам. Лидер слоя — VisionLabs, входящий с декабря 2021 года в структуру ПАО МТС, второй крупный игрок — NtechLab, разработчик системы FindFace [37; 38]. Третий слой — производители полного цикла СКУД, объединяющие в одном предложении программное обеспечение, собственное оборудование (терминалы, считыватели), интеграцию и сервисное сопровождение. Представители — OVISION (Ханты-Мансийск) и BioSmart (Прософт-Биометрикс) [39]. Над этими тремя слоями работает государственная инфраструктура — оператор ЕБС АО «Центр биометрических технологий», обеспечивающий централизованное хранение биометрических векторов и подтверждение личности при оказании услуг [34; 38]. Сводные характеристики основных игроков рынка собраны в таблице 2.2.4.</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2.2.4</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Основные игроки российского рынка биометрии и их позиционирование</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2"/>
        <w:gridCol w:w="1295"/>
        <w:gridCol w:w="2429"/>
        <w:gridCol w:w="2429"/>
        <w:gridCol w:w="2429"/>
      </w:tblGrid>
      <w:tr>
        <w:trPr>
          <w:tblHeader/>
          <w:cantSplit/>
        </w:trPr>
        <w:tc>
          <w:tcPr>
            <w:tcW w:w="105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Игрок</w:t>
            </w:r>
          </w:p>
        </w:tc>
        <w:tc>
          <w:tcPr>
            <w:tcW w:w="129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Тип</w:t>
            </w:r>
          </w:p>
        </w:tc>
        <w:tc>
          <w:tcPr>
            <w:tcW w:w="242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Целевые сегменты</w:t>
            </w:r>
          </w:p>
        </w:tc>
        <w:tc>
          <w:tcPr>
            <w:tcW w:w="242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Ключевая дифференциация</w:t>
            </w:r>
          </w:p>
        </w:tc>
        <w:tc>
          <w:tcPr>
            <w:tcW w:w="242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Масштаб</w:t>
            </w:r>
          </w:p>
        </w:tc>
      </w:tr>
      <w:tr>
        <w:trPr>
          <w:cantSplit/>
        </w:trPr>
        <w:tc>
          <w:tcPr>
            <w:tcW w:w="1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ПАО Сбербанк</w:t>
            </w:r>
          </w:p>
        </w:tc>
        <w:tc>
          <w:tcPr>
            <w:tcW w:w="12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Банк-разработчик</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B2C-эквайринг, B2B-партнёры (ритейл)</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Самая широкая инфраструктура биоэквайринга; собственная биометрическая база</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700+ тыс. терминалов, 30 млн зарегистрированных, 116 млрд руб. оборота за 2025 год [32]</w:t>
            </w:r>
          </w:p>
        </w:tc>
      </w:tr>
      <w:tr>
        <w:trPr>
          <w:cantSplit/>
        </w:trPr>
        <w:tc>
          <w:tcPr>
            <w:tcW w:w="1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ПАО «АК БАРС» БАНК (Face2)</w:t>
            </w:r>
          </w:p>
        </w:tc>
        <w:tc>
          <w:tcPr>
            <w:tcW w:w="12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Банк-разработчик</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B2B (КБС под ключ, Face2Pass), B2C (Face2Pay, Face2Check-in)</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Аккредитация Минцифры (одна из первых), вертикальная линейка под банковский сценарий</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200 биотерминалов в собственной сети, пилоты в Казанском метрополитене, библиотеках, гостиницах [27; 28, с. 30–31]</w:t>
            </w:r>
          </w:p>
        </w:tc>
      </w:tr>
      <w:tr>
        <w:trPr>
          <w:cantSplit/>
        </w:trPr>
        <w:tc>
          <w:tcPr>
            <w:tcW w:w="1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VisionLabs</w:t>
            </w:r>
          </w:p>
        </w:tc>
        <w:tc>
          <w:tcPr>
            <w:tcW w:w="12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Технологический вендор</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B2B/B2G (финансы, телеком, транспорт, промышленность, ритейл)</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Лидерство в международном рейтинге NIST FRTE; партнёрства с ЦБТ, ЦРТ, ITV; деятельность в 38 странах</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1,7 млн камер с ПО VisionLabs, 500+ проектов, 9 представительств в мире [37]</w:t>
            </w:r>
          </w:p>
        </w:tc>
      </w:tr>
      <w:tr>
        <w:trPr>
          <w:cantSplit/>
        </w:trPr>
        <w:tc>
          <w:tcPr>
            <w:tcW w:w="1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NtechLab</w:t>
            </w:r>
          </w:p>
        </w:tc>
        <w:tc>
          <w:tcPr>
            <w:tcW w:w="12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Технологический вендор</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B2G (безопасный город), транспорт, авиация, ритейл</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Технология FindFace; международный экспорт; деятельность в 24 регионах РФ через партнёров</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Внедрения в РФ и за рубежом (в том числе экспорт через дочерние структуры) [38]</w:t>
            </w:r>
          </w:p>
        </w:tc>
      </w:tr>
      <w:tr>
        <w:trPr>
          <w:cantSplit/>
        </w:trPr>
        <w:tc>
          <w:tcPr>
            <w:tcW w:w="1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OVISION</w:t>
            </w:r>
          </w:p>
        </w:tc>
        <w:tc>
          <w:tcPr>
            <w:tcW w:w="12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Производитель полного цикла СКУД</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B2B/B2G (СКУД, КБС, контроль рабочего времени)</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Собственное производство терминалов OGATE; полный комплект формальных статусов (Минцифры, Минпромторг, реестр ПО, СКЗИ)</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СКУД установлены в РЖД (Центральный аппарат), Мосэнергосбыте, Правительстве Тульской области [39]</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 28, с. 30–31; 32; 37; 38;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Сводная характеристика в таблице 2.2.4 показывает три ключевых наблюдения. Первое: Face2 не конкурирует на одном поле сразу со всеми игроками — у каждого из них своя сильная сторона и свой типовой клиент. Второе: Сбер занимает доминирующую позицию в массовом B2C-биоэквайринге, и прямая лобовая конкуренция с ним по критерию масштаба нерациональна. Третье: на рынке параллельно работают два разных типа поставщиков биометрии для B2B-клиента — банк-разработчик с банковской экосистемой (Face2) и производитель полного цикла с собственным железом (OVISION); они закрывают разные потребности заказчика и могут как конкурировать, так и сотрудничать.</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Анализ пяти конкурентных сил Портера на российском рынке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Трёхслойная карта конкурентов фиксирует, кто работает на рынке и в каких слоях. Чтобы оценить, насколько привлекателен этот рынок для Face2 и какие силы определяют интенсивность конкуренции внутри него, целесообразно дополнить структурную карту рамкой пяти конкурентных сил М. Портера. Согласно его методике, средний уровень прибыльности отрасли и устойчивость позиции отдельной фирмы определяются балансом пяти структурных факторов: угрозы со стороны новых участников, рыночной силы поставщиков, рыночной силы покупателей, угрозы товаров-заменителей и интенсивности соперничества между действующими конкурентами [1, с. 39]. Применительно к российскому рынку биометрии такая рамка позволяет перевести разрозненные наблюдения о регуляторе, инфраструктуре, технологических вендорах и крупных заказчиках в единую структурную модель и подготовить базу для последующего сравнительного анализа Face2 и ключевых конкурентов. Графическое представление модели пяти сил применительно к российскому рынку биометрии приведено на рисунке 2.2.3, сводная оценка с детализацией факторов и влияния на Face2 — в таблице 2.2.5.</w:t>
      </w:r>
    </w:p>
    <w:p>
      <w:pPr>
        <w:keepNext/>
        <w:keepLines/>
        <w:spacing w:before="12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[1, с. 39] с адаптацией к российскому рынку биометрии и продуктовой позиции Face2 на основе данных [27; 32; 33; 34; 36; 37; 38; 39; 42; 43]</w:t>
      </w:r>
    </w:p>
    <w:p>
      <w:pPr>
        <w:keepNext/>
        <w:keepLines/>
        <w:spacing w:before="120" w:after="60" w:line="240" w:lineRule="auto"/>
        <w:jc w:val="center"/>
        <w:rPr>
          <w:rFonts w:ascii="Times New Roman" w:hAnsi="Times New Roman" w:cs="Times New Roman" w:eastAsia="Times New Roman"/>
          <w:sz w:val="28"/>
          <w:szCs w:val="28"/>
          <w:lang w:val="ru-RU"/>
        </w:rPr>
      </w:pPr>
      <w:r>
        <w:drawing>
          <wp:inline distT="0" distB="0" distL="0" distR="0">
            <wp:extent cx="5760000" cy="4140000"/>
            <wp:effectExtent l="0" t="0" r="0" b="0"/>
            <wp:docPr id="1006" name="Drawing1006"/>
            <wp:cNvGraphicFramePr/>
            <a:graphic>
              <a:graphicData uri="http://schemas.microsoft.com/office/word/2010/wordprocessingGroup">
                <wpg:wgp>
                  <wpg:cNvGrpSpPr/>
                  <wpg:grpSpPr>
                    <a:xfrm>
                      <a:off x="0" y="0"/>
                      <a:ext cx="5760000" cy="4140000"/>
                      <a:chOff x="0" y="0"/>
                      <a:chExt cx="5760000" cy="4140000"/>
                    </a:xfrm>
                  </wpg:grpSpPr>
                  <wps:wsp>
                    <wps:cNvPr id="1601" name="Center1601"/>
                    <wps:cNvSpPr/>
                    <wps:spPr>
                      <a:xfrm>
                        <a:off x="1890000" y="1565999"/>
                        <a:ext cx="1980000" cy="864000"/>
                      </a:xfrm>
                      <a:prstGeom prst="rect">
                        <a:avLst/>
                      </a:prstGeom>
                      <a:solidFill>
                        <a:srgbClr val="1F4E79"/>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Внутриотраслевая</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20"/>
                              <w:szCs w:val="20"/>
                              <w:lang w:val="ru-RU"/>
                            </w:rPr>
                            <w:t xml:space="preserve">конкуренция</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D966"/>
                              <w:sz w:val="16"/>
                              <w:szCs w:val="16"/>
                              <w:lang w:val="ru-RU"/>
                            </w:rPr>
                            <w:t xml:space="preserve">[СРЕДНЕ-ВЫСОКАЯ]</w:t>
                          </w:r>
                        </w:p>
                      </w:txbxContent>
                    </wps:txbx>
                    <wps:bodyPr rot="0" spcFirstLastPara="0" vertOverflow="visible" horzOverflow="visible" wrap="square" lIns="36000" tIns="36000" rIns="36000" bIns="36000" anchor="ctr" anchorCtr="0" upright="1">
                      <a:noAutofit/>
                    </wps:bodyPr>
                  </wps:wsp>
                  <wps:wsp>
                    <wps:cNvPr id="1602" name="ThreatNew1602"/>
                    <wps:cNvSpPr/>
                    <wps:spPr>
                      <a:xfrm>
                        <a:off x="1980000" y="108000"/>
                        <a:ext cx="1800000" cy="936000"/>
                      </a:xfrm>
                      <a:prstGeom prst="rect">
                        <a:avLst/>
                      </a:prstGeom>
                      <a:solidFill>
                        <a:srgbClr val="2E75B6"/>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Угроза новых</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участников</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D966"/>
                              <w:sz w:val="14"/>
                              <w:szCs w:val="14"/>
                              <w:lang w:val="ru-RU"/>
                            </w:rPr>
                            <w:t xml:space="preserve">[НИЗКАЯ]</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572-ФЗ, аккредитация</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Минцифры (КБС);</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статус оператора</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по № 115-ФЗ; ФСБ/ФСТЭК;</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420-ФЗ и 421-ФЗ — штрафы</w:t>
                          </w:r>
                        </w:p>
                      </w:txbxContent>
                    </wps:txbx>
                    <wps:bodyPr rot="0" spcFirstLastPara="0" vertOverflow="visible" horzOverflow="visible" wrap="square" lIns="36000" tIns="36000" rIns="36000" bIns="36000" anchor="ctr" anchorCtr="0" upright="1">
                      <a:noAutofit/>
                    </wps:bodyPr>
                  </wps:wsp>
                  <wps:wsp>
                    <wps:cNvPr id="1603" name="Line1603"/>
                    <wps:cNvCnPr/>
                    <wps:spPr>
                      <a:xfrm>
                        <a:off x="2880000" y="1044000"/>
                        <a:ext cx="1" cy="521999"/>
                      </a:xfrm>
                      <a:prstGeom prst="line">
                        <a:avLst/>
                      </a:prstGeom>
                      <a:ln w="15875">
                        <a:solidFill>
                          <a:srgbClr val="1F4E79"/>
                        </a:solidFill>
                        <a:tailEnd type="triangle" w="med" len="med"/>
                      </a:ln>
                    </wps:spPr>
                    <wps:bodyPr/>
                  </wps:wsp>
                  <wps:wsp>
                    <wps:cNvPr id="1604" name="ThreatSubst1604"/>
                    <wps:cNvSpPr/>
                    <wps:spPr>
                      <a:xfrm>
                        <a:off x="1980000" y="3096000"/>
                        <a:ext cx="1800000" cy="936000"/>
                      </a:xfrm>
                      <a:prstGeom prst="rect">
                        <a:avLst/>
                      </a:prstGeom>
                      <a:solidFill>
                        <a:srgbClr val="2E75B6"/>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Угроза товаров-</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заменителей</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D966"/>
                              <w:sz w:val="14"/>
                              <w:szCs w:val="14"/>
                              <w:lang w:val="ru-RU"/>
                            </w:rPr>
                            <w:t xml:space="preserve">[СРЕДНЯЯ]</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QR-эквайринг (×16),</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NFC, SMS-OTP,</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голосовая биометрия,</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карты и мобильные ключи</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в СКУД</w:t>
                          </w:r>
                        </w:p>
                      </w:txbxContent>
                    </wps:txbx>
                    <wps:bodyPr rot="0" spcFirstLastPara="0" vertOverflow="visible" horzOverflow="visible" wrap="square" lIns="36000" tIns="36000" rIns="36000" bIns="36000" anchor="ctr" anchorCtr="0" upright="1">
                      <a:noAutofit/>
                    </wps:bodyPr>
                  </wps:wsp>
                  <wps:wsp>
                    <wps:cNvPr id="1605" name="Line1605"/>
                    <wps:cNvCnPr/>
                    <wps:spPr>
                      <a:xfrm flipV="1">
                        <a:off x="2880000" y="2430000"/>
                        <a:ext cx="1" cy="665999"/>
                      </a:xfrm>
                      <a:prstGeom prst="line">
                        <a:avLst/>
                      </a:prstGeom>
                      <a:ln w="15875">
                        <a:solidFill>
                          <a:srgbClr val="1F4E79"/>
                        </a:solidFill>
                        <a:tailEnd type="triangle" w="med" len="med"/>
                      </a:ln>
                    </wps:spPr>
                    <wps:bodyPr/>
                  </wps:wsp>
                  <wps:wsp>
                    <wps:cNvPr id="1606" name="Suppliers1606"/>
                    <wps:cNvSpPr/>
                    <wps:spPr>
                      <a:xfrm>
                        <a:off x="36000" y="1602000"/>
                        <a:ext cx="1800000" cy="936000"/>
                      </a:xfrm>
                      <a:prstGeom prst="rect">
                        <a:avLst/>
                      </a:prstGeom>
                      <a:solidFill>
                        <a:srgbClr val="2E75B6"/>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Рыночная сила</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поставщиков</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D966"/>
                              <w:sz w:val="14"/>
                              <w:szCs w:val="14"/>
                              <w:lang w:val="ru-RU"/>
                            </w:rPr>
                            <w:t xml:space="preserve">[СРЕДНЯЯ]</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Производители</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биотерминалов;</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АО ЦБТ — монополист</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хранения векторов;</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собственные алгоритмы</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Face2 (99,5%)</w:t>
                          </w:r>
                        </w:p>
                      </w:txbxContent>
                    </wps:txbx>
                    <wps:bodyPr rot="0" spcFirstLastPara="0" vertOverflow="visible" horzOverflow="visible" wrap="square" lIns="36000" tIns="36000" rIns="36000" bIns="36000" anchor="ctr" anchorCtr="0" upright="1">
                      <a:noAutofit/>
                    </wps:bodyPr>
                  </wps:wsp>
                  <wps:wsp>
                    <wps:cNvPr id="1607" name="Line1607"/>
                    <wps:cNvCnPr/>
                    <wps:spPr>
                      <a:xfrm flipV="1">
                        <a:off x="1835999" y="1998000"/>
                        <a:ext cx="54000" cy="72000"/>
                      </a:xfrm>
                      <a:prstGeom prst="line">
                        <a:avLst/>
                      </a:prstGeom>
                      <a:ln w="15875">
                        <a:solidFill>
                          <a:srgbClr val="1F4E79"/>
                        </a:solidFill>
                        <a:tailEnd type="triangle" w="med" len="med"/>
                      </a:ln>
                    </wps:spPr>
                    <wps:bodyPr/>
                  </wps:wsp>
                  <wps:wsp>
                    <wps:cNvPr id="1608" name="Buyers1608"/>
                    <wps:cNvSpPr/>
                    <wps:spPr>
                      <a:xfrm>
                        <a:off x="3924000" y="1602000"/>
                        <a:ext cx="1800000" cy="936000"/>
                      </a:xfrm>
                      <a:prstGeom prst="rect">
                        <a:avLst/>
                      </a:prstGeom>
                      <a:solidFill>
                        <a:srgbClr val="2E75B6"/>
                      </a:solidFill>
                      <a:ln w="9525">
                        <a:solidFill>
                          <a:srgbClr val="1F4E79"/>
                        </a:solid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Рыночная сила</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FFFF"/>
                              <w:sz w:val="18"/>
                              <w:szCs w:val="18"/>
                              <w:lang w:val="ru-RU"/>
                            </w:rPr>
                            <w:t xml:space="preserve">покупателей</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FFD966"/>
                              <w:sz w:val="14"/>
                              <w:szCs w:val="14"/>
                              <w:lang w:val="ru-RU"/>
                            </w:rPr>
                            <w:t xml:space="preserve">[СРЕДНЕ-ВЫСОКАЯ]</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Крупные B2B/B2G:</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банки, транспорт,</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ритейл, госучреждения;</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низкие издержки</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переключения</w:t>
                          </w:r>
                        </w:p>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FFFFFF"/>
                              <w:sz w:val="12"/>
                              <w:szCs w:val="12"/>
                              <w:lang w:val="ru-RU"/>
                            </w:rPr>
                            <w:t xml:space="preserve">в техслое</w:t>
                          </w:r>
                        </w:p>
                      </w:txbxContent>
                    </wps:txbx>
                    <wps:bodyPr rot="0" spcFirstLastPara="0" vertOverflow="visible" horzOverflow="visible" wrap="square" lIns="36000" tIns="36000" rIns="36000" bIns="36000" anchor="ctr" anchorCtr="0" upright="1">
                      <a:noAutofit/>
                    </wps:bodyPr>
                  </wps:wsp>
                  <wps:wsp>
                    <wps:cNvPr id="1609" name="Line1609"/>
                    <wps:cNvCnPr/>
                    <wps:spPr>
                      <a:xfrm flipH="1" flipV="1">
                        <a:off x="3870000" y="1998000"/>
                        <a:ext cx="54000" cy="72000"/>
                      </a:xfrm>
                      <a:prstGeom prst="line">
                        <a:avLst/>
                      </a:prstGeom>
                      <a:ln w="15875">
                        <a:solidFill>
                          <a:srgbClr val="1F4E79"/>
                        </a:solidFill>
                        <a:tailEnd type="triangle" w="med" len="med"/>
                      </a:ln>
                    </wps:spPr>
                    <wps:bodyPr/>
                  </wps:wsp>
                </wpg:wgp>
              </a:graphicData>
            </a:graphic>
          </wp:inline>
        </w:drawing>
      </w:r>
    </w:p>
    <w:p>
      <w:pPr>
        <w:keepLines/>
        <w:spacing w:before="60" w:after="20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Рис. 2.2.3. Модель пяти конкурентных сил М. Портера применительно к российскому рынку биометрии (для продукта Face2)</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2.2.5</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Анализ пяти конкурентных сил М. Портера на российском рынке биометрии применительно к продукту Face2</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9"/>
        <w:gridCol w:w="1450"/>
        <w:gridCol w:w="3109"/>
        <w:gridCol w:w="3109"/>
      </w:tblGrid>
      <w:tr>
        <w:trPr>
          <w:tblHeader/>
          <w:cantSplit/>
        </w:trPr>
        <w:tc>
          <w:tcPr>
            <w:tcW w:w="196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Сила</w:t>
            </w:r>
          </w:p>
        </w:tc>
        <w:tc>
          <w:tcPr>
            <w:tcW w:w="145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Уровень</w:t>
            </w:r>
          </w:p>
        </w:tc>
        <w:tc>
          <w:tcPr>
            <w:tcW w:w="310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Ключевые факторы</w:t>
            </w:r>
          </w:p>
        </w:tc>
        <w:tc>
          <w:tcPr>
            <w:tcW w:w="310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Влияние на Face2</w:t>
            </w:r>
          </w:p>
        </w:tc>
      </w:tr>
      <w:tr>
        <w:trPr>
          <w:cantSplit/>
        </w:trPr>
        <w:tc>
          <w:tcPr>
            <w:tcW w:w="196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Угроза со стороны новых участников</w:t>
            </w:r>
          </w:p>
        </w:tc>
        <w:tc>
          <w:tcPr>
            <w:tcW w:w="14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низкий</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Высокие регуляторные барьеры входа: 572-ФЗ, обязательная аккредитация Минцифры по правилам коммерческой биометрической системы, статус оператора по № 115-ФЗ для регистрации в ЕБС, сертификация ФСБ и ФСТЭК, реестр отечественного ПО, подзаконный блок Банка России (Указание № 6541-У от 25.09.2023, Методические рекомендации № 18-МР от 20.12.2023, Методические рекомендации № 19-МР от 23.12.2023) [27; 33; 36; 44; 45; 46]. Ужесточение ответственности по № 420-ФЗ и № 421-ФЗ от 30.11.2024: административные штрафы до 1–3% годового дохода и уголовная ответственность за неправомерное обращение с биометрическими данными [27]. Высокая капиталоёмкость собственной алгоритмической базы и необходимость многолетней наработки референсной базы.</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Защищает уже занятую позицию: набор формальных статусов Face2 (аккредитация № 4-А от 15.11.2023, № 101 в перечне по ФЗ-115, сертификация ФСБ и ФСТЭК) одновременно недоступен новым игрокам без многолетней подготовки [27; 36].</w:t>
            </w:r>
          </w:p>
        </w:tc>
      </w:tr>
      <w:tr>
        <w:trPr>
          <w:cantSplit/>
        </w:trPr>
        <w:tc>
          <w:tcPr>
            <w:tcW w:w="196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 Рыночная сила поставщиков</w:t>
            </w:r>
          </w:p>
        </w:tc>
        <w:tc>
          <w:tcPr>
            <w:tcW w:w="14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Поставщики разнородны: производители биометрических терминалов (для банков-разработчиков без собственного железа), внешние алгоритмические вендоры, оператор государственной инфраструктуры АО «Центр биометрических технологий» как монополист в части хранения биометрических векторов в ГИС ЕБС [34; 42]. Тарифы и регламент работы с ЕБС задаются 572-ФЗ и не подлежат двусторонним переговорам [33].</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Позиция Face2 смешанная: банк располагает собственными алгоритмами с заявленной точностью 99,5%, что снимает зависимость от внешних вендоров уровня VisionLabs или NtechLab, но сохраняется зависимость от партнёрского производителя терминалов (в отличие от OVISION с собственным аппаратным стеком) и от ЦБТ как единственного оператора ЕБС [27; 39; 42].</w:t>
            </w:r>
          </w:p>
        </w:tc>
      </w:tr>
      <w:tr>
        <w:trPr>
          <w:cantSplit/>
        </w:trPr>
        <w:tc>
          <w:tcPr>
            <w:tcW w:w="196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 Рыночная сила покупателей</w:t>
            </w:r>
          </w:p>
        </w:tc>
        <w:tc>
          <w:tcPr>
            <w:tcW w:w="14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средне-высокий</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целевом сегменте B2B и B2G заказчики крупны и концентрированы (банки, операторы транспорта, федеральный ритейл, государственные учреждения), что даёт им сильную переговорную позицию по ценам и условиям интеграции. Издержки переключения для технологического слоя относительно невысоки: алгоритм можно заменить, СКУД переоборудовать. В то же время для решений, встроенных в банковскую экосистему (биоэквайринг через мобильное приложение, удалённое открытие счёта), издержки переключения значительно выше из-за зависимости от регуляторного статуса банка-партнёра.</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сегменте чистого технологического слоя сила покупателей высокая и Face2 конкурирует с VisionLabs и OVISION по цене и функциональности; в сегменте «банк + биометрия + ЕБС» сила покупателей снижается, потому что аналоги предлагают только ограниченное число банков-операторов [27; 36].</w:t>
            </w:r>
          </w:p>
        </w:tc>
      </w:tr>
      <w:tr>
        <w:trPr>
          <w:cantSplit/>
        </w:trPr>
        <w:tc>
          <w:tcPr>
            <w:tcW w:w="196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 Угроза товаров-заменителей</w:t>
            </w:r>
          </w:p>
        </w:tc>
        <w:tc>
          <w:tcPr>
            <w:tcW w:w="14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Биометрия конкурирует с альтернативными методами идентификации и оплаты: пластиковые карты, NFC, QR-эквайринг, push-уведомления, SMS-OTP, голосовая биометрия в отдельных сценариях. По данным Банка России, во II квартале 2025 года QR-эквайринг превысил биометрический по числу операций в 16 раз (около 990 млн против около 60 млн), однако темпы роста биометрии выше (+50% против +25% за квартал) [43]. В СКУД-сегменте субститутами выступают карточные пропуска и мобильные ключи.</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регулируемых сценариях (открытие счёта, подтверждение возраста при покупке алкоголя и рецептурных лекарств, идентификация в транспорте) субституты ограничены законом и не вытесняют биометрию. В массовом эквайринге QR-канал занимает большую часть оборота, но не уничтожает биометрический сегмент: оба канала развиваются параллельно [38; 43].</w:t>
            </w:r>
          </w:p>
        </w:tc>
      </w:tr>
      <w:tr>
        <w:trPr>
          <w:cantSplit/>
        </w:trPr>
        <w:tc>
          <w:tcPr>
            <w:tcW w:w="196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 Внутриотраслевая конкуренция</w:t>
            </w:r>
          </w:p>
        </w:tc>
        <w:tc>
          <w:tcPr>
            <w:tcW w:w="14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средне-высокий</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Рынок поделён на три слоя с собственными лидерами: ПАО Сбербанк в B2C-биоэквайринге (700+ тыс. терминалов, 30 млн зарегистрированных, оборот 116 млрд руб. за 2025 год), VisionLabs в технологическом слое (1,7 млн камер с ПО, 38 стран присутствия), OVISION в полном цикле СКУД (собственное оборудование OGATE, референсы РЖД, Мосэнергосбыт) [32; 37; 39]. Девятикратный годовой рост числа биометрических платежей и пятикратный рост оборота снижают остроту прямой ценовой конкуренции [38].</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Прямой лобовой конкуренции в собственной нише Face2 мало: банк не пересекается со Сбером по объёму, с VisionLabs по верификации алгоритмов в международных рейтингах и с OVISION по аппаратному стеку. Конкуренция концентрируется на узком пересечении — B2B и B2G-заказчики со сценариями работы с физическими лицами через ЕБС в банковской экосистеме, где конкурируют преимущественно банки-операторы.</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[1, с. 39; 27; 28, с. 17, 30–31, 33; 32; 33; 34; 36; 37; 38; 39; 42; 43]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Из анализа в таблице 2.2.5 складывается единая структурная картина. Две силы — угроза новых участников и рыночная сила поставщиков (в части алгоритмов) — оказывают на Face2 ослабленное давление: жёсткая регуляторная рамка отсекает несертифицированных игроков от рынка биометрии физических лиц через ЕБС, а собственная алгоритмическая база банка снимает зависимость от внешних технологических вендоров [27; 33; 36]. Две силы — рыночная сила покупателей и угроза товаров-заменителей — действуют умеренно и расщепляются по сегментам: в технологическом слое они высоки, а в нише «банк + ЕБС» снижаются за счёт недоступности эквивалентов у вендоров [38; 43]. Внутриотраслевая конкуренция в обозримом периоде остаётся средне-высокой, но смягчается двумя факторами — многослойностью рынка, при которой лидеры разных слоёв не пересекаются по типовому клиенту, и кратным ростом спроса, который позволяет нескольким игрокам одновременно расширять долю без прямого вытеснения друг друга [32; 37; 38;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Совокупное наблюдение по пяти силам — российский рынок биометрии относится к структурно привлекательным отраслям с высокими барьерами входа и умеренной интенсивностью внутреннего соперничества в разрезе отдельных слоёв. Управленческое следствие для стратегии продвижения Face2 двоякое. Во-первых, анализ подтверждает рациональность опоры на регуляторный капитал и банковскую экосистему как на основу позиционирования: именно эти две позиции одновременно работают барьером входа для новых игроков и фактором снижения силы покупателей в целевом сегменте. Во-вторых, две силы задают пробелы, которые требуют отдельного учёта в стратегии продвижения главы 3: средняя сила поставщиков в части аппаратного стека предполагает либо партнёрское закрепление за производителем терминалов, либо переход к собственному производству; угроза субститутов в массовом эквайринге означает, что прямая лобовая конкуренция с QR-эквайрингом по числу операций бесперспективна, и Face2 должен опираться на сценарии, где QR ограничен законом или неудобен для пользователя. Эти выводы предметно конкретизируются в следующем подразделе на уровне сравнения Face2 с ключевыми игроками рынка.</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Сравнительный анализ Face2 и ключевых конкурентов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Сравнительный анализ строится по семи параметрам, существенным для выбора биометрического решения корпоративным и розничным заказчиком: тип игрока, продуктовая линейка по форм-факторам и сценариям, формальные регуляторные статусы, независимая верификация точности, географический охват, типовая бизнес-модель и наличие банковской/инфраструктурной экосистемы. Результаты сравнения собраны в таблице 2.2.6.</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2.2.6</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Сравнение Face2 и ключевых конкурентов на российском рынке биометрии</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8"/>
        <w:gridCol w:w="2036"/>
        <w:gridCol w:w="1764"/>
        <w:gridCol w:w="2036"/>
        <w:gridCol w:w="1832"/>
      </w:tblGrid>
      <w:tr>
        <w:trPr>
          <w:tblHeader/>
          <w:cantSplit/>
        </w:trPr>
        <w:tc>
          <w:tcPr>
            <w:tcW w:w="196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Параметр</w:t>
            </w:r>
          </w:p>
        </w:tc>
        <w:tc>
          <w:tcPr>
            <w:tcW w:w="203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Face2 (АК БАРС БАНК)</w:t>
            </w:r>
          </w:p>
        </w:tc>
        <w:tc>
          <w:tcPr>
            <w:tcW w:w="176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Сбер</w:t>
            </w:r>
          </w:p>
        </w:tc>
        <w:tc>
          <w:tcPr>
            <w:tcW w:w="203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VisionLabs</w:t>
            </w:r>
          </w:p>
        </w:tc>
        <w:tc>
          <w:tcPr>
            <w:tcW w:w="183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OVISION</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 игрока</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Банк-разработчик</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Банк-разработчик</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Технологический вендор</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Производитель полного цикла</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Аккредитация Минцифры как оператор КБС</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(Решение № 4-А от 15.11.2023) [27]</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(через дочерние структуры)</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 ЦБТ, оператор инфраструктуры [37]</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[39]</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Право регистрировать БПд граждан в ЕБС (статус по № 115-ФЗ)</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 101 в перечне) [36]</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(B2B-вендор)</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(B2B-вендор)</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Реестр отечественного ПО</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[27]</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[37]</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[39]</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Сертификация ФСБ и ФСТЭК</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[27]</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(через ПАК «ВЛ-БИО») [37]</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(право устанавливать СКЗИ) [39]</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Независимая верификация точности (NIST FRTE, iBeta, CVPR)</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 заявлена публично</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 заявлена публично</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Заявлена и подтверждена [37]</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 заявлена в ведущих международных рейтингах</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Заявленная точность распознавания</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99,5% [27]</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косвенно через VisionLabs</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Лидерство в NIST FRTE [37]</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99,9% (по данным компании) [39]</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Среднее время сканирования</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2 секунд [27]</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 секунд (цель — 2 секунды к 2025) [32]</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2,5 секунд (документация LUNA)</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0,3 секунды (по данным компании) [39]</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Собственное производство терминалов</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(партнёрское оборудование)</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(ПАК «ВЛ-БИО» — интеграционный модуль)</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(OGATE One/Mini/Thermo) [39]</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линейка</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 Face2Pass, Face2Check-in, КБС под ключ — по сценариям внутри банковской вертикали</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СберPay Smile — преимущественно эквайринг</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LUNA Platform/Cars/ID/Pass/Kiosk + Deepfake Detection — по форм-факторам</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OGATE One/Mini/Thermo + OGATE Control + КБС OVISION</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География</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Татарстан и федеральные пилоты (с Минцифры, Минтрансом, НСПК)</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Вся Российская Федерация и новые территории [32]</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38 стран, 9 представительств [37]</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Вся Российская Федерация</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Антифрод-функциональность (Deepfake Detection)</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 заявлена в публичной линейке</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Многоконтурная защита: liveness + AI-фрод + ПИН [32]</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Отдельный продукт Deepfake Detection [37]</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Антиспуфинг и детекция дипфейков в составе решений [39]</w:t>
            </w:r>
          </w:p>
        </w:tc>
      </w:tr>
      <w:tr>
        <w:trPr>
          <w:cantSplit/>
        </w:trPr>
        <w:tc>
          <w:tcPr>
            <w:tcW w:w="19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Банковская / инфраструктурная экосистема</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ПАО «АК БАРС» БАНК, Карта жителя РТ, СБП, мобильное приложение [28, с. 17, 33]</w:t>
            </w:r>
          </w:p>
        </w:tc>
        <w:tc>
          <w:tcPr>
            <w:tcW w:w="17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ПАО Сбербанк, СберPay, СберID</w:t>
            </w:r>
          </w:p>
        </w:tc>
        <w:tc>
          <w:tcPr>
            <w:tcW w:w="20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Партнёрства с ЦБТ, ЦРТ, Нетрис, ITV, ВК ИТС, Macroscop [37]</w:t>
            </w:r>
          </w:p>
        </w:tc>
        <w:tc>
          <w:tcPr>
            <w:tcW w:w="183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Внутренние сертификации, без банковской экосистемы</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 28, с. 17, 33; 32; 36; 37;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Сравнение в таблице 2.2.6 фиксирует четыре чётко различимые позиции на рынке. Сбер закрывает массовый B2C-биоэквайринг масштабом и инфраструктурой; конкуренция с ним по размеру парка терминалов и числу пользователей в обозримом горизонте маркетинговыми средствами недостижима. VisionLabs закрывает технологический слой — алгоритмы, платформы, форм-факторы (мобильное, web, киоск, видеопоток) — и сильнее всех конкурентов по независимой верификации точности через NIST FRTE и iBeta. OVISION закрывает рынок полного цикла СКУД — собственное оборудование плюс программное ядро плюс полный набор формальных регуляторных статусов — и силён в государственном сегменте за счёт референсов федерального уровня (РЖД, Мосэнергосбыт, Правительство Тульской области). Face2 не входит в эти три позиции лоб в лоб, а занимает четвёртую — банковский сервисный игрок с правом регистрации биометрических данных граждан в ЕБС через статус по № 115-ФЗ и с продуктовой линейкой, выстроенной не по форм-факторам, а по банковским сценариям.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Конкурентные преимущества и пробелы Face2 распределяются неравномерно. К преимуществам относятся пять позиций. Первая — статус банка-оператора по № 115-ФЗ, дающий право регистрации биометрических векторов граждан в ЕБС: ни VisionLabs, ни OVISION, ни иные технологические вендоры этого права не имеют, и для них единственный путь работы с биометрией физических лиц — через банк-партнёра. Вторая — аккредитация Минцифры как оператора КБС, полученная одной из первых в стране (Решение № 4-А от 15 ноября 2023 года), что после ужесточения ответственности по 420-ФЗ и 421-ФЗ становится особенно ценным барьером входа [27]. Третья — институциональный стаж работы с ЕБС с июля 2018 года и положение первого банка ПФО, подключённого к этой инфраструктуре, что снимает риск восприятия Face2 как «нового и непроверенного» сервиса [40]. Четвёртая — банковская экосистема: 934 тыс. розничных клиентов, 33,9 тыс. корпоративных клиентов, 930 тыс. пользователей мобильного приложения, 450 тыс. держателей Карты жителя Республики Татарстан, рейтинги «A» по национальной шкале и подтверждённый ESG-статус [28, с. 17, 33]. Пятая — продуктовая вертикаль под банковский сценарий: один программный фундамент закрывает оплату, проход и подтверждение возраста внутри одной экосистемы клиента, что отличает Face2 от горизонтальных платформ технологических вендоров.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Пробелы — четыре. Первый — отсутствие независимой международной верификации точности алгоритмов в формате NIST FRTE, iBeta или CVPR, тогда как VisionLabs строит на ней значимую часть позиционирования [37]. Второй — отсутствие собственного производства биометрических терминалов и, как следствие, частичная зависимость от партнёрского оборудования, тогда как OVISION предлагает полный аппаратный стек одного производителя со всеми формальными статусами (Минпромторг, реестр радиоэлектронной продукции, СКЗИ) [39]. Третий — локальный масштаб: ядро текущей коммерческой базы Face2 — Татарстан и федеральные пилоты, тогда как Сбер работает по всей стране, а VisionLabs — в 38 странах. Четвёртый — отсутствие в публичной продуктовой линейке отдельного решения по детекции дипфейков, которое уже представлено и у VisionLabs (Deepfake Detection), и у OVISION (антиспуфинг и детекция дипфейков), и в виде многоконтурной защиты у Сбера [32; 37; 39].</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Ключевые факторы успеха на российском рынке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Сравнительная матрица в таблице 2.2.6 и анализ преимуществ и пробелов Face2 фиксируют, по каким параметрам игроки различаются, но не отвечают на вопрос, какие из этих параметров критичны для победы в отрасли, а какие — второстепенны. Этот разрыв снимает понятие ключевых факторов успеха (КФУ) — управляемых ресурсов, компетенций и характеристик продукта, владение которыми обеспечивает устойчивое конкурентное преимущество в данной отрасли и без которых даже технологически сильное решение не выходит на коммерческий контур заказчика [1, с. 39; 9, с. 112]. КФУ выполняют две функции: они задают общий измерительный стандарт для всех игроков отрасли и одновременно формируют список критериев, по которым строится последующая балльная оценка.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Перечень КФУ российского рынка биометрии выводится из трёх источников, проработанных в предыдущих подразделах. Регуляторный и инфраструктурный контур (572-ФЗ, аккредитация Минцифры, статус по № 115-ФЗ, ужесточение ответственности по 420-ФЗ и 421-ФЗ) задаёт обязательный нижний порог формальных статусов: без них работа с биометрией физических лиц закрыта законом [27; 33; 36]. PESTEL-анализ макросреды (таблица 2.2.3) выделяет четыре устойчивых драйвера спроса — рост биометрических платежей, расширение базы пользователей ЕБС, поколенческое принятие технологии и государственный курс на технологический суверенитет — и три устойчивых ограничителя — психологический барьер доверия, регуляторно-репутационный риск и угрозу подделки идентичности через дипфейки [38; 42; 43]. Анализ пяти сил Портера (таблица 2.2.5) переводит эти факторы в структурную рамку: барьеры входа, рыночная сила поставщиков, рыночная сила покупателей, угроза заменителей и внутриотраслевая конкуренция [1, с. 39]. Сравнительный анализ Face2 и ключевых конкурентов (таблица 2.2.6) фиксирует, по каким именно характеристикам игроки реально различаются на рынке. Совмещение трёх источников даёт восемь КФУ, собранных в таблице 2.2.7.</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2.2.7</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Ключевые факторы успеха на российском рынке биометрии</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2791"/>
        <w:gridCol w:w="3101"/>
        <w:gridCol w:w="3101"/>
      </w:tblGrid>
      <w:tr>
        <w:trPr>
          <w:tblHeader/>
          <w:cantSplit/>
        </w:trPr>
        <w:tc>
          <w:tcPr>
            <w:tcW w:w="64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w:t>
            </w:r>
          </w:p>
        </w:tc>
        <w:tc>
          <w:tcPr>
            <w:tcW w:w="279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Ключевой фактор успеха</w:t>
            </w:r>
          </w:p>
        </w:tc>
        <w:tc>
          <w:tcPr>
            <w:tcW w:w="310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 фактора</w:t>
            </w:r>
          </w:p>
        </w:tc>
        <w:tc>
          <w:tcPr>
            <w:tcW w:w="310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Источник вывода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c>
          <w:tcPr>
            <w:tcW w:w="27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Регуляторно-правовой капитал</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Аккредитация Минцифры по правилам КБС, статус оператора биометрии по 572-ФЗ, право регистрации БПд граждан в ЕБС по № 115-ФЗ, сертификация ФСБ и ФСТЭК. После 420-ФЗ и 421-ФЗ работа без формальных статусов закрыта законом и ведёт к штрафам и уголовной ответственности</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PESTEL (фактор L), пять сил Портера (барьеры входа),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27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Технологическая зрелость алгоритмов</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Заявленная точность распознавания не ниже 99%, среднее время сканирования около 2 секунд, устойчивость к производственным нагрузкам — обязательный технический минимум для допуска к корпоративному и государственному заказчику</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PESTEL (фактор T),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27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Доказательная база точности</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Подтверждение технических характеристик независимыми международными или отечественными тестами (NIST FRTE, iBeta, CVPR), снимающее информационную асимметрию между заказчиком и вендором</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Пять сил Портера (рыночная сила покупателей),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27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полнота под B2B- и B2G-сценарии</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Готовые коммерческие сценарии биоэквайринга, контроля доступа, подтверждения возраста и КБС под ключ; способность закрыть смежные задачи заказчика одним вендором</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Сегментная структура рынка,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27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Географический охват и референсная база</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Присутствие в регионах целевого спроса, подтверждённые проекты федерального уровня и крупные коммерческие внедрения, работающие как репутационный фильтр</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PESTEL (фактор S),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w:t>
            </w:r>
          </w:p>
        </w:tc>
        <w:tc>
          <w:tcPr>
            <w:tcW w:w="27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Экосистемная интеграция (банковская и инфраструктурная)</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Собственная клиентская база, мобильное приложение, СБП, региональная карта, партнёрства с регулятором, транспортным оператором и национальной платёжной инфраструктурой; превращение биометрии из точечного сервиса в массовый канал</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Пять сил Портера (рыночная сила покупателей в нише «банк + ЕБС»),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w:t>
            </w:r>
          </w:p>
        </w:tc>
        <w:tc>
          <w:tcPr>
            <w:tcW w:w="27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Контроль аппаратного стека</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Собственное производство биометрических терминалов или эксклюзивное партнёрство, обеспечивающее доступ к оборудованию со всеми регуляторными статусами (Минпромторг, реестр радиоэлектронной продукции, СКЗИ) и снимающее риск срыва поставок</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Пять сил Портера (рыночная сила поставщиков),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c>
          <w:tcPr>
            <w:tcW w:w="27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Антифрод-функциональность</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Многоконтурная защита от подмены идентичности: liveness, антиспуфинг, детекция дипфейков, AI-фрод. После роста атак сгенерированными ИИ-образцами в 2024–2025 годах — обязательное условие для крупного заказчика</w:t>
            </w:r>
          </w:p>
        </w:tc>
        <w:tc>
          <w:tcPr>
            <w:tcW w:w="31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PESTEL (фактор T), пять сил Портера (угроза заменителей через подделку идентичности), сравнительная матрица</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[1, с. 39; 9, с. 112; 27; 28, с. 17, 33; 32; 33; 36; 37; 38; 39; 42; 43]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Содержательно восемь КФУ распадаются на три группы. Первая — регуляторно-инфраструктурные факторы (КФУ 1 и 6): они определяют сам факт допуска игрока к рынку биометрии физических лиц через ЕБС и доступ к массовому каналу распространения; владение этими факторами одновременно работает барьером входа для конкурентов и фактором снижения силы покупателей. Вторая — продуктово-технологические факторы (КФУ 2, 3, 4 и 8): они формируют функциональное ядро решения и определяют его пригодность для конкретного сценария заказчика; именно по этим факторам строится содержательная конкуренция внутри допущенных к рынку игроков. Третья — ресурсно-операционные факторы (КФУ 5 и 7): они определяют способность игрока масштабировать решение и удерживать издержки; их отсутствие не закрывает доступ к рынку, но ограничивает скорость роста и устойчивость поставок.</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Распределение Face2 по восьми КФУ выглядит следующим образом. Сильные позиции — КФУ 1 и 6 (регуляторно-правовой капитал и банковская экосистема): аккредитация Минцифры, статус оператора по № 115-ФЗ, сертификация ФСБ и ФСТЭК, клиентская база 934 тыс. розничных и 33,9 тыс. корпоративных клиентов, мобильное приложение, СБП, Карта жителя Республики Татарстан и партнёрства с Минцифры, Минтрансом и НСПК [27; 28, с. 17, 30–31, 33]. Средние позиции — КФУ 2 (технологическая зрелость алгоритмов: заявленные 99,5% точности и около 2 секунд времени сканирования соответствуют отраслевому уровню) и КФУ 4 (продуктовая полнота: четыре сценария — Face2Pay, Face2Pass, Face2Check-in и КБС под ключ — закрывают основные банковские и B2G-задачи) [27]. Слабые позиции — КФУ 3 (доказательная база точности: независимая международная верификация публично не заявлена), КФУ 5 (географический охват: ядро коммерческой базы — Татарстан и федеральные пилоты), КФУ 7 (аппаратный стек: собственного производства терминалов нет, используется партнёрское оборудование) и КФУ 8 (антифрод: отдельное решение по детекции дипфейков в публичной продуктовой линейке отсутствует) [27; 32; 37; 39]. Полученное распределение служит фактической базой для балльной экспертной оценки в следующем подразделе: оценки игроков по каждому КФУ переводятся в пятибалльную шкалу, КФУ — в критерии оценки, а их относительная значимость для типового и для целевого заказчика — в весовые коэффициенты.</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Балльная экспертная оценка решений на основе сравнительной матрицы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Перечень КФУ в таблице 2.2.7 фиксирует, что именно влияет на успех на российском рынке биометрии, но не даёт численного итога для управленческого решения. КФУ не равноправны: для типового заказчика биометрии регуляторный статус важнее аппаратного стека, а банковская экосистема — важнее географии присутствия вендора. Балльная экспертная оценка с весовыми коэффициентами учитывает эту разницу и переводит сравнение в формат, пригодный для последующего обоснования выбора целевого сегмента продвижения в главе 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Восемь оценочных пунктов соответствуют восьми КФУ из таблицы 2.2.7 и переведены в шкалу от 1 до 5 баллов. Шкала строится по содержательному принципу: 5 — лидерство, подтверждённое внешними источниками; 4 — устойчивая позиция с публично заявленными подтверждениями; 3 — позиция выше средней без независимой верификации; 2 — отдельные элементы реализованы, но не образуют системы; 1 — параметр публично не подтверждён. Каждому критерию присвоен вес от 0,05 до 0,20 в зависимости от значимости параметра при выборе биометрического решения корпоративным или государственным заказчиком, работающим с физическими лицами в инфраструктуре ЕБС. Сводные результаты собраны в таблице 2.2.8.</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2.2.8</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Балльная экспертная оценка Face2 и ключевых конкурентов на российском рынке биометрии</w:t>
      </w:r>
    </w:p>
    <w:tbl>
      <w:tblPr>
        <w:tblW w:w="96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6"/>
        <w:gridCol w:w="3920"/>
        <w:gridCol w:w="636"/>
        <w:gridCol w:w="1045"/>
        <w:gridCol w:w="1045"/>
        <w:gridCol w:w="1306"/>
        <w:gridCol w:w="1045"/>
      </w:tblGrid>
      <w:tr>
        <w:trPr>
          <w:tblHeader/>
          <w:cantSplit/>
        </w:trPr>
        <w:tc>
          <w:tcPr>
            <w:tcW w:w="63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w:t>
            </w:r>
          </w:p>
        </w:tc>
        <w:tc>
          <w:tcPr>
            <w:tcW w:w="392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Критерий</w:t>
            </w:r>
          </w:p>
        </w:tc>
        <w:tc>
          <w:tcPr>
            <w:tcW w:w="63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Вес</w:t>
            </w:r>
          </w:p>
        </w:tc>
        <w:tc>
          <w:tcPr>
            <w:tcW w:w="104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Face2</w:t>
            </w:r>
          </w:p>
        </w:tc>
        <w:tc>
          <w:tcPr>
            <w:tcW w:w="104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Сбер</w:t>
            </w:r>
          </w:p>
        </w:tc>
        <w:tc>
          <w:tcPr>
            <w:tcW w:w="130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VisionLabs</w:t>
            </w:r>
          </w:p>
        </w:tc>
        <w:tc>
          <w:tcPr>
            <w:tcW w:w="104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OVISION</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Регуляторный статус: аккредитация КБС, статус оператора биометрии, право регистрации в ЕБС</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0,20</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Заявленные точность и скорость распознавания</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0,10</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Независимая верификация точности (NIST FRTE, iBeta, CVPR)</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0,10</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линейка под B2B и B2G сценарии</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Географический охват и референсная база</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0,10</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Банковская и инфраструктурная экосистема</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Собственный аппаратный стек</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Антифрод-функциональность: детекция дипфейков, антиспуфинг</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**Сумма баллов**</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**30**</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**30**</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**Взвешенный итоговый балл**</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1,00</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**3,65**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**4,00**</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**4,40**</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**3,65**</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оценки автора по данным [27; 28, с. 17, 33; 32; 36; 37;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Расчёт даёт три наблюдения. Первое — суммарное лидерство по взвешенному баллу принадлежит VisionLabs за счёт независимой верификации алгоритмов в международных рейтингах и широкой продуктовой линейки по форм-факторам [37]. Второе — Сбер удерживает вторую позицию благодаря масштабу присутствия и многоконтурной антифрод-защите, но проигрывает VisionLabs по широте продуктовых сценариев и формальной верификации точности [32]. Третье — Face2 и OVISION делят третью позицию с равным взвешенным баллом 3,65 при принципиально разных профилях сильных сторон: Face2 набирает максимум по регуляторному статусу и банковской экосистеме (по 5 баллов), OVISION — по собственному аппаратному стеку и заявленным техническим характеристикам (по 5 баллов) [27;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Картина меняется при перенастройке весов под целевой сегмент Face2 — заказчиков B2B и B2G со сценариями работы с физическими лицами через ЕБС внутри банковской экосистемы. В сегментной конфигурации регуляторный статус и банковская экосистема выходят на первый план, а второстепенные для этого сегмента критерии — географический охват, собственный аппаратный стек, заявленные технические характеристики и независимая верификация точности — понижаются до минимального веса 0,05. Балльные оценки игроков по каждому критерию остаются прежними: они отражают объективные характеристики решений по источникам и не зависят от выбранного сегмента. Меняются только веса. Результаты сегментного расчёта собраны в таблице 2.2.9.</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2.2.9</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Балльная экспертная оценка под целевой сегмент Face2 — B2B и B2G-заказчики со сценариями работы с физическими лицами через ЕБС в банковской экосистеме</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3"/>
        <w:gridCol w:w="3646"/>
        <w:gridCol w:w="1215"/>
        <w:gridCol w:w="972"/>
        <w:gridCol w:w="972"/>
        <w:gridCol w:w="1215"/>
        <w:gridCol w:w="972"/>
      </w:tblGrid>
      <w:tr>
        <w:trPr>
          <w:tblHeader/>
          <w:cantSplit/>
        </w:trPr>
        <w:tc>
          <w:tcPr>
            <w:tcW w:w="64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w:t>
            </w:r>
          </w:p>
        </w:tc>
        <w:tc>
          <w:tcPr>
            <w:tcW w:w="364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Критерий</w:t>
            </w:r>
          </w:p>
        </w:tc>
        <w:tc>
          <w:tcPr>
            <w:tcW w:w="121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Сегментный вес</w:t>
            </w:r>
          </w:p>
        </w:tc>
        <w:tc>
          <w:tcPr>
            <w:tcW w:w="97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Face2</w:t>
            </w:r>
          </w:p>
        </w:tc>
        <w:tc>
          <w:tcPr>
            <w:tcW w:w="97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Сбер</w:t>
            </w:r>
          </w:p>
        </w:tc>
        <w:tc>
          <w:tcPr>
            <w:tcW w:w="121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VisionLabs</w:t>
            </w:r>
          </w:p>
        </w:tc>
        <w:tc>
          <w:tcPr>
            <w:tcW w:w="97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OVISION</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Регуляторный статус: аккредитация КБС, статус оператора биометрии, право регистрации в ЕБС</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0,30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Заявленные точность и скорость распознавания</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Независимая верификация точности (NIST FRTE, iBeta, CVPR)</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линейка под B2B и B2G сценарии</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Географический охват и референсная база</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Банковская и инфраструктурная экосистема</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0,25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Собственный аппаратный стек</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Антифрод-функциональность: детекция дипфейков, антиспуфинг</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**Взвешенный итоговый балл**</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1,00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**4,10**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**4,25**</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**4,10**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**3,50**</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оценки автора по данным [27; 28, с. 17, 33; 32; 36; 37;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Лидерство по целевому сегменту удерживает Сбер за счёт федерального охвата и многоконтурной антифрод-защиты [32]. Face2 разделяет вторую позицию с VisionLabs, опережая OVISION на 0,60 балла за счёт регуляторного статуса банка-оператора биометрии и собственной банковской экосистемы [27; 28, с. 17, 33; 36]. Сопоставление таблиц 2.2.8 и 2.2.9 показывает главное смещение: VisionLabs теряет весь свой отрыв относительно второй позиции (с 0,40 до 0,00 балла), Сбер уплотняет лидерство, OVISION уходит дальше от группы лидеров, а Face2 поднимается с разделённой третьей позиции на разделённую вторую. Балльный расчёт подтверждает качественный вывод параграфа: Face2 не претендует на универсальное лидерство, но входит в группу лидеров своего целевого сегмента — B2B и B2G-заказчиков со смешанными сценариями платежей, прохода и подтверждения возраста на биометрии физических лиц через ЕБС.</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Конкурентная позиция Face2 на российском рынке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Жёсткая регуляторная рамка 572-ФЗ ограничивает круг операторов биометрии до организаций, аккредитованных Минцифры по правилам коммерческой биометрической системы, и до банков, имеющих статус оператора по № 115-ФЗ для регистрации биометрических векторов в ЕБС [33; 27; 36]. Внутри этого ограниченного поля и формируется позиция Face2: доступ к рынку открыт не всем игрокам подряд, а только держателям нужных формальных статусов, и каждый дополнительный статус превращается в барьер входа для новых конкурентов.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Из проведённого анализа складывается чёткая конкурентная позиция Face2. На массовом B2C-биоэквайринге банк не конкурирует со Сбером по объёму, но имеет нишу для собственной базы клиентов в Татарстане и для пилотов с федеральными партнёрами (Минцифры, Минтранс, НСПК), которые работают как референсы для последующего масштабирования [28, с. 30–31]. Эта группа партнёров образует первую референтную базу федерального уровня: ни VisionLabs, ни OVISION такой связки одновременно с регулятором, транспортным оператором и национальной платёжной инфраструктурой публично не подтверждают [37; 39]. На технологическом слое банк не конкурирует с VisionLabs по верификации алгоритмов через международные рейтинги, но имеет преимущество в виде банковской экосистемы и права работать с биометрией физических лиц через ЕБС, которого у вендоров нет. На рынке полного цикла СКУД банк не конкурирует с OVISION по аппаратному стеку, но конкурирует напрямую в сегменте КБС под ключ — там, где B2B-клиенту нужна не просто биометрическая СКУД, а готовая коммерческая биометрическая система с банковской интеграцией. Это и есть собственный конкурентный сегмент Face2: B2B и B2G-заказчики со сценариями, в которых нужна одновременно работа с физическими лицами через ЕБС, банковская инфраструктура и продуктовая линейка под платежи, проход и подтверждение возраста.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Региональная база Татарстана работает в двух режимах одновременно. С одной стороны, она служит стартовой площадкой для отладки коммерческих сценариев на проектах банка — Карте жителя Республики Татарстан, мобильном приложении АК БАРС Online, СБП и собственной розничной сети [28, с. 17, 33]. С другой — ограничивает географический охват по сравнению со Сбером, который работает по всей стране [32], и с VisionLabs, представленной в 38 странах [37]. Подтверждённый ESG-статус и кредитные рейтинги уровня «A» по национальной шкале добавляют к этой региональной опоре отдельный репутационный слой и снимают часть барьеров доверия в сегменте B2G-заказчиков, для которых устойчивость поставщика биометрии входит в формальные требования закупки [28, с. 17, 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Целевые сегменты внутри этой позиции распределяются следующим образом. Первая группа — банки и МФО, выбирающие технологического партнёра для биоэквайринга и удалённой идентификации; здесь у Face2 преимущество в виде банковской экспертизы и понимания регуляторного контура изнутри [27]. Вторая группа — корпоративные заказчики со смешанным запросом (СКУД плюс платежи плюс подтверждение возраста в корпоративных сервисах); здесь Face2 выигрывает за счёт продуктовой вертикали, а OVISION — за счёт собственного оборудования. Третья группа — государственные и квазигосударственные организации с задачами биометрической идентификации граждан (центры предоставления услуг, транспортные операторы, библиотечные сети, гостиничный сектор); здесь решающим фактором становится статус банка-оператора по № 115-ФЗ и право работы с ЕБС, которые у Face2 есть, а у OVISION и VisionLabs — отсутствуют в полной форме.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Драйверы спроса в этой конфигурации действуют в пользу Face2 одновременно по нескольким направлениям. Регуляторное ужесточение после 420-ФЗ и 421-ФЗ вытесняет с рынка неаккредитованные локальные решения и концентрирует спрос на аккредитованных операторах [27]. Девятикратный годовой рост числа биометрических платежей и пятикратный рост оборота создают эффект повседневности, при котором отдельные сценарии оплаты лицом, прохода и заселения становятся для пользователя привычными — что снижает барьер доверия в новых сегментах [38]. Государственная инфраструктура ЕБС, оператором которой выступает АО «Центр биометрических технологий», централизует базу пользователей: к началу 2026 года в системе зарегистрированы более 10 млн человек, и для всех них дополнительный сервис на базе ЕБС не требует повторной сдачи биометрии [38; 42]. Барьеры спроса при этом сохраняются: психологический (страх утечки и невозможности отозвать сданный биометрический образец), организационный (стоимость интеграции с СКУД и ИТ-инфраструктурой заказчика), регуляторно-репутационный (риск штрафов до 1–3% годового дохода и уголовной ответственности при ошибках обращения с биометрией) [27]. Содержательно эти барьеры были подробно разобраны в параграфе 1.3 в составе пяти групп барьеров принятия биометрических технологий и не повторяются здесь.</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Полученная конкурентная карта формирует управленческую повестку для следующего параграфа. Поскольку Face2 имеет сильную регуляторную и инфраструктурную позицию, но при этом локальный масштаб коммерческого присутствия и недостаточно публичную доказательную базу точности, дальнейший анализ должен сосредоточиться не на технологических доработках, а на маркетинговых инструментах: на том, насколько текущее продвижение продукта соответствует уже занятой банком конкурентной нише, какие каналы коммуникации задействованы, какие реальные сегменты клиентов охвачены и где находятся пробелы в коммуникационной стратегии относительно сильных сторон, выявленных в этом параграфе. Этому посвящён параграф 2.3 — анализ текущего продвижения продукта Face2 и его позиции на рынке.</w:t>
      </w:r>
    </w:p>
    <w:p>
      <w:pPr>
        <w:spacing w:before="0" w:after="0" w:line="240" w:lineRule="auto"/>
        <w:jc w:val="both"/>
        <w:rPr>
          <w:rFonts w:ascii="Times New Roman" w:hAnsi="Times New Roman" w:cs="Times New Roman" w:eastAsia="Times New Roman"/>
          <w:sz w:val="28"/>
          <w:szCs w:val="28"/>
          <w:lang w:val="ru-RU"/>
        </w:rPr>
      </w:pP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2.3. Анализ текущего продвижения продукта и его позиции на рынке</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Постановка задачи и метод анализа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Параграф 2.2 закрылся фиксацией конкурентной позиции Face2 как банковского сервисного игрока с правом регистрации биометрических данных граждан в ЕБС, локальным масштабом коммерческого присутствия и недостаточно публичной доказательной базой точности. Управленческая повестка для настоящего параграфа сформулирована там же: проверить, насколько текущая практика продвижения Face2 соответствует уже занятой банком конкурентной нише, какие каналы коммуникации задействованы, какие сегменты клиентов охвачены и где находятся пробелы. Решение этой задачи строится не на новом теоретическом инструментарии, а на наложении уже введённого инструментария на эмпирику. Если 2.2 описывал, </w:t>
      </w:r>
      <w:r>
        <w:rPr>
          <w:rFonts w:ascii="Times New Roman" w:hAnsi="Times New Roman" w:cs="Times New Roman" w:eastAsia="Times New Roman"/>
          <w:i/>
          <w:iCs/>
          <w:color w:val="000000"/>
          <w:sz w:val="28"/>
          <w:szCs w:val="28"/>
          <w:lang w:val="ru-RU"/>
        </w:rPr>
        <w:t xml:space="preserve">где</w:t>
      </w:r>
      <w:r>
        <w:rPr>
          <w:rFonts w:ascii="Times New Roman" w:hAnsi="Times New Roman" w:cs="Times New Roman" w:eastAsia="Times New Roman"/>
          <w:color w:val="000000"/>
          <w:sz w:val="28"/>
          <w:szCs w:val="28"/>
          <w:lang w:val="ru-RU"/>
        </w:rPr>
        <w:t xml:space="preserve"> стоит Face2 на рынке, то 2.3 описывает, </w:t>
      </w:r>
      <w:r>
        <w:rPr>
          <w:rFonts w:ascii="Times New Roman" w:hAnsi="Times New Roman" w:cs="Times New Roman" w:eastAsia="Times New Roman"/>
          <w:i/>
          <w:iCs/>
          <w:color w:val="000000"/>
          <w:sz w:val="28"/>
          <w:szCs w:val="28"/>
          <w:lang w:val="ru-RU"/>
        </w:rPr>
        <w:t xml:space="preserve">как</w:t>
      </w:r>
      <w:r>
        <w:rPr>
          <w:rFonts w:ascii="Times New Roman" w:hAnsi="Times New Roman" w:cs="Times New Roman" w:eastAsia="Times New Roman"/>
          <w:color w:val="000000"/>
          <w:sz w:val="28"/>
          <w:szCs w:val="28"/>
          <w:lang w:val="ru-RU"/>
        </w:rPr>
        <w:t xml:space="preserve"> он туда обращается.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Метод анализа. Текущее продвижение Face2 рассматривается через четыре аналитические рамки, последовательно введённые в параграфах 1.2 и 1.3. Первая рамка — модель STP — задаёт сегментацию аудитории, выбор приоритетных сегментов и позиционирование. Вторая — расширенный комплекс маркетинга 7P — оценивает все семь элементов маркетинг-микса с особым весом People, Process и Physical evidence для биометрии. Третья — маркетинговая воронка с обязательным этапом «Доверие» — показывает, на каких этапах продвижения Face2 концентрирует усилия. Четвёртая — карта каналов из таблицы 1.2.5 в её биометрической конфигурации из параграфа 1.3 — фиксирует фактическую раскладку каналов. Эмпирическая база параграфа: корпоративные материалы по продукту [27], годовой отчёт банка за 2024 год [28], проектная карточка TAdviser о подключении АББ к ЕБС в 2018 году [40], перечень банков по № 115-ФЗ [36], а также рыночный фон по данным Банка России и деловой прессы [32; 38]. Часть открытых данных по продвижению — соцмедиа-активность под отдельным брендом Face2, программы FINOPOLIS, региональные публикации в «Реальном времени» и «Бизнес-Online» — на момент сборки параграфа недоступна и в текст вошла как описание отсутствия соответствующего контура коммуникации, а не как количественная оценка.</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Сегментация, таргетинг и позиционирование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Продуктовая линейка Face2, описанная в параграфе 2.1, формирует адресный набор сегментов: каждое из четырёх продуктов закрывает собственный тип заказчика и сценарий использования. На уровне коммуникации между заявленным продуктовым сегментом и реальной публичной активностью банка возможен зазор — продукт может быть выведен на рынок продуктово, но не выведен коммуникативно. Сопоставление шести сегментов рынка из таблицы 2.2.2 с тем, как они отыграны в публичных коммуникациях Face2, дано в таблице 2.3.1.</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2.3.1</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Сегментная карта продвижения Face2: продуктовая декларация и реальная коммуникативная активность</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7"/>
        <w:gridCol w:w="1770"/>
        <w:gridCol w:w="2950"/>
        <w:gridCol w:w="786"/>
        <w:gridCol w:w="1573"/>
      </w:tblGrid>
      <w:tr>
        <w:trPr>
          <w:tblHeader/>
          <w:cantSplit/>
        </w:trPr>
        <w:tc>
          <w:tcPr>
            <w:tcW w:w="255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Сегмент рынка (по табл. 2.2.2)</w:t>
            </w:r>
          </w:p>
        </w:tc>
        <w:tc>
          <w:tcPr>
            <w:tcW w:w="177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Продукт линейки</w:t>
            </w:r>
          </w:p>
        </w:tc>
        <w:tc>
          <w:tcPr>
            <w:tcW w:w="295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Реальная коммуникативная активность Face2</w:t>
            </w:r>
          </w:p>
        </w:tc>
        <w:tc>
          <w:tcPr>
            <w:tcW w:w="78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Источник</w:t>
            </w:r>
          </w:p>
        </w:tc>
        <w:tc>
          <w:tcPr>
            <w:tcW w:w="157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Тип активности</w:t>
            </w:r>
          </w:p>
        </w:tc>
      </w:tr>
      <w:tr>
        <w:trPr>
          <w:cantSplit/>
        </w:trPr>
        <w:tc>
          <w:tcPr>
            <w:tcW w:w="25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Финансовый сектор: B2C-биоэквайринг</w:t>
            </w:r>
          </w:p>
        </w:tc>
        <w:tc>
          <w:tcPr>
            <w:tcW w:w="17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w:t>
            </w:r>
          </w:p>
        </w:tc>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Реализована функция оплаты по биометрии в мобильном приложении Ак Барс Онлайн (АБО)</w:t>
            </w:r>
          </w:p>
        </w:tc>
        <w:tc>
          <w:tcPr>
            <w:tcW w:w="7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33]</w:t>
            </w:r>
          </w:p>
        </w:tc>
        <w:tc>
          <w:tcPr>
            <w:tcW w:w="15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Внутренний продукт</w:t>
            </w:r>
          </w:p>
        </w:tc>
      </w:tr>
      <w:tr>
        <w:trPr>
          <w:cantSplit/>
        </w:trPr>
        <w:tc>
          <w:tcPr>
            <w:tcW w:w="25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Финансовый сектор: B2B (КБС для других банков и МФО)</w:t>
            </w:r>
          </w:p>
        </w:tc>
        <w:tc>
          <w:tcPr>
            <w:tcW w:w="17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под ключ</w:t>
            </w:r>
          </w:p>
        </w:tc>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Заявлена в продуктовой линейке; публичных коммерческих кейсов нет</w:t>
            </w:r>
          </w:p>
        </w:tc>
        <w:tc>
          <w:tcPr>
            <w:tcW w:w="7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15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Декларация</w:t>
            </w:r>
          </w:p>
        </w:tc>
      </w:tr>
      <w:tr>
        <w:trPr>
          <w:cantSplit/>
        </w:trPr>
        <w:tc>
          <w:tcPr>
            <w:tcW w:w="25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Транспорт</w:t>
            </w:r>
          </w:p>
        </w:tc>
        <w:tc>
          <w:tcPr>
            <w:tcW w:w="17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w:t>
            </w:r>
          </w:p>
        </w:tc>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Биоэквайринг через СБП в Казанском метрополитене (совместно с Минцифры РФ, Минтрансом РФ, ЦБТ, НСПК)</w:t>
            </w:r>
          </w:p>
        </w:tc>
        <w:tc>
          <w:tcPr>
            <w:tcW w:w="7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30–31]</w:t>
            </w:r>
          </w:p>
        </w:tc>
        <w:tc>
          <w:tcPr>
            <w:tcW w:w="15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Действующий пилот</w:t>
            </w:r>
          </w:p>
        </w:tc>
      </w:tr>
      <w:tr>
        <w:trPr>
          <w:cantSplit/>
        </w:trPr>
        <w:tc>
          <w:tcPr>
            <w:tcW w:w="25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Государственная идентификация / B2G</w:t>
            </w:r>
          </w:p>
        </w:tc>
        <w:tc>
          <w:tcPr>
            <w:tcW w:w="17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под ключ</w:t>
            </w:r>
          </w:p>
        </w:tc>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Карта жителя Республики Татарстан — 450 131 действующая карта на 01.01.2025; биометрию можно сдать в мобильном приложении «Карта жителя РТ»</w:t>
            </w:r>
          </w:p>
        </w:tc>
        <w:tc>
          <w:tcPr>
            <w:tcW w:w="7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28–29]</w:t>
            </w:r>
          </w:p>
        </w:tc>
        <w:tc>
          <w:tcPr>
            <w:tcW w:w="15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Действующий пилот</w:t>
            </w:r>
          </w:p>
        </w:tc>
      </w:tr>
      <w:tr>
        <w:trPr>
          <w:cantSplit/>
        </w:trPr>
        <w:tc>
          <w:tcPr>
            <w:tcW w:w="25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СКУД режимных объектов: внутренний контур</w:t>
            </w:r>
          </w:p>
        </w:tc>
        <w:tc>
          <w:tcPr>
            <w:tcW w:w="17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 + Face2Pass.Terminal</w:t>
            </w:r>
          </w:p>
        </w:tc>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Внутренняя инсталляция АББ: 5 000+ сотрудников пользуются проходом по биометрии, 200 биотерминалов в офисах и отделениях; внешние внедрения масштабом 200/500/5 000/15 000 биометрических векторов</w:t>
            </w:r>
          </w:p>
        </w:tc>
        <w:tc>
          <w:tcPr>
            <w:tcW w:w="7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15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Производственный кейс</w:t>
            </w:r>
          </w:p>
        </w:tc>
      </w:tr>
      <w:tr>
        <w:trPr>
          <w:cantSplit/>
        </w:trPr>
        <w:tc>
          <w:tcPr>
            <w:tcW w:w="25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СКУД режимных объектов: внешние коммерческие</w:t>
            </w:r>
          </w:p>
        </w:tc>
        <w:tc>
          <w:tcPr>
            <w:tcW w:w="17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w:t>
            </w:r>
          </w:p>
        </w:tc>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Заявлена возможность внешних внедрений, конкретные публичные кейсы не названы</w:t>
            </w:r>
          </w:p>
        </w:tc>
        <w:tc>
          <w:tcPr>
            <w:tcW w:w="7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15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Декларация</w:t>
            </w:r>
          </w:p>
        </w:tc>
      </w:tr>
      <w:tr>
        <w:trPr>
          <w:cantSplit/>
        </w:trPr>
        <w:tc>
          <w:tcPr>
            <w:tcW w:w="25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Ритейл / возрастная верификация</w:t>
            </w:r>
          </w:p>
        </w:tc>
        <w:tc>
          <w:tcPr>
            <w:tcW w:w="17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Face2Check-in</w:t>
            </w:r>
          </w:p>
        </w:tc>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 в 2025 году, публичные кейсы отсутствуют</w:t>
            </w:r>
          </w:p>
        </w:tc>
        <w:tc>
          <w:tcPr>
            <w:tcW w:w="7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15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Декларация</w:t>
            </w:r>
          </w:p>
        </w:tc>
      </w:tr>
      <w:tr>
        <w:trPr>
          <w:cantSplit/>
        </w:trPr>
        <w:tc>
          <w:tcPr>
            <w:tcW w:w="25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Гостиничный сектор</w:t>
            </w:r>
          </w:p>
        </w:tc>
        <w:tc>
          <w:tcPr>
            <w:tcW w:w="17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Face2Check-in</w:t>
            </w:r>
          </w:p>
        </w:tc>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Заявлено заселение в гостиницу без паспорта; публичных кейсов нет</w:t>
            </w:r>
          </w:p>
        </w:tc>
        <w:tc>
          <w:tcPr>
            <w:tcW w:w="7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15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Декларация</w:t>
            </w:r>
          </w:p>
        </w:tc>
      </w:tr>
      <w:tr>
        <w:trPr>
          <w:cantSplit/>
        </w:trPr>
        <w:tc>
          <w:tcPr>
            <w:tcW w:w="25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Социально-культурный</w:t>
            </w:r>
          </w:p>
        </w:tc>
        <w:tc>
          <w:tcPr>
            <w:tcW w:w="17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w:t>
            </w:r>
          </w:p>
        </w:tc>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«Электронный читательский билет» — посещение Национальной библиотеки Республики Татарстан по биометрии</w:t>
            </w:r>
          </w:p>
        </w:tc>
        <w:tc>
          <w:tcPr>
            <w:tcW w:w="7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29]</w:t>
            </w:r>
          </w:p>
        </w:tc>
        <w:tc>
          <w:tcPr>
            <w:tcW w:w="15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Действующий пилот</w:t>
            </w:r>
          </w:p>
        </w:tc>
      </w:tr>
      <w:tr>
        <w:trPr>
          <w:cantSplit/>
        </w:trPr>
        <w:tc>
          <w:tcPr>
            <w:tcW w:w="25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Биоэквайринг через СБП на POS</w:t>
            </w:r>
          </w:p>
        </w:tc>
        <w:tc>
          <w:tcPr>
            <w:tcW w:w="177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w:t>
            </w:r>
          </w:p>
        </w:tc>
        <w:tc>
          <w:tcPr>
            <w:tcW w:w="29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Запущен пилот</w:t>
            </w:r>
          </w:p>
        </w:tc>
        <w:tc>
          <w:tcPr>
            <w:tcW w:w="7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31]</w:t>
            </w:r>
          </w:p>
        </w:tc>
        <w:tc>
          <w:tcPr>
            <w:tcW w:w="15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 28, с. 28–33]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в таблице 2.3.1 показывает, что из шести сегментов рынка коммуникативно активно охвачены четыре — финансовый, транспортный, государственный (через социальную инфраструктуру РТ) и СКУД (через внутренний контур банка). Сегменты «гостиничный» и «возрастная верификация в ритейле» заявлены в продуктовой линейке, но публичные референсные кейсы по ним отсутствуют. Это первый зафиксированный пробел продвижения — сегментный.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Таргетинг продвижения сосредоточен по двум осям. Географическая ось — Республика Татарстан плюс точечные федеральные пилоты в связке с Минцифры РФ, Минтрансом РФ, Центром биометрических технологий и Национальной системой платёжных карт [28, с. 30–31]. По оси типа заказчика основные ресурсы направлены на B2B и B2G, а массовый B2C-сегмент охвачен только через банковскую экосистему в пределах Татарстана: мобильное приложение Ак Барс Онлайн с 930 тыс. активных пользователей и 12 млн транзакций за 2024 год, мобильное приложение «Карта жителя РТ» с более чем 100 тыс. пользователей и портал государственных услуг РТ через СБП с 1,2 млн транзакций за тот же год [28, с. 17, 28–29, 33]. Эта концентрация одновременно использует региональное преимущество (банк опирается на естественное доверие к региональному институту в Татарстане) и ограничивает рыночный охват за пределами региона.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Позиционирование Face2 в открытых коммуникациях опирается на четыре содержательных оси. Регуляторный статус: оператор КБС с аккредитацией Минцифры решением № 4-А от 15 ноября 2023 года, сертификация ФСБ и ФСТЭК, реестр отечественного программного обеспечения [27]. Архитектурная безопасность: хранение биометрических векторов в ГИС ЕБС, криптозащита, опора на государственную инфраструктуру, а не на собственную базу данных [27]. Технологичность: заявленная точность распознавания 99,5%, среднее время сканирования около двух секунд при благоприятных условиях [27]. Противопоставление: «локальные биометрии нарушают 572-ФЗ, не сертифицированы ФСБ и не обеспечивают защиты биометрических данных» [27]. Дополнительная опорная ось — ассоциация с банковской инфраструктурой АББ: рейтинги «A» по национальной шкале, ESG-A, статус оператора по № 115-ФЗ под номером 101 в перечне Банка России на 04 мая 2026 года [28, с. 4; 36]. Содержательно это позиционирование точно соответствует конкурентной нише, выявленной в параграфе 2.2 как пересечение трёх условий — банковской экосистемы, права работать с биометрией физических лиц через ЕБС и продуктовой линейки под платежи, проход и подтверждение возраста.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Однако исходная маркетинговая гипотеза, на которой строилось и продолжает строиться продвижение, зафиксирована в публичном комментарии руководителя проектного офиса инновационного развития АББ Дамира Галиева в TAdviser от 10 июля 2018 года. Тогда банк ожидал «роста интереса клиентов по мере развития сервиса, в первую очередь среди любителей инноваций», а массовый спрос рассчитывал получить «по мере планомерного перевода государственных услуг в систему ЕСИА» [40]. По существу это гипотеза органического спроса: банк не вкладывается в активное формирование рынка, а ждёт, когда регулятор и инфраструктура сформируют его сами. К 2024–2026 годам эта гипотеза рынком уже не подтверждается. Количество биометрических платежей в России за 9 месяцев 2025 года выросло в 9 раз к аналогичному периоду 2024 года, до 145,9 млн операций; денежный оборот — почти в 5 раз, до 112,5 млрд рублей; в ЕБС зарегистрированы более 10 млн пользователей [38]. Это рынок не зреющего, а уже зрелого спроса с активной конкурентной борьбой за долю, и пассивная стратегия органического притяжения проигрывает активной стратегии Сбера, нарастившего парк терминалов до 700 тыс. и оборот до 116 млрд рублей за 2025 год [32]. Несоответствие между фазой рынка и исходной маркетинговой гипотезой банка — фундаментальная характеристика текущего продвижения Face2, к которой возвращают и последующие подразделы.</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Инвентаризация каналов продвижения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Сетка каналов из таблицы 1.2.5 в параграфе 1.3 переконфигурирована для биометрии: вес массовой рекламы снижен, удельный вес образовательно-демонстрационных и экспертных форматов повышен, push в B2B/B2G сочетается с pull в B2C при первичности push. Инвентаризация каналов Face2 по этой сетке дана в таблице 2.3.2.</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2.3.2</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Инвентаризация каналов продвижения Face2</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0"/>
        <w:gridCol w:w="2190"/>
        <w:gridCol w:w="2190"/>
        <w:gridCol w:w="876"/>
        <w:gridCol w:w="2190"/>
      </w:tblGrid>
      <w:tr>
        <w:trPr>
          <w:tblHeader/>
          <w:cantSplit/>
        </w:trPr>
        <w:tc>
          <w:tcPr>
            <w:tcW w:w="219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Канал из табл. 1.2.5</w:t>
            </w:r>
          </w:p>
        </w:tc>
        <w:tc>
          <w:tcPr>
            <w:tcW w:w="219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Реализация у Face2</w:t>
            </w:r>
          </w:p>
        </w:tc>
        <w:tc>
          <w:tcPr>
            <w:tcW w:w="219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Метрика / факт</w:t>
            </w:r>
          </w:p>
        </w:tc>
        <w:tc>
          <w:tcPr>
            <w:tcW w:w="87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Источник</w:t>
            </w:r>
          </w:p>
        </w:tc>
        <w:tc>
          <w:tcPr>
            <w:tcW w:w="219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Оценка</w:t>
            </w:r>
          </w:p>
        </w:tc>
      </w:tr>
      <w:tr>
        <w:trPr>
          <w:cantSplit/>
        </w:trPr>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Внутренний контур банка как канал «послов бренда»</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сотрудники как ежедневные пользователи продукта</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5 000+ сотрудников АББ; 200 биотерминалов во всех офисах и отделениях</w:t>
            </w:r>
          </w:p>
        </w:tc>
        <w:tc>
          <w:tcPr>
            <w:tcW w:w="8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сильный</w:t>
            </w:r>
          </w:p>
        </w:tc>
      </w:tr>
      <w:tr>
        <w:trPr>
          <w:cantSplit/>
        </w:trPr>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Партнёрские каналы федерального уровня</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связка с Минцифры РФ, Минтрансом РФ, ЦБТ, НСПК в одном проекте; партнёрство с АО «Социальная карта» по Карте жителя РТ; исторически — Ростелеком (подключение к ЕБС в 2018 г.)</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биоэквайринг в Казанском метрополитене как референсный проект; 450 131 действующая Карта жителя РТ</w:t>
            </w:r>
          </w:p>
        </w:tc>
        <w:tc>
          <w:tcPr>
            <w:tcW w:w="8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28–31]; [40]</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сильный</w:t>
            </w:r>
          </w:p>
        </w:tc>
      </w:tr>
      <w:tr>
        <w:trPr>
          <w:cantSplit/>
        </w:trPr>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Демонстрационные каналы (постоянно действующие точки контакта)</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пилоты в Казанском метрополитене, Национальной библиотеке РТ, биоэквайринг через СБП на POS, оплата по биометрии в АБО, заселение в гостиницу без паспорта</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200 биотерминалов в офисах банка как постоянная демонстрационная сеть</w:t>
            </w:r>
          </w:p>
        </w:tc>
        <w:tc>
          <w:tcPr>
            <w:tcW w:w="8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[28, с. 29–31, 33]</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сильный</w:t>
            </w:r>
          </w:p>
        </w:tc>
      </w:tr>
      <w:tr>
        <w:trPr>
          <w:cantSplit/>
        </w:trPr>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Цифровые каналы банка как носитель Face2</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оплата по биометрии в мобильном приложении АБО; сдача биометрии в приложении «Карта жителя РТ»; портал госуслуг РТ через СБП</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930 тыс. активных пользователей АБО, 12 млн транзакций за 2024 г.; 1,2 млн транзакций через СБП на портале госуслуг РТ</w:t>
            </w:r>
          </w:p>
        </w:tc>
        <w:tc>
          <w:tcPr>
            <w:tcW w:w="8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33]</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 — Face2 встроен как функциональность, а не как самостоятельный бренд</w:t>
            </w:r>
          </w:p>
        </w:tc>
      </w:tr>
      <w:tr>
        <w:trPr>
          <w:cantSplit/>
        </w:trPr>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Корпоративный сайт продукта (face2.ru) и сайт банка</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сайт-визитка с описанием продукта; контакт продаж — Салахов А. А., +7 (905) 319-15-22, artur.salahov@social-card.ru</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состав сайта проверяется автором при финальной вёрстке; в открытых данных формы заявки на пилот, ROI-калькулятора, витрины коммерческих кейсов не зафиксировано</w:t>
            </w:r>
          </w:p>
        </w:tc>
        <w:tc>
          <w:tcPr>
            <w:tcW w:w="8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r>
      <w:tr>
        <w:trPr>
          <w:cantSplit/>
        </w:trPr>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Прямые продажи (B2B/B2G)</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классическая B2B-модель через одного публичного контактного менеджера</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один публичный контакт продаж</w:t>
            </w:r>
          </w:p>
        </w:tc>
        <w:tc>
          <w:tcPr>
            <w:tcW w:w="8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 — эффективно при активном исходящем поиске, не утилизирует входящий интерес</w:t>
            </w:r>
          </w:p>
        </w:tc>
      </w:tr>
      <w:tr>
        <w:trPr>
          <w:cantSplit/>
        </w:trPr>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 в деловых СМИ</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точечные релизы и публикации, преимущественно в татарстанских изданиях; в федеральной прессе АББ упомянут в составе игроков биометрического рынка без отдельной редакционной программы</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один полнотекстовый материал федерального уровня — TAdviser (10.07.2018) [40]</w:t>
            </w:r>
          </w:p>
        </w:tc>
        <w:tc>
          <w:tcPr>
            <w:tcW w:w="8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[38; 40]</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r>
      <w:tr>
        <w:trPr>
          <w:cantSplit/>
        </w:trPr>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Отраслевые мероприятия (FINOPOLIS, профильные конференции по биометрии)</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участие банка в форумах публично заявлено, программа выступлений по Face2 на момент сборки параграфа дополнительной верификации не получила</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данные уточняются автором при финальной вёрстке параграфа</w:t>
            </w:r>
          </w:p>
        </w:tc>
        <w:tc>
          <w:tcPr>
            <w:tcW w:w="8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r>
      <w:tr>
        <w:trPr>
          <w:cantSplit/>
        </w:trPr>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Социальные сети под отдельным брендом Face2 (Telegram, ВКонтакте, YouTube)</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отдельных сообществ под брендом Face2 в открытых данных не зафиксировано; продукт идёт «внутри» аккаунтов АББ как функциональность</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годовом отчёте банка за 2024 год работа с социальными сетями описана как канал работы с обращениями розничных клиентов в целом</w:t>
            </w:r>
          </w:p>
        </w:tc>
        <w:tc>
          <w:tcPr>
            <w:tcW w:w="8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33]</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слабый</w:t>
            </w:r>
          </w:p>
        </w:tc>
      </w:tr>
      <w:tr>
        <w:trPr>
          <w:cantSplit/>
        </w:trPr>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Контент-маркетинг (образовательный) и экспертная база на отраслевых площадках</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разъяснения 572-ФЗ, схемы ГИС ЕБС → КБС → продукт присутствуют точечно в корпоративных материалах; систематической рубрики или регулярной редакционной программы в открытых источниках не зафиксировано</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для сравнения: VisionLabs ведёт корпоративный блог на Habr [37], OVISION публикует открытые кейсы внедрений в РЖД, Мосэнергосбыте, Правительстве Тульской области [39]</w:t>
            </w:r>
          </w:p>
        </w:tc>
        <w:tc>
          <w:tcPr>
            <w:tcW w:w="8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37; 39]</w:t>
            </w:r>
          </w:p>
        </w:tc>
        <w:tc>
          <w:tcPr>
            <w:tcW w:w="219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слабый</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 28, с. 28–33; 37; 38; 39; 40]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Раскладка показывает, что у Face2 три канала развиты сильно, четыре — на среднем уровне, два — слабо или отсутствуют. В первой группе — внутренний контур банка (5 000+ сотрудников × 200 биотерминалов как естественный «полигон» отладки клиентского опыта и одновременно сообщество ранних последователей); партнёрские каналы федерального уровня (одновременная связка с Минцифры, Минтрансом, ЦБТ и НСПК в одном проекте не имеет публично подтверждённых аналогов на рынке — ни VisionLabs, ни OVISION такой комбинации не подтверждают [37; 39]); демонстрационные каналы внутри Татарстана как постоянно действующие точки потребительского контакта с продуктом. Это сильный push-контур.</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 второй группе — корпоративный сайт продукта и сайт банка, прямые продажи через одного контактного менеджера, точечные публикации в деловых СМИ и неоформленное участие в отраслевых форумах. Эти каналы работают, но их интенсивность значительно ниже, чем у конкурентов. Канал прямых продаж работает по классической B2B-модели через одного контактного менеджера [27], что эффективно при активном исходящем поиске клиентов, но не утилизирует входящий интерес массовой аудитории. Сайт face2.ru представляет продукт, но автоматическая лидогенерация (форма заявки, ROI-калькулятор, чат-бот) и публичная витрина коммерческих кейсов в открытых данных не зафиксированы.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третьей группе — отсутствие отдельного бренда Face2 в социальных сетях и фрагментарность экспертного контента. В открытых данных годового отчёта АББ за 2024 год работа с социальными сетями описана как канал работы с обращениями розничных клиентов в целом по банку [28, с. 33], но систематических активностей под брендом Face2 — отдельного Telegram-канала, тематического раздела в YouTube, регулярных публикаций под единым хэштегом — публично не зафиксировано. Сравнительная база: VisionLabs ведёт корпоративный блог на Habr с регулярными техническими публикациями [37]; OVISION публикует кейсы внедрений в РЖД, Мосэнергосбыте, Правительстве Тульской области [39]; Сбер транслирует свою биометрию в массовых СМИ как «оплата улыбкой» с понятным потребительским названием [32]. У Face2 этот слой отсутствует.</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Главный вывод инвентаризации каналов: коммуникационная архитектура Face2 асимметрична — push-каналы (B2B/B2G, партнёрства, пилоты) работают сильно, pull-каналы (массовые СМИ за пределами Татарстана, отдельный бренд в социальных сетях, экспертный контент) фрагментарны. Эта асимметрия зеркально соответствует выводу параграфа 2.2 о локальном масштабе коммерческого присутствия: маркетинговая активность банка отражает географическую структуру его операций, а не потенциал рынка.</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Реализация комплекса маркетинга 7P</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Конфигурация 7P для биометрии, выведенная в параграфе 1.3, предполагает непропорционально высокий вес элементов People, Process и Physical evidence — именно они закрывают психологический и регуляторно-репутационный барьеры сильнее, чем элементы Promotion и Price в их классической форме. Сопоставление этой конфигурации с реальной практикой Face2 дано в таблице 2.3.3.</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2.3.3</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Реализация комплекса маркетинга 7P в продвижении Face2</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1"/>
        <w:gridCol w:w="2604"/>
        <w:gridCol w:w="2604"/>
        <w:gridCol w:w="1041"/>
        <w:gridCol w:w="2604"/>
      </w:tblGrid>
      <w:tr>
        <w:trPr>
          <w:tblHeader/>
          <w:cantSplit/>
        </w:trPr>
        <w:tc>
          <w:tcPr>
            <w:tcW w:w="78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Элемент 7P</w:t>
            </w:r>
          </w:p>
        </w:tc>
        <w:tc>
          <w:tcPr>
            <w:tcW w:w="260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Что должно быть для биометрии (по 1.3)</w:t>
            </w:r>
          </w:p>
        </w:tc>
        <w:tc>
          <w:tcPr>
            <w:tcW w:w="260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Реализация у Face2</w:t>
            </w:r>
          </w:p>
        </w:tc>
        <w:tc>
          <w:tcPr>
            <w:tcW w:w="104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Источник</w:t>
            </w:r>
          </w:p>
        </w:tc>
        <w:tc>
          <w:tcPr>
            <w:tcW w:w="260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Оценка / пробел</w:t>
            </w:r>
          </w:p>
        </w:tc>
      </w:tr>
      <w:tr>
        <w:trPr>
          <w:cantSplit/>
        </w:trPr>
        <w:tc>
          <w:tcPr>
            <w:tcW w:w="78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Product</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вертикаль под банковский сценарий</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 Face2Pass + Face2Pass.Terminal, Face2Check-in, КБС под ключ; дополнительная видеоаналитика (драки, упавшие люди, оружие, автономера, подсчёт людей)</w:t>
            </w:r>
          </w:p>
        </w:tc>
        <w:tc>
          <w:tcPr>
            <w:tcW w:w="10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сильно; пробел — нет публичного решения по детекции дипфейков, тогда как у VisionLabs, OVISION и Сбера антифрод-функциональность вынесена в коммуникацию [32; 37; 39]</w:t>
            </w:r>
          </w:p>
        </w:tc>
      </w:tr>
      <w:tr>
        <w:trPr>
          <w:cantSplit/>
        </w:trPr>
        <w:tc>
          <w:tcPr>
            <w:tcW w:w="78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Price</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прозрачные коммерческие условия для B2B</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публично цена не раскрывается; ROI-калькулятор отсутствует</w:t>
            </w:r>
          </w:p>
        </w:tc>
        <w:tc>
          <w:tcPr>
            <w:tcW w:w="10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слабо — каждое B2B-обращение начинается с нуля</w:t>
            </w:r>
          </w:p>
        </w:tc>
      </w:tr>
      <w:tr>
        <w:trPr>
          <w:cantSplit/>
        </w:trPr>
        <w:tc>
          <w:tcPr>
            <w:tcW w:w="78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Place</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география + интеграция в инфраструктуру заказчика</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Республика Татарстан + федеральные пилоты</w:t>
            </w:r>
          </w:p>
        </w:tc>
        <w:tc>
          <w:tcPr>
            <w:tcW w:w="10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28–33]</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 — публичная витрина кейсов вне РТ отсутствует</w:t>
            </w:r>
          </w:p>
        </w:tc>
      </w:tr>
      <w:tr>
        <w:trPr>
          <w:cantSplit/>
        </w:trPr>
        <w:tc>
          <w:tcPr>
            <w:tcW w:w="78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Promotion</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образовательный контент, экспертные публикации, демонстрации</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пилоты, отдельные релизы, демозоны в офисах</w:t>
            </w:r>
          </w:p>
        </w:tc>
        <w:tc>
          <w:tcPr>
            <w:tcW w:w="10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28, с. 30–31]</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 — нет регулярного контент-конвейера и редакционной программы</w:t>
            </w:r>
          </w:p>
        </w:tc>
      </w:tr>
      <w:tr>
        <w:trPr>
          <w:cantSplit/>
        </w:trPr>
        <w:tc>
          <w:tcPr>
            <w:tcW w:w="78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People</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публичные эксперты</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один публичный контакт продаж (Салахов А. А.) [27]; в TAdviser 2018 г. упомянут руководитель проектного офиса инновационного развития АББ Д. Галиев [40]</w:t>
            </w:r>
          </w:p>
        </w:tc>
        <w:tc>
          <w:tcPr>
            <w:tcW w:w="10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40]</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слабо — отсутствует линейка экспертных спикеров (CISO, юрист по 572-ФЗ, продакт-менеджер, представитель команды разработки)</w:t>
            </w:r>
          </w:p>
        </w:tc>
      </w:tr>
      <w:tr>
        <w:trPr>
          <w:cantSplit/>
        </w:trPr>
        <w:tc>
          <w:tcPr>
            <w:tcW w:w="78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Process</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простой пользовательский путь</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четырёхшаговый путь: установка приложения «Госуслуги Биометрия» → сдача упрощённой биометрии → согласие на использование вектора КБС АББ → проход / оплата</w:t>
            </w:r>
          </w:p>
        </w:tc>
        <w:tc>
          <w:tcPr>
            <w:tcW w:w="10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сильно содержательно, но узко по охвату — путь подробно описан в корпоративных материалах, не упакован для массового читателя</w:t>
            </w:r>
          </w:p>
        </w:tc>
      </w:tr>
      <w:tr>
        <w:trPr>
          <w:cantSplit/>
        </w:trPr>
        <w:tc>
          <w:tcPr>
            <w:tcW w:w="78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Physical evidence</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сертификаты, рейтинги, кейсы, независимая верификация</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аккредитация Минцифры (Решение № 4-А от 15.11.2023), сертификация ФСБ и ФСТЭК, реестр отечественного ПО, статус оператора по № 115-ФЗ (№ 101 в перечне Банка России), стаж в ЕБС с 10.07.2018, рейтинги «A» по национальной шкале, ESG-A</w:t>
            </w:r>
          </w:p>
        </w:tc>
        <w:tc>
          <w:tcPr>
            <w:tcW w:w="104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28, с. 4]; [36; 40]</w:t>
            </w:r>
          </w:p>
        </w:tc>
        <w:tc>
          <w:tcPr>
            <w:tcW w:w="26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сильно по формальным признакам; пробел — отсутствие независимой международной верификации точности (NIST FRTE, iBeta, CVPR), которой пользуется VisionLabs [37]</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 28, с. 4, 28–33; 32; 36; 37; 39; 40]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в таблице 2.3.3 показывает, что Physical evidence — самый сильный элемент комплекса маркетинга Face2 по всем формальным признакам. Полный набор регуляторных статусов (КБС, ФСБ, ФСТЭК, реестр отечественного ПО, оператор биометрии под № 101 в перечне Банка России по № 115-ФЗ [36], шестилетний стаж в ЕБС с 10 июля 2018 года [40]) выводит Face2 в группу из менее чем двухсот банков страны, имеющих все необходимые формальные статусы для работы с биометрией физических лиц. Тем не менее этот регуляторный капитал транслируется в коммуникации преимущественно языком, понятным специалистам по информационной безопасности и юристам, а не массовой аудитории, и поэтому не конвертируется в массовое сообщение «доверие». Это контентный пробел, второй после сегментного.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Элемент People в Face2 представлен одним публичным контактом продаж [27] и точечно — упоминанием руководителя проектного офиса инновационного развития АББ в публикации TAdviser 2018 года [40]. Линейка экспертных спикеров — главный CISO банка, юрист по 572-ФЗ, продакт-менеджер биометрии, представитель команды разработки — публично не оформлена. У VisionLabs, напротив, корпоративный блог на Habr ведут несколько технических экспертов, и каждое публичное выступление топ-менеджмента работает как Physical evidence для следующего корпоративного клиента [37]. Это пробел People — третий.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Элемент Process у Face2 проработан содержательно, но узко: четырёхшаговый пользовательский путь подключения (установка приложения «Госуслуги Биометрия» → сдача упрощённой биометрии → согласие на использование вектора КБС АББ → вход в офис или оплата) описан в корпоративных материалах [27], но не упакован в массовое объяснение для внешнего читателя сайта или СМИ. Заказчик В2В получает требования к инфраструктуре (турникет, совместимый с биотерминалами, интернет-канал не менее 10 Мбит/с с непрерывностью не менее 95%, доступ к базовой СКУД-системе [27]), но не получает наглядного бизнес-кейса с расчётом окупаемости.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Элемент Promotion реализуется через точечные релизы и отдельные пилотные запуски без регулярного контент-конвейера. Элемент Price — наименее проработанный — публично не раскрывается совсем. Продуктовая линейка (Product) выглядит сильно по охвату сценариев, за единственным существенным исключением: в открытой линейке Face2 нет отдельного решения по детекции дипфейков, тогда как у VisionLabs существует продукт Deepfake Detection, у OVISION антиспуфинг и детекция дипфейков встроены в СКУД-комплекты, у Сбера действует многоконтурная защита: liveness + AI-фрод + ПИН [32; 37; 39]. Это четвёртый зафиксированный пробел — доказательный (вместе с отсутствием независимой международной верификации точности, отдельно отмеченным в параграфе 2.2).</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Маркетинговая воронка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Эталонная воронка биометрии в банковском секторе, выведенная в параграфе 1.3, имеет специфическую форму: между этапами «Интерес» и «Пробное использование» встроен длинный этап «Доверие», и именно на нём концентрируется основная часть коммуникационных усилий до этапа массового принятия. Сопоставление этой эталонной воронки с фактической раскладкой активностей Face2 дано в таблице 2.3.4.</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2.3.4</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Воронка продвижения Face2 — плотность активностей по этапам</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1"/>
        <w:gridCol w:w="3285"/>
        <w:gridCol w:w="1095"/>
        <w:gridCol w:w="3285"/>
      </w:tblGrid>
      <w:tr>
        <w:trPr>
          <w:tblHeader/>
          <w:cantSplit/>
        </w:trPr>
        <w:tc>
          <w:tcPr>
            <w:tcW w:w="197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Этап воронки (по табл. 1.2.4 и 1.3)</w:t>
            </w:r>
          </w:p>
        </w:tc>
        <w:tc>
          <w:tcPr>
            <w:tcW w:w="328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Что есть у Face2</w:t>
            </w:r>
          </w:p>
        </w:tc>
        <w:tc>
          <w:tcPr>
            <w:tcW w:w="109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Источник</w:t>
            </w:r>
          </w:p>
        </w:tc>
        <w:tc>
          <w:tcPr>
            <w:tcW w:w="328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Плотность активностей</w:t>
            </w:r>
          </w:p>
        </w:tc>
      </w:tr>
      <w:tr>
        <w:trPr>
          <w:cantSplit/>
        </w:trPr>
        <w:tc>
          <w:tcPr>
            <w:tcW w:w="197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Осведомлённость</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точечные пресс-релизы; пилот в Казанском метрополитене с участием четырёх федеральных партнёров; упоминания в материале «Ведомостей» о биометрии 2026 года</w:t>
            </w:r>
          </w:p>
        </w:tc>
        <w:tc>
          <w:tcPr>
            <w:tcW w:w="1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30–31]; [38]</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 — есть, но без редакционной программы</w:t>
            </w:r>
          </w:p>
        </w:tc>
      </w:tr>
      <w:tr>
        <w:trPr>
          <w:cantSplit/>
        </w:trPr>
        <w:tc>
          <w:tcPr>
            <w:tcW w:w="197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Интерес</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сайт face2.ru; описание продукта в корпоративных материалах банка</w:t>
            </w:r>
          </w:p>
        </w:tc>
        <w:tc>
          <w:tcPr>
            <w:tcW w:w="1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 — без CTA-механики</w:t>
            </w:r>
          </w:p>
        </w:tc>
      </w:tr>
      <w:tr>
        <w:trPr>
          <w:cantSplit/>
        </w:trPr>
        <w:tc>
          <w:tcPr>
            <w:tcW w:w="197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Доверие (ключевой этап для биометрии)</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статус оператора по № 115-ФЗ под № 101, аккредитации ФСБ и ФСТЭК, схема «ГИС ЕБС → КБС → продукт», стаж работы с ЕБС с 10.07.2018</w:t>
            </w:r>
          </w:p>
        </w:tc>
        <w:tc>
          <w:tcPr>
            <w:tcW w:w="1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36; 40]</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высокая по содержанию, низкая по охвату — доказательная база подаётся языком специалистов</w:t>
            </w:r>
          </w:p>
        </w:tc>
      </w:tr>
      <w:tr>
        <w:trPr>
          <w:cantSplit/>
        </w:trPr>
        <w:tc>
          <w:tcPr>
            <w:tcW w:w="197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Пробное использование</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внутренний контур (5 000+ сотрудников); 200 биотерминалов в офисах; публичные пилоты в метро, Национальной библиотеке РТ, биоэквайринг через АБО</w:t>
            </w:r>
          </w:p>
        </w:tc>
        <w:tc>
          <w:tcPr>
            <w:tcW w:w="1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28, с. 28–33]</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высокая для B2B и для жителей РТ; нулевая за пределами РТ</w:t>
            </w:r>
          </w:p>
        </w:tc>
      </w:tr>
      <w:tr>
        <w:trPr>
          <w:cantSplit/>
        </w:trPr>
        <w:tc>
          <w:tcPr>
            <w:tcW w:w="197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Принятие</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внешние коммерческие внедрения масштабом 200/500/5 000/15 000 биометрических векторов на инсталляцию</w:t>
            </w:r>
          </w:p>
        </w:tc>
        <w:tc>
          <w:tcPr>
            <w:tcW w:w="1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 — есть, но публичные референсы не оформлены в кейс-стади</w:t>
            </w:r>
          </w:p>
        </w:tc>
      </w:tr>
      <w:tr>
        <w:trPr>
          <w:cantSplit/>
        </w:trPr>
        <w:tc>
          <w:tcPr>
            <w:tcW w:w="197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Лояльность</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системной программы работы с референс-клиентами Face2 (отзывы, NPS, кейсы, повторные продажи дополнительных модулей) в открытых источниках не зафиксировано</w:t>
            </w:r>
          </w:p>
        </w:tc>
        <w:tc>
          <w:tcPr>
            <w:tcW w:w="1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низкая</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 28, с. 28–33; 36; 38; 40]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Раскладка по этапам воронки в таблице 2.3.4 показывает асимметрию противоположного характера, чем у эталонной модели. У эталонной воронки этап «Доверие» расширен по сравнению с традиционным товаром, но расширен равномерно — чтобы перевести в пробное использование как можно большую долю аудитории, проявившей интерес. У Face2 этап «Доверие» содержательно сильный, но узкий: его пропускная способность ограничена тем, что доказательная база подаётся языком, понятным специалистам, и не достигает массового пользователя. Этап «Пробное использование» сильный для B2B и для жителей Татарстана (внутренняя инсталляция, демозоны, региональные пилоты), но фактически нулевой для всех остальных регионов — получить пользовательский опыт Face2 за пределами РТ практически негде. Этапы «Осведомлённость» и «Лояльность» работают слабо: первый — из-за фрагментарности pull-каналов, второй — из-за отсутствия системной программы работы с референс-клиентами, NPS и кейс-стади. Графически распределение активностей Face2 по этапам воронки в сопоставлении с эталонной формой представлено на рисунке 2.3.1.</w:t>
      </w:r>
    </w:p>
    <w:p>
      <w:pPr>
        <w:keepNext/>
        <w:keepLines/>
        <w:spacing w:before="12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 28, с. 28–33; 36; 40]</w:t>
      </w:r>
    </w:p>
    <w:p>
      <w:pPr>
        <w:keepNext/>
        <w:keepLines/>
        <w:spacing w:before="120" w:after="60" w:line="240" w:lineRule="auto"/>
        <w:jc w:val="center"/>
        <w:rPr>
          <w:rFonts w:ascii="Times New Roman" w:hAnsi="Times New Roman" w:cs="Times New Roman" w:eastAsia="Times New Roman"/>
          <w:sz w:val="28"/>
          <w:szCs w:val="28"/>
          <w:lang w:val="ru-RU"/>
        </w:rPr>
      </w:pPr>
      <w:r>
        <w:drawing>
          <wp:inline distT="0" distB="0" distL="0" distR="0">
            <wp:extent cx="5760000" cy="3023999"/>
            <wp:effectExtent l="0" t="0" r="0" b="0"/>
            <wp:docPr id="1007" name="Drawing1007"/>
            <wp:cNvGraphicFramePr/>
            <a:graphic>
              <a:graphicData uri="http://schemas.microsoft.com/office/word/2010/wordprocessingGroup">
                <wpg:wgp>
                  <wpg:cNvGrpSpPr/>
                  <wpg:grpSpPr>
                    <a:xfrm>
                      <a:off x="0" y="0"/>
                      <a:ext cx="5760000" cy="3023999"/>
                      <a:chOff x="0" y="0"/>
                      <a:chExt cx="5760000" cy="3023999"/>
                    </a:xfrm>
                  </wpg:grpSpPr>
                  <wps:wsp>
                    <wps:cNvPr id="1701" name="Col1Hdr1701"/>
                    <wps:cNvSpPr txBox="1"/>
                    <wps:spPr>
                      <a:xfrm>
                        <a:off x="0" y="0"/>
                        <a:ext cx="1440000" cy="251999"/>
                      </a:xfrm>
                      <a:prstGeom prst="rect">
                        <a:avLst/>
                      </a:prstGeom>
                      <a:noFill/>
                      <a:ln>
                        <a:noFill/>
                      </a:ln>
                    </wps:spPr>
                    <wps:txbx>
                      <w:txbxContent>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1F4E79"/>
                              <w:sz w:val="18"/>
                              <w:szCs w:val="18"/>
                              <w:lang w:val="ru-RU"/>
                            </w:rPr>
                            <w:t xml:space="preserve">Этап воронки</w:t>
                          </w:r>
                        </w:p>
                      </w:txbxContent>
                    </wps:txbx>
                    <wps:bodyPr rot="0" spcFirstLastPara="0" vertOverflow="visible" horzOverflow="visible" wrap="square" lIns="36000" tIns="36000" rIns="36000" bIns="36000" anchor="ctr" anchorCtr="0" upright="1">
                      <a:noAutofit/>
                    </wps:bodyPr>
                  </wps:wsp>
                  <wps:wsp>
                    <wps:cNvPr id="1702" name="Col2Hdr1702"/>
                    <wps:cNvSpPr txBox="1"/>
                    <wps:spPr>
                      <a:xfrm>
                        <a:off x="1620000" y="0"/>
                        <a:ext cx="1980000" cy="251999"/>
                      </a:xfrm>
                      <a:prstGeom prst="rect">
                        <a:avLst/>
                      </a:prstGeom>
                      <a:noFill/>
                      <a:ln>
                        <a:noFill/>
                      </a:ln>
                    </wps:spPr>
                    <wps:txbx>
                      <w:txbxContent>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1F4E79"/>
                              <w:sz w:val="18"/>
                              <w:szCs w:val="18"/>
                              <w:lang w:val="ru-RU"/>
                            </w:rPr>
                            <w:t xml:space="preserve">Эталонная воронка</w:t>
                          </w:r>
                        </w:p>
                      </w:txbxContent>
                    </wps:txbx>
                    <wps:bodyPr rot="0" spcFirstLastPara="0" vertOverflow="visible" horzOverflow="visible" wrap="square" lIns="36000" tIns="36000" rIns="36000" bIns="36000" anchor="ctr" anchorCtr="0" upright="1">
                      <a:noAutofit/>
                    </wps:bodyPr>
                  </wps:wsp>
                  <wps:wsp>
                    <wps:cNvPr id="1703" name="Col3Hdr1703"/>
                    <wps:cNvSpPr txBox="1"/>
                    <wps:spPr>
                      <a:xfrm>
                        <a:off x="3671999" y="0"/>
                        <a:ext cx="1980000" cy="251999"/>
                      </a:xfrm>
                      <a:prstGeom prst="rect">
                        <a:avLst/>
                      </a:prstGeom>
                      <a:noFill/>
                      <a:ln>
                        <a:noFill/>
                      </a:ln>
                    </wps:spPr>
                    <wps:txbx>
                      <w:txbxContent>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1F4E79"/>
                              <w:sz w:val="18"/>
                              <w:szCs w:val="18"/>
                              <w:lang w:val="ru-RU"/>
                            </w:rPr>
                            <w:t xml:space="preserve">Воронка Face2 (факт)</w:t>
                          </w:r>
                        </w:p>
                      </w:txbxContent>
                    </wps:txbx>
                    <wps:bodyPr rot="0" spcFirstLastPara="0" vertOverflow="visible" horzOverflow="visible" wrap="square" lIns="36000" tIns="36000" rIns="36000" bIns="36000" anchor="ctr" anchorCtr="0" upright="1">
                      <a:noAutofit/>
                    </wps:bodyPr>
                  </wps:wsp>
                  <wps:wsp>
                    <wps:cNvPr id="1704" name="Line1704"/>
                    <wps:cNvCnPr/>
                    <wps:spPr>
                      <a:xfrm>
                        <a:off x="0" y="270000"/>
                        <a:ext cx="5760000" cy="1"/>
                      </a:xfrm>
                      <a:prstGeom prst="line">
                        <a:avLst/>
                      </a:prstGeom>
                      <a:ln w="6350">
                        <a:solidFill>
                          <a:srgbClr val="7F7F7F"/>
                        </a:solidFill>
                      </a:ln>
                    </wps:spPr>
                    <wps:bodyPr/>
                  </wps:wsp>
                  <wps:wsp>
                    <wps:cNvPr id="1705" name="Stage01705"/>
                    <wps:cNvSpPr txBox="1"/>
                    <wps:spPr>
                      <a:xfrm>
                        <a:off x="0" y="396000"/>
                        <a:ext cx="1440000" cy="198000"/>
                      </a:xfrm>
                      <a:prstGeom prst="rect">
                        <a:avLst/>
                      </a:prstGeom>
                      <a:noFill/>
                      <a:ln>
                        <a:noFill/>
                      </a:ln>
                    </wps:spPr>
                    <wps:txbx>
                      <w:txbxContent>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Осведомлённость</w:t>
                          </w:r>
                        </w:p>
                      </w:txbxContent>
                    </wps:txbx>
                    <wps:bodyPr rot="0" spcFirstLastPara="0" vertOverflow="visible" horzOverflow="visible" wrap="square" lIns="36000" tIns="36000" rIns="36000" bIns="36000" anchor="ctr" anchorCtr="0" upright="1">
                      <a:noAutofit/>
                    </wps:bodyPr>
                  </wps:wsp>
                  <wps:wsp>
                    <wps:cNvPr id="1706" name="Et01706"/>
                    <wps:cNvSpPr/>
                    <wps:spPr>
                      <a:xfrm>
                        <a:off x="1620000" y="396000"/>
                        <a:ext cx="1049400" cy="198000"/>
                      </a:xfrm>
                      <a:prstGeom prst="rect">
                        <a:avLst/>
                      </a:prstGeom>
                      <a:solidFill>
                        <a:srgbClr val="70AD47"/>
                      </a:solidFill>
                      <a:ln w="0">
                        <a:solidFill>
                          <a:srgbClr val="70AD47"/>
                        </a:solidFill>
                      </a:ln>
                    </wps:spPr>
                    <wps:bodyPr/>
                  </wps:wsp>
                  <wps:wsp>
                    <wps:cNvPr id="1707" name="F2m01707"/>
                    <wps:cNvSpPr/>
                    <wps:spPr>
                      <a:xfrm>
                        <a:off x="3671999" y="396000"/>
                        <a:ext cx="286200" cy="198000"/>
                      </a:xfrm>
                      <a:prstGeom prst="rect">
                        <a:avLst/>
                      </a:prstGeom>
                      <a:solidFill>
                        <a:srgbClr val="2E75B6"/>
                      </a:solidFill>
                      <a:ln w="0">
                        <a:solidFill>
                          <a:srgbClr val="2E75B6"/>
                        </a:solidFill>
                      </a:ln>
                    </wps:spPr>
                    <wps:bodyPr/>
                  </wps:wsp>
                  <wps:wsp>
                    <wps:cNvPr id="1708" name="Stage11708"/>
                    <wps:cNvSpPr txBox="1"/>
                    <wps:spPr>
                      <a:xfrm>
                        <a:off x="0" y="827999"/>
                        <a:ext cx="1440000" cy="198000"/>
                      </a:xfrm>
                      <a:prstGeom prst="rect">
                        <a:avLst/>
                      </a:prstGeom>
                      <a:noFill/>
                      <a:ln>
                        <a:noFill/>
                      </a:ln>
                    </wps:spPr>
                    <wps:txbx>
                      <w:txbxContent>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Интерес</w:t>
                          </w:r>
                        </w:p>
                      </w:txbxContent>
                    </wps:txbx>
                    <wps:bodyPr rot="0" spcFirstLastPara="0" vertOverflow="visible" horzOverflow="visible" wrap="square" lIns="36000" tIns="36000" rIns="36000" bIns="36000" anchor="ctr" anchorCtr="0" upright="1">
                      <a:noAutofit/>
                    </wps:bodyPr>
                  </wps:wsp>
                  <wps:wsp>
                    <wps:cNvPr id="1709" name="Et11709"/>
                    <wps:cNvSpPr/>
                    <wps:spPr>
                      <a:xfrm>
                        <a:off x="1620000" y="827999"/>
                        <a:ext cx="858599" cy="198000"/>
                      </a:xfrm>
                      <a:prstGeom prst="rect">
                        <a:avLst/>
                      </a:prstGeom>
                      <a:solidFill>
                        <a:srgbClr val="70AD47"/>
                      </a:solidFill>
                      <a:ln w="0">
                        <a:solidFill>
                          <a:srgbClr val="70AD47"/>
                        </a:solidFill>
                      </a:ln>
                    </wps:spPr>
                    <wps:bodyPr/>
                  </wps:wsp>
                  <wps:wsp>
                    <wps:cNvPr id="1710" name="F2m11710"/>
                    <wps:cNvSpPr/>
                    <wps:spPr>
                      <a:xfrm>
                        <a:off x="3671999" y="827999"/>
                        <a:ext cx="190800" cy="198000"/>
                      </a:xfrm>
                      <a:prstGeom prst="rect">
                        <a:avLst/>
                      </a:prstGeom>
                      <a:solidFill>
                        <a:srgbClr val="2E75B6"/>
                      </a:solidFill>
                      <a:ln w="0">
                        <a:solidFill>
                          <a:srgbClr val="2E75B6"/>
                        </a:solidFill>
                      </a:ln>
                    </wps:spPr>
                    <wps:bodyPr/>
                  </wps:wsp>
                  <wps:wsp>
                    <wps:cNvPr id="1711" name="Stage21711"/>
                    <wps:cNvSpPr txBox="1"/>
                    <wps:spPr>
                      <a:xfrm>
                        <a:off x="0" y="1260000"/>
                        <a:ext cx="1440000" cy="198000"/>
                      </a:xfrm>
                      <a:prstGeom prst="rect">
                        <a:avLst/>
                      </a:prstGeom>
                      <a:noFill/>
                      <a:ln>
                        <a:noFill/>
                      </a:ln>
                    </wps:spPr>
                    <wps:txbx>
                      <w:txbxContent>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Доверие (ядро)</w:t>
                          </w:r>
                        </w:p>
                      </w:txbxContent>
                    </wps:txbx>
                    <wps:bodyPr rot="0" spcFirstLastPara="0" vertOverflow="visible" horzOverflow="visible" wrap="square" lIns="36000" tIns="36000" rIns="36000" bIns="36000" anchor="ctr" anchorCtr="0" upright="1">
                      <a:noAutofit/>
                    </wps:bodyPr>
                  </wps:wsp>
                  <wps:wsp>
                    <wps:cNvPr id="1712" name="Et21712"/>
                    <wps:cNvSpPr/>
                    <wps:spPr>
                      <a:xfrm>
                        <a:off x="1620000" y="1260000"/>
                        <a:ext cx="1621800" cy="198000"/>
                      </a:xfrm>
                      <a:prstGeom prst="rect">
                        <a:avLst/>
                      </a:prstGeom>
                      <a:solidFill>
                        <a:srgbClr val="70AD47"/>
                      </a:solidFill>
                      <a:ln w="0">
                        <a:solidFill>
                          <a:srgbClr val="70AD47"/>
                        </a:solidFill>
                      </a:ln>
                    </wps:spPr>
                    <wps:bodyPr/>
                  </wps:wsp>
                  <wps:wsp>
                    <wps:cNvPr id="1713" name="F2m21713"/>
                    <wps:cNvSpPr/>
                    <wps:spPr>
                      <a:xfrm>
                        <a:off x="3671999" y="1260000"/>
                        <a:ext cx="1621800" cy="198000"/>
                      </a:xfrm>
                      <a:prstGeom prst="rect">
                        <a:avLst/>
                      </a:prstGeom>
                      <a:solidFill>
                        <a:srgbClr val="2E75B6"/>
                      </a:solidFill>
                      <a:ln w="0">
                        <a:solidFill>
                          <a:srgbClr val="2E75B6"/>
                        </a:solidFill>
                      </a:ln>
                    </wps:spPr>
                    <wps:bodyPr/>
                  </wps:wsp>
                  <wps:wsp>
                    <wps:cNvPr id="1714" name="F2e21714"/>
                    <wps:cNvSpPr/>
                    <wps:spPr>
                      <a:xfrm>
                        <a:off x="3671999" y="1475999"/>
                        <a:ext cx="381600" cy="138600"/>
                      </a:xfrm>
                      <a:prstGeom prst="rect">
                        <a:avLst/>
                      </a:prstGeom>
                      <a:solidFill>
                        <a:srgbClr val="ED7D31"/>
                      </a:solidFill>
                      <a:ln w="0">
                        <a:solidFill>
                          <a:srgbClr val="ED7D31"/>
                        </a:solidFill>
                      </a:ln>
                    </wps:spPr>
                    <wps:bodyPr/>
                  </wps:wsp>
                  <wps:wsp>
                    <wps:cNvPr id="1715" name="F2elbl21715"/>
                    <wps:cNvSpPr txBox="1"/>
                    <wps:spPr>
                      <a:xfrm>
                        <a:off x="4089600" y="1458000"/>
                        <a:ext cx="1080000" cy="138600"/>
                      </a:xfrm>
                      <a:prstGeom prst="rect">
                        <a:avLst/>
                      </a:prstGeom>
                      <a:noFill/>
                      <a:ln>
                        <a:noFill/>
                      </a:ln>
                    </wps:spPr>
                    <wps:txbx>
                      <w:txbxContent>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ED7D31"/>
                              <w:sz w:val="14"/>
                              <w:szCs w:val="14"/>
                              <w:lang w:val="ru-RU"/>
                            </w:rPr>
                            <w:t xml:space="preserve">(массовый охват)</w:t>
                          </w:r>
                        </w:p>
                      </w:txbxContent>
                    </wps:txbx>
                    <wps:bodyPr rot="0" spcFirstLastPara="0" vertOverflow="visible" horzOverflow="visible" wrap="square" lIns="36000" tIns="36000" rIns="36000" bIns="36000" anchor="ctr" anchorCtr="0" upright="1">
                      <a:noAutofit/>
                    </wps:bodyPr>
                  </wps:wsp>
                  <wps:wsp>
                    <wps:cNvPr id="1716" name="F2mlbl21716"/>
                    <wps:cNvSpPr txBox="1"/>
                    <wps:spPr>
                      <a:xfrm>
                        <a:off x="5329799" y="1242000"/>
                        <a:ext cx="1080000" cy="198000"/>
                      </a:xfrm>
                      <a:prstGeom prst="rect">
                        <a:avLst/>
                      </a:prstGeom>
                      <a:noFill/>
                      <a:ln>
                        <a:noFill/>
                      </a:ln>
                    </wps:spPr>
                    <wps:txbx>
                      <w:txbxContent>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2E75B6"/>
                              <w:sz w:val="14"/>
                              <w:szCs w:val="14"/>
                              <w:lang w:val="ru-RU"/>
                            </w:rPr>
                            <w:t xml:space="preserve">(содержательно)</w:t>
                          </w:r>
                        </w:p>
                      </w:txbxContent>
                    </wps:txbx>
                    <wps:bodyPr rot="0" spcFirstLastPara="0" vertOverflow="visible" horzOverflow="visible" wrap="square" lIns="36000" tIns="36000" rIns="36000" bIns="36000" anchor="ctr" anchorCtr="0" upright="1">
                      <a:noAutofit/>
                    </wps:bodyPr>
                  </wps:wsp>
                  <wps:wsp>
                    <wps:cNvPr id="1717" name="Stage31717"/>
                    <wps:cNvSpPr txBox="1"/>
                    <wps:spPr>
                      <a:xfrm>
                        <a:off x="0" y="1691999"/>
                        <a:ext cx="1440000" cy="198000"/>
                      </a:xfrm>
                      <a:prstGeom prst="rect">
                        <a:avLst/>
                      </a:prstGeom>
                      <a:noFill/>
                      <a:ln>
                        <a:noFill/>
                      </a:ln>
                    </wps:spPr>
                    <wps:txbx>
                      <w:txbxContent>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Пробное использование</w:t>
                          </w:r>
                        </w:p>
                      </w:txbxContent>
                    </wps:txbx>
                    <wps:bodyPr rot="0" spcFirstLastPara="0" vertOverflow="visible" horzOverflow="visible" wrap="square" lIns="36000" tIns="36000" rIns="36000" bIns="36000" anchor="ctr" anchorCtr="0" upright="1">
                      <a:noAutofit/>
                    </wps:bodyPr>
                  </wps:wsp>
                  <wps:wsp>
                    <wps:cNvPr id="1718" name="Et31718"/>
                    <wps:cNvSpPr/>
                    <wps:spPr>
                      <a:xfrm>
                        <a:off x="1620000" y="1691999"/>
                        <a:ext cx="1049400" cy="198000"/>
                      </a:xfrm>
                      <a:prstGeom prst="rect">
                        <a:avLst/>
                      </a:prstGeom>
                      <a:solidFill>
                        <a:srgbClr val="70AD47"/>
                      </a:solidFill>
                      <a:ln w="0">
                        <a:solidFill>
                          <a:srgbClr val="70AD47"/>
                        </a:solidFill>
                      </a:ln>
                    </wps:spPr>
                    <wps:bodyPr/>
                  </wps:wsp>
                  <wps:wsp>
                    <wps:cNvPr id="1719" name="F2m31719"/>
                    <wps:cNvSpPr/>
                    <wps:spPr>
                      <a:xfrm>
                        <a:off x="3671999" y="1691999"/>
                        <a:ext cx="1049400" cy="198000"/>
                      </a:xfrm>
                      <a:prstGeom prst="rect">
                        <a:avLst/>
                      </a:prstGeom>
                      <a:solidFill>
                        <a:srgbClr val="2E75B6"/>
                      </a:solidFill>
                      <a:ln w="0">
                        <a:solidFill>
                          <a:srgbClr val="2E75B6"/>
                        </a:solidFill>
                      </a:ln>
                    </wps:spPr>
                    <wps:bodyPr/>
                  </wps:wsp>
                  <wps:wsp>
                    <wps:cNvPr id="1720" name="F2e31720"/>
                    <wps:cNvSpPr/>
                    <wps:spPr>
                      <a:xfrm>
                        <a:off x="3671999" y="1907999"/>
                        <a:ext cx="95400" cy="138600"/>
                      </a:xfrm>
                      <a:prstGeom prst="rect">
                        <a:avLst/>
                      </a:prstGeom>
                      <a:solidFill>
                        <a:srgbClr val="ED7D31"/>
                      </a:solidFill>
                      <a:ln w="0">
                        <a:solidFill>
                          <a:srgbClr val="ED7D31"/>
                        </a:solidFill>
                      </a:ln>
                    </wps:spPr>
                    <wps:bodyPr/>
                  </wps:wsp>
                  <wps:wsp>
                    <wps:cNvPr id="1721" name="F2elbl31721"/>
                    <wps:cNvSpPr txBox="1"/>
                    <wps:spPr>
                      <a:xfrm>
                        <a:off x="3803400" y="1889999"/>
                        <a:ext cx="1080000" cy="138600"/>
                      </a:xfrm>
                      <a:prstGeom prst="rect">
                        <a:avLst/>
                      </a:prstGeom>
                      <a:noFill/>
                      <a:ln>
                        <a:noFill/>
                      </a:ln>
                    </wps:spPr>
                    <wps:txbx>
                      <w:txbxContent>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ED7D31"/>
                              <w:sz w:val="14"/>
                              <w:szCs w:val="14"/>
                              <w:lang w:val="ru-RU"/>
                            </w:rPr>
                            <w:t xml:space="preserve">(вне РТ)</w:t>
                          </w:r>
                        </w:p>
                      </w:txbxContent>
                    </wps:txbx>
                    <wps:bodyPr rot="0" spcFirstLastPara="0" vertOverflow="visible" horzOverflow="visible" wrap="square" lIns="36000" tIns="36000" rIns="36000" bIns="36000" anchor="ctr" anchorCtr="0" upright="1">
                      <a:noAutofit/>
                    </wps:bodyPr>
                  </wps:wsp>
                  <wps:wsp>
                    <wps:cNvPr id="1722" name="Stage41722"/>
                    <wps:cNvSpPr txBox="1"/>
                    <wps:spPr>
                      <a:xfrm>
                        <a:off x="0" y="2124000"/>
                        <a:ext cx="1440000" cy="198000"/>
                      </a:xfrm>
                      <a:prstGeom prst="rect">
                        <a:avLst/>
                      </a:prstGeom>
                      <a:noFill/>
                      <a:ln>
                        <a:noFill/>
                      </a:ln>
                    </wps:spPr>
                    <wps:txbx>
                      <w:txbxContent>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Принятие</w:t>
                          </w:r>
                        </w:p>
                      </w:txbxContent>
                    </wps:txbx>
                    <wps:bodyPr rot="0" spcFirstLastPara="0" vertOverflow="visible" horzOverflow="visible" wrap="square" lIns="36000" tIns="36000" rIns="36000" bIns="36000" anchor="ctr" anchorCtr="0" upright="1">
                      <a:noAutofit/>
                    </wps:bodyPr>
                  </wps:wsp>
                  <wps:wsp>
                    <wps:cNvPr id="1723" name="Et41723"/>
                    <wps:cNvSpPr/>
                    <wps:spPr>
                      <a:xfrm>
                        <a:off x="1620000" y="2124000"/>
                        <a:ext cx="858599" cy="198000"/>
                      </a:xfrm>
                      <a:prstGeom prst="rect">
                        <a:avLst/>
                      </a:prstGeom>
                      <a:solidFill>
                        <a:srgbClr val="70AD47"/>
                      </a:solidFill>
                      <a:ln w="0">
                        <a:solidFill>
                          <a:srgbClr val="70AD47"/>
                        </a:solidFill>
                      </a:ln>
                    </wps:spPr>
                    <wps:bodyPr/>
                  </wps:wsp>
                  <wps:wsp>
                    <wps:cNvPr id="1724" name="F2m41724"/>
                    <wps:cNvSpPr/>
                    <wps:spPr>
                      <a:xfrm>
                        <a:off x="3671999" y="2124000"/>
                        <a:ext cx="572400" cy="198000"/>
                      </a:xfrm>
                      <a:prstGeom prst="rect">
                        <a:avLst/>
                      </a:prstGeom>
                      <a:solidFill>
                        <a:srgbClr val="2E75B6"/>
                      </a:solidFill>
                      <a:ln w="0">
                        <a:solidFill>
                          <a:srgbClr val="2E75B6"/>
                        </a:solidFill>
                      </a:ln>
                    </wps:spPr>
                    <wps:bodyPr/>
                  </wps:wsp>
                  <wps:wsp>
                    <wps:cNvPr id="1725" name="Stage51725"/>
                    <wps:cNvSpPr txBox="1"/>
                    <wps:spPr>
                      <a:xfrm>
                        <a:off x="0" y="2556000"/>
                        <a:ext cx="1440000" cy="198000"/>
                      </a:xfrm>
                      <a:prstGeom prst="rect">
                        <a:avLst/>
                      </a:prstGeom>
                      <a:noFill/>
                      <a:ln>
                        <a:noFill/>
                      </a:ln>
                    </wps:spPr>
                    <wps:txbx>
                      <w:txbxContent>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18"/>
                              <w:szCs w:val="18"/>
                              <w:lang w:val="ru-RU"/>
                            </w:rPr>
                            <w:t xml:space="preserve">Лояльность</w:t>
                          </w:r>
                        </w:p>
                      </w:txbxContent>
                    </wps:txbx>
                    <wps:bodyPr rot="0" spcFirstLastPara="0" vertOverflow="visible" horzOverflow="visible" wrap="square" lIns="36000" tIns="36000" rIns="36000" bIns="36000" anchor="ctr" anchorCtr="0" upright="1">
                      <a:noAutofit/>
                    </wps:bodyPr>
                  </wps:wsp>
                  <wps:wsp>
                    <wps:cNvPr id="1726" name="Et51726"/>
                    <wps:cNvSpPr/>
                    <wps:spPr>
                      <a:xfrm>
                        <a:off x="1620000" y="2556000"/>
                        <a:ext cx="572400" cy="198000"/>
                      </a:xfrm>
                      <a:prstGeom prst="rect">
                        <a:avLst/>
                      </a:prstGeom>
                      <a:solidFill>
                        <a:srgbClr val="70AD47"/>
                      </a:solidFill>
                      <a:ln w="0">
                        <a:solidFill>
                          <a:srgbClr val="70AD47"/>
                        </a:solidFill>
                      </a:ln>
                    </wps:spPr>
                    <wps:bodyPr/>
                  </wps:wsp>
                  <wps:wsp>
                    <wps:cNvPr id="1727" name="F2m51727"/>
                    <wps:cNvSpPr/>
                    <wps:spPr>
                      <a:xfrm>
                        <a:off x="3671999" y="2556000"/>
                        <a:ext cx="95400" cy="198000"/>
                      </a:xfrm>
                      <a:prstGeom prst="rect">
                        <a:avLst/>
                      </a:prstGeom>
                      <a:solidFill>
                        <a:srgbClr val="2E75B6"/>
                      </a:solidFill>
                      <a:ln w="0">
                        <a:solidFill>
                          <a:srgbClr val="2E75B6"/>
                        </a:solidFill>
                      </a:ln>
                    </wps:spPr>
                    <wps:bodyPr/>
                  </wps:wsp>
                </wpg:wgp>
              </a:graphicData>
            </a:graphic>
          </wp:inline>
        </w:drawing>
      </w:r>
    </w:p>
    <w:p>
      <w:pPr>
        <w:keepLines/>
        <w:spacing w:before="60" w:after="20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Рис. 2.3.1. Воронка продвижения Face2 в сопоставлении с эталонной воронкой биометрического продукта в банковском секторе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Содержательно фигура на рисунке 2.3.1 показывает, что у Face2 архитектурно перегружен центральный этап «Доверие» по содержательной составляющей и недогружены полюса (Осведомлённость, Лояльность) и массовый охват самого ядра. Это совпадает со структурой коммерческого присутствия из параграфа 2.2: банк глубоко работает в немногих сегментах и в одном регионе вместо широкого покрытия рынка. Маркетинг здесь не «отстаёт» от продукта, а воспроизводит структуру коммерческой работы один в один. Чтобы изменить распределение продаж, нужно сначала изменить архитектуру воронки.</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Соответствие текущего продвижения конкурентной нише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Параграф 2.2 завершился фиксацией пяти конкурентных преимуществ Face2 и четырёх пробелов. Каждое из них трансформируется в ресурс или в проблему продвижения. Сопоставление этих позиций с тем, как они отыграны в коммуникации, дано в таблице 2.3.5.</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2.3.5</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Конкурентные преимущества и пробелы Face2 (из параграфа 2.2) и их использование в текущем продвижении</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4"/>
        <w:gridCol w:w="1257"/>
        <w:gridCol w:w="2430"/>
        <w:gridCol w:w="921"/>
        <w:gridCol w:w="2514"/>
      </w:tblGrid>
      <w:tr>
        <w:trPr>
          <w:tblHeader/>
          <w:cantSplit/>
        </w:trPr>
        <w:tc>
          <w:tcPr>
            <w:tcW w:w="251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Позиция (по 2.2)</w:t>
            </w:r>
          </w:p>
        </w:tc>
        <w:tc>
          <w:tcPr>
            <w:tcW w:w="125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Использование в продвижении</w:t>
            </w:r>
          </w:p>
        </w:tc>
        <w:tc>
          <w:tcPr>
            <w:tcW w:w="243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Где / каким образом</w:t>
            </w:r>
          </w:p>
        </w:tc>
        <w:tc>
          <w:tcPr>
            <w:tcW w:w="92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Источник</w:t>
            </w:r>
          </w:p>
        </w:tc>
        <w:tc>
          <w:tcPr>
            <w:tcW w:w="251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Оценка</w:t>
            </w:r>
          </w:p>
        </w:tc>
      </w:tr>
      <w:tr>
        <w:trPr>
          <w:cantSplit/>
        </w:trPr>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Преимущество: право регистрации БПд по № 115-ФЗ (АББ № 101 в перечне Банка России)</w:t>
            </w:r>
          </w:p>
        </w:tc>
        <w:tc>
          <w:tcPr>
            <w:tcW w:w="12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частичное</w:t>
            </w:r>
          </w:p>
        </w:tc>
        <w:tc>
          <w:tcPr>
            <w:tcW w:w="2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B2B-материалах, не в массовых каналах</w:t>
            </w:r>
          </w:p>
        </w:tc>
        <w:tc>
          <w:tcPr>
            <w:tcW w:w="9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[36]</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сильный B2B-аргумент, недоиспользован для широкой аудитории</w:t>
            </w:r>
          </w:p>
        </w:tc>
      </w:tr>
      <w:tr>
        <w:trPr>
          <w:cantSplit/>
        </w:trPr>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Преимущество: аккредитация КБС (Решение Минцифры № 4-А от 15.11.2023)</w:t>
            </w:r>
          </w:p>
        </w:tc>
        <w:tc>
          <w:tcPr>
            <w:tcW w:w="12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полное</w:t>
            </w:r>
          </w:p>
        </w:tc>
        <w:tc>
          <w:tcPr>
            <w:tcW w:w="2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сайт face2.ru, продуктовые материалы</w:t>
            </w:r>
          </w:p>
        </w:tc>
        <w:tc>
          <w:tcPr>
            <w:tcW w:w="9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используется в полную меру</w:t>
            </w:r>
          </w:p>
        </w:tc>
      </w:tr>
      <w:tr>
        <w:trPr>
          <w:cantSplit/>
        </w:trPr>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Преимущество: институциональный стаж в ЕБС с 10.07.2018, первый банк ПФО</w:t>
            </w:r>
          </w:p>
        </w:tc>
        <w:tc>
          <w:tcPr>
            <w:tcW w:w="12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минимальное</w:t>
            </w:r>
          </w:p>
        </w:tc>
        <w:tc>
          <w:tcPr>
            <w:tcW w:w="2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TAdviser 2018 г.; в текущей коммуникации не воспроизводится</w:t>
            </w:r>
          </w:p>
        </w:tc>
        <w:tc>
          <w:tcPr>
            <w:tcW w:w="9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[40]</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сильно недоиспользовано — готовый сторителлинг для снятия барьера «новизна и непроверенность»</w:t>
            </w:r>
          </w:p>
        </w:tc>
      </w:tr>
      <w:tr>
        <w:trPr>
          <w:cantSplit/>
        </w:trPr>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Преимущество: банковская экосистема (934 тыс. розничных клиентов, 930 тыс. в АБО, 450 тыс. Карт жителя РТ, 12 млн транзакций в АБО за 2024 г.)</w:t>
            </w:r>
          </w:p>
        </w:tc>
        <w:tc>
          <w:tcPr>
            <w:tcW w:w="12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частичное</w:t>
            </w:r>
          </w:p>
        </w:tc>
        <w:tc>
          <w:tcPr>
            <w:tcW w:w="2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через интеграцию в АБО, Карту жителя РТ — только в РТ</w:t>
            </w:r>
          </w:p>
        </w:tc>
        <w:tc>
          <w:tcPr>
            <w:tcW w:w="9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17, 28–29, 33]</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сильно работает в РТ, не используется как канал распространения вне РТ</w:t>
            </w:r>
          </w:p>
        </w:tc>
      </w:tr>
      <w:tr>
        <w:trPr>
          <w:cantSplit/>
        </w:trPr>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Преимущество: продуктовая вертикаль под банковский сценарий</w:t>
            </w:r>
          </w:p>
        </w:tc>
        <w:tc>
          <w:tcPr>
            <w:tcW w:w="12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полное</w:t>
            </w:r>
          </w:p>
        </w:tc>
        <w:tc>
          <w:tcPr>
            <w:tcW w:w="2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линейка, описания на face2.ru</w:t>
            </w:r>
          </w:p>
        </w:tc>
        <w:tc>
          <w:tcPr>
            <w:tcW w:w="9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используется в полную меру</w:t>
            </w:r>
          </w:p>
        </w:tc>
      </w:tr>
      <w:tr>
        <w:trPr>
          <w:cantSplit/>
        </w:trPr>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нет независимой международной верификации точности (NIST FRTE, iBeta, CVPR)</w:t>
            </w:r>
          </w:p>
        </w:tc>
        <w:tc>
          <w:tcPr>
            <w:tcW w:w="12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компенсация не предпринимается</w:t>
            </w:r>
          </w:p>
        </w:tc>
        <w:tc>
          <w:tcPr>
            <w:tcW w:w="2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9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открыт</w:t>
            </w:r>
          </w:p>
        </w:tc>
      </w:tr>
      <w:tr>
        <w:trPr>
          <w:cantSplit/>
        </w:trPr>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нет собственного производства терминалов</w:t>
            </w:r>
          </w:p>
        </w:tc>
        <w:tc>
          <w:tcPr>
            <w:tcW w:w="12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компенсация работает</w:t>
            </w:r>
          </w:p>
        </w:tc>
        <w:tc>
          <w:tcPr>
            <w:tcW w:w="2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через партнёрское оборудование</w:t>
            </w:r>
          </w:p>
        </w:tc>
        <w:tc>
          <w:tcPr>
            <w:tcW w:w="9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компенсирован, но не закрыт</w:t>
            </w:r>
          </w:p>
        </w:tc>
      </w:tr>
      <w:tr>
        <w:trPr>
          <w:cantSplit/>
        </w:trPr>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локальный масштаб (Татарстан + федеральные пилоты)</w:t>
            </w:r>
          </w:p>
        </w:tc>
        <w:tc>
          <w:tcPr>
            <w:tcW w:w="12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компенсация не предпринимается</w:t>
            </w:r>
          </w:p>
        </w:tc>
        <w:tc>
          <w:tcPr>
            <w:tcW w:w="2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9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открыт</w:t>
            </w:r>
          </w:p>
        </w:tc>
      </w:tr>
      <w:tr>
        <w:trPr>
          <w:cantSplit/>
        </w:trPr>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нет отдельного решения по детекции дипфейков</w:t>
            </w:r>
          </w:p>
        </w:tc>
        <w:tc>
          <w:tcPr>
            <w:tcW w:w="12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компенсация не предпринимается</w:t>
            </w:r>
          </w:p>
        </w:tc>
        <w:tc>
          <w:tcPr>
            <w:tcW w:w="2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92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открыт</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 28, с. 17, 28–29, 33; 36; 40]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в таблице 2.3.5 показывает, что из пяти конкурентных преимуществ Face2 в полную меру используются в коммуникации только два — аккредитация КБС и продуктовая вертикаль. Право регистрации БПд граждан по № 115-ФЗ и банковская экосистема используются частично — в B2B-материалах и через интеграцию в Ак Барс Онлайн, но не разворачиваются в массовых каналах. Институциональный стаж в ЕБС с 2018 года, отдельно зафиксированный в публикации TAdviser [40] и являющийся редчайшим активом продвижения для биометрии (Face2 в этом отношении старше Face2-бренда, поскольку технологическая платформа обкатывалась банком ещё за четыре года до запуска коммерческой системы), используется минимально — он не оформлен ни как сторителлинг, ни как Physical evidence для массовой аудитории.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Из четырёх пробелов параграфа 2.2 банк предпринимает действия только по одному — пробел собственного производства терминалов компенсируется работой с партнёрским оборудованием [27]. Остальные три пробела — отсутствие независимой международной верификации точности, локальный масштаб и отсутствие в линейке отдельного решения по детекции дипфейков — остаются открытыми. Все они одновременно являются и техническими, и маркетинговыми пробелами: отсутствие верификации можно частично компенсировать публикацией статистики FAR/FRR из реальных внедрений, отсутствие масштаба — выходом на федеральные деловые СМИ через регулярную редакционную программу, отсутствие антидипфейк-функциональности — позиционированием через банковский контур многоконтурной защиты и партнёрством с разработчиком профильного решения. Ни одно из этих компенсирующих коммуникационных действий в открытом контуре не реализовано.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Главный вывод подраздела: в текущей конфигурации продвижение Face2 структурно «недотягивает» до конкурентной позиции, выявленной в параграфе 2.2. Регуляторный и инфраструктурный фундамент продукта сильнее, чем то, как продукт подаётся рынку.</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SWOT-анализ продвижения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Сводная характеристика продвижения Face2 в формате SWOT дана в таблице 2.3.6. SWOT строится строго в маркетинговой плоскости — общая характеристика продукта и банка собрана в параграфе 2.1, рыночный контекст и конкурентные позиции — в параграфе 2.2, и здесь они не повторяются. Зона интереса — только то, что относится к коммуникационному контуру и его инструментам.</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2.3.6</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SWOT-анализ продвижения Face2</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9"/>
        <w:gridCol w:w="4819"/>
      </w:tblGrid>
      <w:tr>
        <w:trPr>
          <w:tblHeader/>
          <w:cantSplit/>
        </w:trPr>
        <w:tc>
          <w:tcPr>
            <w:tcW w:w="48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S — сильные стороны продвижения</w:t>
            </w:r>
          </w:p>
        </w:tc>
        <w:tc>
          <w:tcPr>
            <w:tcW w:w="48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W — слабые стороны продвижения</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полный пул Physical evidence: КБС, ФСБ, ФСТЭК, реестр отечественного ПО, статус оператора по № 115-ФЗ (№ 101) [27; 36]</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локальный географический охват СМИ — концентрация в Республике Татарстан</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партнёрства федерального уровня в одном проекте: Минцифры РФ, Минтранс РФ, ЦБТ, НСПК [28, с. 30–31]</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отсутствие отдельного бренда Face2 в социальных сетях [28, с. 33]</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внутренняя демозона как естественный «полигон» коммуникации: 5 000+ сотрудников × 200 биотерминалов [27]</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отсутствие регулярного контент-конвейера и редакционной программы</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встроенность в Карту жителя РТ — уникальный канал распространения через социальную инфраструктуру (450 тыс. карт; биометрия в мобильном приложении) [28, с. 28–29]</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отсутствие независимой международной верификации точности (NIST FRTE, iBeta, CVPR)</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институциональный стаж в ЕБС с 10.07.2018 — готовый сторителлинг [40]</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публичные тарифы, ROI-калькулятор и конверсионная механика на сайте отсутствуют</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рейтинги «A» по национальной шкале и ESG-A банка как Physical evidence второго уровня [28, с. 4]</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минимальная публичная экспертная команда (один публичный контакт продаж) [27]</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необновлённость исходной маркетинговой гипотезы 2018 года об органическом спросе [40]</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 — возможности рынка**</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**T — угрозы продвижения**</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девятикратный годовой рост числа биометрических платежей в России (9 мес. 2025 к 9 мес. 2024) [38]</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доминирование Сбера в B2C-биоэквайринге: 700 тыс. терминалов, 30 млн зарегистрированных, 116 млрд руб. оборота за 2025 год [32]</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ужесточение ответственности после 420-ФЗ и 421-ФЗ — растёт ценность аккредитованных операторов как класса [27]</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отрыв VisionLabs по независимой верификации точности через NIST FRTE и работа в 38 странах [37]</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10+ млн пользователей в ЕБС к началу 2026 года — готовая клиентская база, не требующая повторной сдачи биометрии [38]</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OVISION закрывает рынок полного цикла СКУД с собственным аппаратным стеком и федеральными референсами в РЖД, Мосэнергосбыте, Правительстве Тульской области [39]</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фаза массовой коммерциализации: средний чек биометрической операции стабилен на уровне 770 руб., рост идёт по числу транзакций [38]</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репутационный риск утечек у любого аккредитованного оператора биометрии — способен ударить по доверию ко всему классу одновременно</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данным [27; 28, с. 4, 28–33; 32; 36; 37; 38; 39; 40]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Сильные стороны продвижения сосредоточены в инфраструктурном и партнёрском слоях. Полный пул Physical evidence (полный набор регуляторных статусов, шестилетний стаж в ЕБС, рейтинги «A» и ESG-A банка), беспрецедентная для рынка референсная база партнёрств федерального уровня в одном проекте, внутренняя демозона как естественный «полигон» отладки клиентского опыта, встроенность в Карту жителя Республики Татарстан — каждое из этих преимуществ по отдельности встречается у разных конкурентов, но именно их совокупность характерна только для Face2 на текущем рынке.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Слабые стороны симметричны сильным: всё, что сильно в push-контуре, слабо в pull-контуре. Локальный географический охват СМИ, отсутствие отдельного бренда в социальных сетях, отсутствие регулярного контент-конвейера, отсутствие независимой верификации точности, отсутствие публикуемых тарифов и конверсионной механики на сайте, минимальная публичная экспертная команда — это не отдельные проблемы, а единый кластер недозагрузки массовых маркетинговых инструментов. К нему добавляется фундаментальная слабость — необновлённость исходной маркетинговой гипотезы 2018 года об органическом спросе в условиях рынка, прошедшего точку массовой коммерциализации.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Возможности рынка работают в пользу Face2 одновременно по трём направлениям. Девятикратный годовой рост числа биометрических платежей и пятикратный рост оборота создают эффект повседневности, при котором сценарии оплаты лицом, прохода и заселения становятся для пользователя привычными — это снижает барьер доверия в новых сегментах [38]. Ужесточение ответственности за неправомерное обращение с биометрией после 420-ФЗ и 421-ФЗ повышает ценность аккредитованных операторов как класса и одновременно увеличивает регуляторные риски для не имеющих аккредитации игроков [27]. Накопление 10 млн+ пользователей в ЕБС к началу 2026 года формирует готовую клиентскую базу, не требующую повторной сдачи биометрии, и удешевляет для Face2 каждый последующий маркетинговый рубль [38].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Угрозы продвижения распределены по трём осям: масштабная — Сбер с 700 тыс. терминалов, 30 млн зарегистрированных и 116 млрд рублей оборота за 2025 год доминирует в B2C-биоэквайринге [32]; технологическая — VisionLabs удерживает отрыв по независимой верификации точности через NIST FRTE и работает в 38 странах [37]; продуктовая — OVISION закрывает рынок полного цикла СКУД с собственным аппаратом и федеральными референсами [39]. Дополнительная общая угроза — репутационные риски утечек у любого аккредитованного оператора биометрии, способные ударить по доверию ко всему классу одновременно.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Структурный вывод SWOT: продвижение Face2 находится в диспозиции, при которой сильные стороны не масштабируются, а слабые стороны сосредоточены в той части маркетингового инструментария, где у банка уже есть необходимые ресурсы (банковская экосистема, рейтинги, региональные данные). Это вопрос конфигурации, а не дополнительных вложений — основа для управленческой повестки главы 3.</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Сводный перечень пробелов продвижения и переход к главе 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Восемь пробелов продвижения, последовательно зафиксированных в предыдущих подразделах настоящего параграфа, агрегированы в таблицу 2.3.7. Эта таблица одновременно завершает анализ текущего состояния и формирует управленческую повестку для главы 3 — каждый пробел переходит в задачу разработки стратегии продвижения.</w:t>
      </w:r>
    </w:p>
    <w:p>
      <w:pPr>
        <w:keepNext/>
        <w:keepLines/>
        <w:spacing w:before="12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Таблица 2.3.7</w:t>
      </w:r>
    </w:p>
    <w:p>
      <w:pPr>
        <w:keepNext/>
        <w:keepLines/>
        <w:spacing w:before="0" w:after="6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Сводный перечень пробелов продвижения Face2 как управленческая повестка для главы 3</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3"/>
        <w:gridCol w:w="1701"/>
        <w:gridCol w:w="3646"/>
        <w:gridCol w:w="1823"/>
        <w:gridCol w:w="1823"/>
      </w:tblGrid>
      <w:tr>
        <w:trPr>
          <w:tblHeader/>
          <w:cantSplit/>
        </w:trPr>
        <w:tc>
          <w:tcPr>
            <w:tcW w:w="64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Пробел</w:t>
            </w:r>
          </w:p>
        </w:tc>
        <w:tc>
          <w:tcPr>
            <w:tcW w:w="364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w:t>
            </w:r>
          </w:p>
        </w:tc>
        <w:tc>
          <w:tcPr>
            <w:tcW w:w="182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Группа пробелов</w:t>
            </w:r>
          </w:p>
        </w:tc>
        <w:tc>
          <w:tcPr>
            <w:tcW w:w="182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Где зафиксирован</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c>
          <w:tcPr>
            <w:tcW w:w="17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Канальный</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push-каналы (B2B/B2G, партнёрства, пилоты) сильны, pull-каналы (массовые СМИ за пределами РТ, отдельный бренд в соцсетях) фрагментарны</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пробелы охвата</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Инвентаризация каналов</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7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Контентный</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регуляторный капитал (КБС, аккредитации, статус по № 115-ФЗ, стаж с 2018 года) не переведён в массовое сообщение «доверие»</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пробелы аргументации</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7P; Соответствие нише</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7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Сегментный</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сегменты «гостеприимство» и «возрастная верификация в ритейле» заявлены продуктово, но публичных кейсов нет</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пробелы охвата</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Сегментация</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7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Доказательный</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независимой международной верификации точности (NIST FRTE, iBeta, CVPR), которой пользуется VisionLabs</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пробелы аргументации</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7P; Соответствие нише</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7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People</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отсутствует публичная экспертная линейка спикеров (CISO, юрист по 572-ФЗ, продакт-менеджер), один публичный контакт продаж</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пробелы аргументации</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7P</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w:t>
            </w:r>
          </w:p>
        </w:tc>
        <w:tc>
          <w:tcPr>
            <w:tcW w:w="17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Конверсионный</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на сайте face2.ru отсутствует CTA-механика (заявка на пилот, демо-доступ, ROI-калькулятор), автоматическая воронка лидогенерации не оформлена</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пробелы инфраструктуры воронки</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Инвентаризация каналов; 7P</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w:t>
            </w:r>
          </w:p>
        </w:tc>
        <w:tc>
          <w:tcPr>
            <w:tcW w:w="17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Лояльностный / референсный</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системная работа с референс-клиентами не оформлена: отзывы, кейс-стади, NPS внутри подключённых пользователей, программа повторных продаж дополнительных модулей</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пробелы инфраструктуры воронки</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Маркетинговая воронка</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c>
          <w:tcPr>
            <w:tcW w:w="17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Географический</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коммерческое присутствие сконцентрировано в Татарстане; банковская экосистема (АБО — 930 тыс. пользователей) и Карта жителя РТ как ресурсы распространения вне РТ не задействованы</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пробелы охвата</w:t>
            </w:r>
          </w:p>
        </w:tc>
        <w:tc>
          <w:tcPr>
            <w:tcW w:w="18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Сегментация; Соответствие нише</w:t>
            </w:r>
          </w:p>
        </w:tc>
      </w:tr>
    </w:tbl>
    <w:p>
      <w:pPr>
        <w:spacing w:before="0" w:after="20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i/>
          <w:iCs/>
          <w:color w:val="000000"/>
          <w:sz w:val="24"/>
          <w:szCs w:val="24"/>
          <w:lang w:val="ru-RU"/>
        </w:rPr>
        <w:t xml:space="preserve">Источник: </w:t>
      </w:r>
      <w:r>
        <w:rPr>
          <w:rFonts w:ascii="Times New Roman" w:hAnsi="Times New Roman" w:cs="Times New Roman" w:eastAsia="Times New Roman"/>
          <w:color w:val="000000"/>
          <w:sz w:val="24"/>
          <w:szCs w:val="24"/>
          <w:lang w:val="ru-RU"/>
        </w:rPr>
        <w:t xml:space="preserve">составлено автором по результатам предыдущих подразделов настоящего параграфа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Восемь пробелов в таблице 2.3.7 не являются независимыми. Они образуют связанный кластер вокруг одной общей характеристики — преимущественно push-ориентированного продвижения банковского сервисного игрока с локальной коммерческой базой, опирающегося на устаревшую гипотезу органического спроса. Канальный пробел (1), географический пробел (8) и сегментный пробел (3) — это пробелы охвата. Контентный пробел (2), доказательный пробел (4) и People-пробел (5) — это пробелы аргументации. Конверсионный пробел (6) и лояльностный пробел (7) — это пробелы инфраструктуры воронки. Управленческая повестка главы 3 распадается на три параллельных направления — расширение охвата, усиление аргументации, достройка инфраструктуры воронки.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Связь с уже занятой конкурентной нишей определяет приоритеты. Регуляторное преимущество, банковская экосистема и шестилетний стаж в ЕБС — те ресурсы, которые в продвижении не нужно создавать, а нужно только активизировать. Это означает, что разрабатываемая стратегия продвижения Face2 не должна строиться в логике догоняющего марша к Сберу или верификационного состязания с VisionLabs — обе эти траектории требуют ресурсов, которых у банка нет в нужных объёмах. Стратегия должна строиться в логике конвертации уже накопленного институционального и инфраструктурного капитала в массовое сообщение и в массовый канал, при сохранении сильной B2B-составляющей и без размывания регуляторного позиционирования.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Эта рамка задаёт переход к главе 3. В параграфе 3.1 управленческая повестка восьми пробелов переводится в цели и задачи стратегии продвижения, формируется приоритизация целевых сегментов и обновляется позиционирование. В параграфе 3.2 на этой основе разрабатывается комплекс маркетинговых мероприятий — стратегические направления, отраслевые офферы для приоритетных сегментов, каналы продвижения, контентная и PR-стратегия, дорожная карта реализации. В параграфе 3.3 предложенная стратегия проверяется на эффективность через KPI, экономический эффект, оценку рисков и организационный план внедрения.</w:t>
      </w:r>
    </w:p>
    <w:p>
      <w:pPr>
        <w:spacing w:before="0" w:after="0" w:line="240" w:lineRule="auto"/>
        <w:jc w:val="both"/>
        <w:rPr>
          <w:rFonts w:ascii="Times New Roman" w:hAnsi="Times New Roman" w:cs="Times New Roman" w:eastAsia="Times New Roman"/>
          <w:sz w:val="28"/>
          <w:szCs w:val="28"/>
          <w:lang w:val="ru-RU"/>
        </w:rPr>
      </w:pP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ВЫВОД ПО ГЛАВЕ 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Глава 2 описала Ак Барс Банк как разработчика Face2 — крупный региональный банк с активами 1,16 трлн рублей, рейтингами «A» по национальной шкале и собственной биометрической вертикалью с аккредитацией Минцифры по правилам КБС, сертификацией ФСБ и ФСТЭК, внутренней инсталляцией на 5 000+ сотрудников и пилотами с Минцифры, Минтрансом и НСПК [25, с. 1–3; 27; 28, с. 30–31]. Российский рынок биометрии прошёл точку массовой коммерциализации — 145,9 млн платежей и 112,5 млрд рублей оборота за девять месяцев 2025 года, свыше 10 млн пользователей ЕБС — и работает в жёсткой регуляторной рамке 572-ФЗ, ограничивающей круг операторов аккредитованными игроками [33; 38; 43]. Балльная экспертная оценка под целевой сегмент B2B и B2G со сценариями работы с физическими лицами через ЕБС вывела Face2 на разделённую вторую позицию (4,10) после Сбера (4,25), а собственный конкурентный сегмент банка — пересечение банковской экосистемы, права работы с биометрией физических лиц через ЕБС и продуктовой линейки под платежи, проход и подтверждение возраста — у ключевых конкурентов отсутствует [27; 32; 36; 37; 39]. Анализ текущего продвижения через STP, 7P, маркетинговую воронку с этапом «Доверие» и карту каналов выявил структурную асимметрию: push-каналы развиты сильно, pull-каналы фрагментарны, что собирается в восемь связанных пробелов — канальный, контентный, сегментный, доказательный, People, конверсионный, лояльностный и географический [27; 28, с. 28–33; 36; 40]. Эта расстановка задаёт управленческую повестку для главы 3 — спроектировать стратегию продвижения, опирающуюся на сильные стороны Face2 (регуляторный капитал, банковская экосистема, стаж в ЕБС с 2018 года) и закрывающую выявленные пробелы по трём направлениям: расширение охвата, усиление аргументации и достройка инфраструктуры воронки.</w:t>
      </w:r>
    </w:p>
    <w:p>
      <w:pPr>
        <w:spacing w:before="0" w:after="0" w:line="240" w:lineRule="auto"/>
        <w:jc w:val="both"/>
        <w:rPr>
          <w:rFonts w:ascii="Times New Roman" w:hAnsi="Times New Roman" w:cs="Times New Roman" w:eastAsia="Times New Roman"/>
          <w:sz w:val="28"/>
          <w:szCs w:val="28"/>
          <w:lang w:val="ru-RU"/>
        </w:rPr>
      </w:pPr>
    </w:p>
    <w:sectPr>
      <w:pgSz w:w="11906" w:h="16838"/>
      <w:pgMar w:top="1134" w:right="567" w:bottom="1134" w:left="1701" w:header="720" w:footer="720" w:gutter="0"/>
      <w:cols w:space="708"/>
      <w:docGrid w:linePitch="360"/>
    </w:sectPr>
  </w:body>
</w:document>
</file>

<file path=word/fontTable.xml><?xml version="1.0" encoding="utf-8"?>
<w:fonts xmlns:w="http://schemas.openxmlformats.org/wordprocessingml/2006/main">
  <w:font w:name="Times New Roman">
    <w:panose1 w:val="02020603050405020304"/>
    <w:charset w:val="CC"/>
    <w:family w:val="roman"/>
    <w:pitch w:val="variable"/>
  </w:font>
</w:fonts>
</file>

<file path=word/numbering.xml><?xml version="1.0" encoding="utf-8"?>
<w:numbering xmlns:w="http://schemas.openxmlformats.org/wordprocessingml/2006/main"/>
</file>

<file path=word/settings.xml><?xml version="1.0" encoding="utf-8"?>
<w:settings xmlns:w="http://schemas.openxmlformats.org/wordprocessingml/2006/main">
  <w:zoom w:percent="100"/>
  <w:defaultTabStop w:val="708"/>
  <w:characterSpacingControl w:val="doNotCompress"/>
  <w:compat>
    <w:compatSetting w:name="compatibilityMode" w:uri="http://schemas.microsoft.com/office/word" w:val="15"/>
  </w:compat>
  <w:themeFontLang w:val="ru-RU"/>
</w:settings>
</file>

<file path=word/styles.xml><?xml version="1.0" encoding="utf-8"?>
<w:styles xmlns:w="http://schemas.openxmlformats.org/wordprocessingml/2006/main">
  <w:docDefaults>
    <w:rPrDefault>
      <w:rPr>
        <w:rFonts w:ascii="Times New Roman" w:hAnsi="Times New Roman" w:cs="Times New Roman" w:eastAsia="Times New Roman"/>
        <w:sz w:val="28"/>
        <w:szCs w:val="28"/>
        <w:lang w:val="ru-RU" w:eastAsia="ru-RU" w:bidi="ar-SA"/>
      </w:rPr>
    </w:rPrDefault>
    <w:pPrDefault>
      <w:pPr>
        <w:spacing w:before="0" w:after="0" w:line="360" w:lineRule="auto"/>
        <w:jc w:val="both"/>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VKR-builder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Глава 2 ВКР — оформление</dc:title>
  <dc:creator>Автор</dc:creator>
  <cp:lastModifiedBy>Автор</cp:lastModifiedBy>
</cp:coreProperties>
</file>