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wps="http://schemas.microsoft.com/office/word/2010/wordprocessingShape" xmlns:wpc="http://schemas.microsoft.com/office/word/2010/wordprocessingCanvas" xmlns:wpg="http://schemas.microsoft.com/office/word/2010/wordprocessingGroup" xmlns:mc="http://schemas.openxmlformats.org/markup-compatibility/2006">
  <w:body>
    <w:p>
      <w:pPr>
        <w:keepNext/>
        <w:keepLines/>
        <w:spacing w:before="24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2. АНАЛИЗ ДЕЯТЕЛЬНОСТИ АК БАРС БАНКА В КОНТЕКСТЕ РАЗРАБОТКИ СТРАТЕГИИ ПРОДВИЖЕНИЯ ИННОВАЦИОННОГО ПРОДУКТА</w:t>
      </w:r>
    </w:p>
    <w:p>
      <w:pPr>
        <w:keepNext/>
        <w:keepLines/>
        <w:spacing w:before="24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2.1. Характеристика Ак Барс Банка и продукта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Анализ стратегии продвижения нового продукта начинается с разбора объекта, а не с разбора рынка. Без точного описания компании, её ресурсной базы и самого продукта оценка каналов, аудитории и рыночной позиции теряет основу. Поэтому первый шаг — характеристика Ак Барс Банка как разработчика Face2 и самого биометрического сервиса как объекта продвижения.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Акционерный коммерческий банк «Ак Барс» — публичное акционерное общество с юридическим адресом в Казани, улица Декабристов, дом 1 [26, с. 7]. Банк работает по генеральной банковской лицензии Центрального банка Российской Федерации с 1993 года и входит в государственную систему страхования вкладов физических лиц [26, с. 6]. Государственная страховка покрывает выплаты по вкладам в пределах 1,4 млн рублей, а в особых обстоятельствах — до 10 млн рублей [26, с. 6]. Основной профиль группы — коммерческие и розничные банковские операции на территории России [26, с. 6]. Республика Татарстан — основной регион присутствия банка, и доля местных поставщиков в общем бюджете закупок на конец 2024 года составила не менее 60% [28, с. 67].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Помимо самого банка в группу входят инвестиционные компании, лизинговая компания, страховые организации и негосударственный пенсионный фонд [26, с. 7]. Такая конструкция позволяет банку выходить за пределы классического кредитования и расчётов и собирать вокруг себя смежные финансовые сервисы — от пенсионных накоплений и страхования до лизинга оборудования. Состав группы показан на рисунке 2.1.1: банк объединяет вокруг головной кредитной организации инвестиционный, страховой и пенсионный блоки в единое юридически связанное целое.</w:t>
      </w:r>
    </w:p>
    <w:p>
      <w:pPr>
        <w:keepNext/>
        <w:keepLines/>
        <w:spacing w:before="12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i/>
          <w:iCs/>
          <w:color w:val="000000"/>
          <w:sz w:val="24"/>
          <w:szCs w:val="24"/>
          <w:lang w:val="ru-RU"/>
        </w:rPr>
        <w:t xml:space="preserve">Источник: </w:t>
      </w:r>
      <w:r>
        <w:rPr>
          <w:rFonts w:ascii="Times New Roman" w:hAnsi="Times New Roman" w:cs="Times New Roman" w:eastAsia="Times New Roman"/>
          <w:color w:val="000000"/>
          <w:sz w:val="24"/>
          <w:szCs w:val="24"/>
          <w:lang w:val="ru-RU"/>
        </w:rPr>
        <w:t xml:space="preserve">составлено автором по данным [26, с. 7]</w:t>
      </w:r>
    </w:p>
    <w:p>
      <w:pPr>
        <w:keepNext/>
        <w:keepLines/>
        <w:spacing w:before="120" w:after="60" w:line="240" w:lineRule="auto"/>
        <w:jc w:val="center"/>
        <w:rPr>
          <w:rFonts w:ascii="Times New Roman" w:hAnsi="Times New Roman" w:cs="Times New Roman" w:eastAsia="Times New Roman"/>
          <w:sz w:val="28"/>
          <w:szCs w:val="28"/>
          <w:lang w:val="ru-RU"/>
        </w:rPr>
      </w:pPr>
      <w:r>
        <w:drawing>
          <wp:inline distT="0" distB="0" distL="0" distR="0">
            <wp:extent cx="5760000" cy="2160000"/>
            <wp:effectExtent l="0" t="0" r="0" b="0"/>
            <wp:docPr id="1001" name="Drawing1001"/>
            <wp:cNvGraphicFramePr/>
            <a:graphic>
              <a:graphicData uri="http://schemas.microsoft.com/office/word/2010/wordprocessingGroup">
                <wpg:wgp>
                  <wpg:cNvGrpSpPr/>
                  <wpg:grpSpPr>
                    <a:xfrm>
                      <a:off x="0" y="0"/>
                      <a:ext cx="5760000" cy="2160000"/>
                      <a:chOff x="0" y="0"/>
                      <a:chExt cx="5760000" cy="2160000"/>
                    </a:xfrm>
                  </wpg:grpSpPr>
                  <wps:wsp>
                    <wps:cNvPr id="1101" name="Root1101"/>
                    <wps:cNvSpPr/>
                    <wps:spPr>
                      <a:xfrm>
                        <a:off x="1620000" y="72000"/>
                        <a:ext cx="2520000" cy="360000"/>
                      </a:xfrm>
                      <a:prstGeom prst="rect">
                        <a:avLst/>
                      </a:prstGeom>
                      <a:solidFill>
                        <a:srgbClr val="1F4E79"/>
                      </a:solidFill>
                      <a:ln w="9525">
                        <a:solidFill>
                          <a:srgbClr val="1F4E79"/>
                        </a:solidFill>
                      </a:ln>
                    </wps:spPr>
                    <wps:txbx>
                      <w:txbxContent>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FFFFFF"/>
                              <w:sz w:val="22"/>
                              <w:szCs w:val="22"/>
                              <w:lang w:val="ru-RU"/>
                            </w:rPr>
                            <w:t xml:space="preserve">Группа банка «Ак Барс»</w:t>
                          </w:r>
                        </w:p>
                      </w:txbxContent>
                    </wps:txbx>
                    <wps:bodyPr rot="0" spcFirstLastPara="0" vertOverflow="visible" horzOverflow="visible" wrap="square" lIns="36000" tIns="36000" rIns="36000" bIns="36000" anchor="ctr" anchorCtr="0" upright="1">
                      <a:noAutofit/>
                    </wps:bodyPr>
                  </wps:wsp>
                  <wps:wsp>
                    <wps:cNvPr id="1102" name="Line1102"/>
                    <wps:cNvCnPr/>
                    <wps:spPr>
                      <a:xfrm>
                        <a:off x="2880000" y="432000"/>
                        <a:ext cx="1" cy="395999"/>
                      </a:xfrm>
                      <a:prstGeom prst="line">
                        <a:avLst/>
                      </a:prstGeom>
                      <a:ln w="12700">
                        <a:solidFill>
                          <a:srgbClr val="000000"/>
                        </a:solidFill>
                      </a:ln>
                    </wps:spPr>
                    <wps:bodyPr/>
                  </wps:wsp>
                  <wps:wsp>
                    <wps:cNvPr id="1103" name="Line1103"/>
                    <wps:cNvCnPr/>
                    <wps:spPr>
                      <a:xfrm>
                        <a:off x="579600" y="827999"/>
                        <a:ext cx="4600800" cy="1"/>
                      </a:xfrm>
                      <a:prstGeom prst="line">
                        <a:avLst/>
                      </a:prstGeom>
                      <a:ln w="12700">
                        <a:solidFill>
                          <a:srgbClr val="000000"/>
                        </a:solidFill>
                      </a:ln>
                    </wps:spPr>
                    <wps:bodyPr/>
                  </wps:wsp>
                  <wps:wsp>
                    <wps:cNvPr id="1104" name="Line1104"/>
                    <wps:cNvCnPr/>
                    <wps:spPr>
                      <a:xfrm>
                        <a:off x="561600" y="827999"/>
                        <a:ext cx="1" cy="216000"/>
                      </a:xfrm>
                      <a:prstGeom prst="line">
                        <a:avLst/>
                      </a:prstGeom>
                      <a:ln w="12700">
                        <a:solidFill>
                          <a:srgbClr val="000000"/>
                        </a:solidFill>
                      </a:ln>
                    </wps:spPr>
                    <wps:bodyPr/>
                  </wps:wsp>
                  <wps:wsp>
                    <wps:cNvPr id="1105" name="Child01105"/>
                    <wps:cNvSpPr/>
                    <wps:spPr>
                      <a:xfrm>
                        <a:off x="0" y="1044000"/>
                        <a:ext cx="1123200" cy="1080000"/>
                      </a:xfrm>
                      <a:prstGeom prst="rect">
                        <a:avLst/>
                      </a:prstGeom>
                      <a:solidFill>
                        <a:srgbClr val="2E75B6"/>
                      </a:solidFill>
                      <a:ln w="9525">
                        <a:solidFill>
                          <a:srgbClr val="1F4E79"/>
                        </a:solidFill>
                      </a:ln>
                    </wps:spPr>
                    <wps:txbx>
                      <w:txbxContent>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FFFFFF"/>
                              <w:sz w:val="20"/>
                              <w:szCs w:val="20"/>
                              <w:lang w:val="ru-RU"/>
                            </w:rPr>
                            <w:t xml:space="preserve">ПАО «АК БАРС»</w:t>
                          </w:r>
                        </w:p>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FFFFFF"/>
                              <w:sz w:val="20"/>
                              <w:szCs w:val="20"/>
                              <w:lang w:val="ru-RU"/>
                            </w:rPr>
                            <w:t xml:space="preserve">БАНК</w:t>
                          </w:r>
                        </w:p>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FFFFFF"/>
                              <w:sz w:val="20"/>
                              <w:szCs w:val="20"/>
                              <w:lang w:val="ru-RU"/>
                            </w:rPr>
                            <w:t xml:space="preserve">(головной)</w:t>
                          </w:r>
                        </w:p>
                      </w:txbxContent>
                    </wps:txbx>
                    <wps:bodyPr rot="0" spcFirstLastPara="0" vertOverflow="visible" horzOverflow="visible" wrap="square" lIns="36000" tIns="36000" rIns="36000" bIns="36000" anchor="ctr" anchorCtr="0" upright="1">
                      <a:noAutofit/>
                    </wps:bodyPr>
                  </wps:wsp>
                  <wps:wsp>
                    <wps:cNvPr id="1106" name="Line1106"/>
                    <wps:cNvCnPr/>
                    <wps:spPr>
                      <a:xfrm>
                        <a:off x="1720800" y="827999"/>
                        <a:ext cx="1" cy="216000"/>
                      </a:xfrm>
                      <a:prstGeom prst="line">
                        <a:avLst/>
                      </a:prstGeom>
                      <a:ln w="12700">
                        <a:solidFill>
                          <a:srgbClr val="000000"/>
                        </a:solidFill>
                      </a:ln>
                    </wps:spPr>
                    <wps:bodyPr/>
                  </wps:wsp>
                  <wps:wsp>
                    <wps:cNvPr id="1107" name="Child11107"/>
                    <wps:cNvSpPr/>
                    <wps:spPr>
                      <a:xfrm>
                        <a:off x="1159200" y="1044000"/>
                        <a:ext cx="1123200" cy="1080000"/>
                      </a:xfrm>
                      <a:prstGeom prst="rect">
                        <a:avLst/>
                      </a:prstGeom>
                      <a:solidFill>
                        <a:srgbClr val="2E75B6"/>
                      </a:solidFill>
                      <a:ln w="9525">
                        <a:solidFill>
                          <a:srgbClr val="1F4E79"/>
                        </a:solidFill>
                      </a:ln>
                    </wps:spPr>
                    <wps:txbx>
                      <w:txbxContent>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FFFFFF"/>
                              <w:sz w:val="20"/>
                              <w:szCs w:val="20"/>
                              <w:lang w:val="ru-RU"/>
                            </w:rPr>
                            <w:t xml:space="preserve">Инвестиционные</w:t>
                          </w:r>
                        </w:p>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FFFFFF"/>
                              <w:sz w:val="20"/>
                              <w:szCs w:val="20"/>
                              <w:lang w:val="ru-RU"/>
                            </w:rPr>
                            <w:t xml:space="preserve">компании</w:t>
                          </w:r>
                        </w:p>
                      </w:txbxContent>
                    </wps:txbx>
                    <wps:bodyPr rot="0" spcFirstLastPara="0" vertOverflow="visible" horzOverflow="visible" wrap="square" lIns="36000" tIns="36000" rIns="36000" bIns="36000" anchor="ctr" anchorCtr="0" upright="1">
                      <a:noAutofit/>
                    </wps:bodyPr>
                  </wps:wsp>
                  <wps:wsp>
                    <wps:cNvPr id="1108" name="Line1108"/>
                    <wps:cNvCnPr/>
                    <wps:spPr>
                      <a:xfrm>
                        <a:off x="2880000" y="827999"/>
                        <a:ext cx="1" cy="216000"/>
                      </a:xfrm>
                      <a:prstGeom prst="line">
                        <a:avLst/>
                      </a:prstGeom>
                      <a:ln w="12700">
                        <a:solidFill>
                          <a:srgbClr val="000000"/>
                        </a:solidFill>
                      </a:ln>
                    </wps:spPr>
                    <wps:bodyPr/>
                  </wps:wsp>
                  <wps:wsp>
                    <wps:cNvPr id="1109" name="Child21109"/>
                    <wps:cNvSpPr/>
                    <wps:spPr>
                      <a:xfrm>
                        <a:off x="2318400" y="1044000"/>
                        <a:ext cx="1123200" cy="1080000"/>
                      </a:xfrm>
                      <a:prstGeom prst="rect">
                        <a:avLst/>
                      </a:prstGeom>
                      <a:solidFill>
                        <a:srgbClr val="2E75B6"/>
                      </a:solidFill>
                      <a:ln w="9525">
                        <a:solidFill>
                          <a:srgbClr val="1F4E79"/>
                        </a:solidFill>
                      </a:ln>
                    </wps:spPr>
                    <wps:txbx>
                      <w:txbxContent>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FFFFFF"/>
                              <w:sz w:val="20"/>
                              <w:szCs w:val="20"/>
                              <w:lang w:val="ru-RU"/>
                            </w:rPr>
                            <w:t xml:space="preserve">Лизинговая</w:t>
                          </w:r>
                        </w:p>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FFFFFF"/>
                              <w:sz w:val="20"/>
                              <w:szCs w:val="20"/>
                              <w:lang w:val="ru-RU"/>
                            </w:rPr>
                            <w:t xml:space="preserve">компания</w:t>
                          </w:r>
                        </w:p>
                      </w:txbxContent>
                    </wps:txbx>
                    <wps:bodyPr rot="0" spcFirstLastPara="0" vertOverflow="visible" horzOverflow="visible" wrap="square" lIns="36000" tIns="36000" rIns="36000" bIns="36000" anchor="ctr" anchorCtr="0" upright="1">
                      <a:noAutofit/>
                    </wps:bodyPr>
                  </wps:wsp>
                  <wps:wsp>
                    <wps:cNvPr id="1110" name="Line1110"/>
                    <wps:cNvCnPr/>
                    <wps:spPr>
                      <a:xfrm>
                        <a:off x="4039200" y="827999"/>
                        <a:ext cx="1" cy="216000"/>
                      </a:xfrm>
                      <a:prstGeom prst="line">
                        <a:avLst/>
                      </a:prstGeom>
                      <a:ln w="12700">
                        <a:solidFill>
                          <a:srgbClr val="000000"/>
                        </a:solidFill>
                      </a:ln>
                    </wps:spPr>
                    <wps:bodyPr/>
                  </wps:wsp>
                  <wps:wsp>
                    <wps:cNvPr id="1111" name="Child31111"/>
                    <wps:cNvSpPr/>
                    <wps:spPr>
                      <a:xfrm>
                        <a:off x="3477600" y="1044000"/>
                        <a:ext cx="1123200" cy="1080000"/>
                      </a:xfrm>
                      <a:prstGeom prst="rect">
                        <a:avLst/>
                      </a:prstGeom>
                      <a:solidFill>
                        <a:srgbClr val="2E75B6"/>
                      </a:solidFill>
                      <a:ln w="9525">
                        <a:solidFill>
                          <a:srgbClr val="1F4E79"/>
                        </a:solidFill>
                      </a:ln>
                    </wps:spPr>
                    <wps:txbx>
                      <w:txbxContent>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FFFFFF"/>
                              <w:sz w:val="20"/>
                              <w:szCs w:val="20"/>
                              <w:lang w:val="ru-RU"/>
                            </w:rPr>
                            <w:t xml:space="preserve">Страховые</w:t>
                          </w:r>
                        </w:p>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FFFFFF"/>
                              <w:sz w:val="20"/>
                              <w:szCs w:val="20"/>
                              <w:lang w:val="ru-RU"/>
                            </w:rPr>
                            <w:t xml:space="preserve">компании</w:t>
                          </w:r>
                        </w:p>
                      </w:txbxContent>
                    </wps:txbx>
                    <wps:bodyPr rot="0" spcFirstLastPara="0" vertOverflow="visible" horzOverflow="visible" wrap="square" lIns="36000" tIns="36000" rIns="36000" bIns="36000" anchor="ctr" anchorCtr="0" upright="1">
                      <a:noAutofit/>
                    </wps:bodyPr>
                  </wps:wsp>
                  <wps:wsp>
                    <wps:cNvPr id="1112" name="Line1112"/>
                    <wps:cNvCnPr/>
                    <wps:spPr>
                      <a:xfrm>
                        <a:off x="5198400" y="827999"/>
                        <a:ext cx="1" cy="216000"/>
                      </a:xfrm>
                      <a:prstGeom prst="line">
                        <a:avLst/>
                      </a:prstGeom>
                      <a:ln w="12700">
                        <a:solidFill>
                          <a:srgbClr val="000000"/>
                        </a:solidFill>
                      </a:ln>
                    </wps:spPr>
                    <wps:bodyPr/>
                  </wps:wsp>
                  <wps:wsp>
                    <wps:cNvPr id="1113" name="Child41113"/>
                    <wps:cNvSpPr/>
                    <wps:spPr>
                      <a:xfrm>
                        <a:off x="4636800" y="1044000"/>
                        <a:ext cx="1123200" cy="1080000"/>
                      </a:xfrm>
                      <a:prstGeom prst="rect">
                        <a:avLst/>
                      </a:prstGeom>
                      <a:solidFill>
                        <a:srgbClr val="2E75B6"/>
                      </a:solidFill>
                      <a:ln w="9525">
                        <a:solidFill>
                          <a:srgbClr val="1F4E79"/>
                        </a:solidFill>
                      </a:ln>
                    </wps:spPr>
                    <wps:txbx>
                      <w:txbxContent>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FFFFFF"/>
                              <w:sz w:val="20"/>
                              <w:szCs w:val="20"/>
                              <w:lang w:val="ru-RU"/>
                            </w:rPr>
                            <w:t xml:space="preserve">Негосударственный</w:t>
                          </w:r>
                        </w:p>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FFFFFF"/>
                              <w:sz w:val="20"/>
                              <w:szCs w:val="20"/>
                              <w:lang w:val="ru-RU"/>
                            </w:rPr>
                            <w:t xml:space="preserve">пенсионный</w:t>
                          </w:r>
                        </w:p>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FFFFFF"/>
                              <w:sz w:val="20"/>
                              <w:szCs w:val="20"/>
                              <w:lang w:val="ru-RU"/>
                            </w:rPr>
                            <w:t xml:space="preserve">фонд</w:t>
                          </w:r>
                        </w:p>
                      </w:txbxContent>
                    </wps:txbx>
                    <wps:bodyPr rot="0" spcFirstLastPara="0" vertOverflow="visible" horzOverflow="visible" wrap="square" lIns="36000" tIns="36000" rIns="36000" bIns="36000" anchor="ctr" anchorCtr="0" upright="1">
                      <a:noAutofit/>
                    </wps:bodyPr>
                  </wps:wsp>
                </wpg:wgp>
              </a:graphicData>
            </a:graphic>
          </wp:inline>
        </w:drawing>
      </w:r>
    </w:p>
    <w:p>
      <w:pPr>
        <w:keepLines/>
        <w:spacing w:before="60" w:after="20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Рис. 2.1.1. Структура группы банка «Ак Барс» по составу участников</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Уставный капитал банка на 31 декабря 2024 года сформирован в сумме 48 015 396 326 рублей и разделён на 48 015 396 326 обыкновенных бездокументарных акций номинальной стоимостью 1 рубль каждая [28, с. 70]. Все акции размещены и оплачены полностью. Общее количество акционеров — 45, из них 30 юридических лиц и 15 физических лиц [28, с. 71]. Регистрацию прав собственности и ведение реестра акционеров ведёт независимый регистратор — Казанский филиал АО «Регистраторское общество „Статус“» [28, с. 71]. Совет директоров избран в составе одиннадцати человек, трое из которых признаны независимыми [28, с. 71]. Концентрация акционеров на территории Татарстана и работа через казанского регистратора показывают, что центр принятия решений по банку остаётся в регионе.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Финансовый масштаб группы характеризует её как крупного регионального игрока с устойчивой федеральной инфраструктурой. Совокупные активы выросли почти на четверть за один год — с 946,9 млрд рублей на конец 2024 года до 1 157,3 млрд рублей на конец 2025 года [25, с. 1]. Прибыль за 2025 год вернулась к двузначным значениям и достигла 15,7 млрд рублей после слабого 2024 года, когда на финансовый результат давили резервы по кредитным убыткам и переоценка активов [25, с. 2]. По собственной отчётности банка по российским стандартам бухгалтерского учёта чистая прибыль за 2024 год составила 15,4 млрд рублей и более чем в два раза превысила результат 2023 года; рентабельность капитала достигла 15,4%, рентабельность активов — 1,7%, отношение операционных расходов к доходам — 37,8% [28, с. 16–17]. Сводная динамика основных консолидированных показателей собрана в таблице 2.1.1.</w:t>
      </w:r>
    </w:p>
    <w:p>
      <w:pPr>
        <w:keepNext/>
        <w:keepLines/>
        <w:spacing w:before="12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Таблица 2.1.1</w:t>
      </w:r>
    </w:p>
    <w:p>
      <w:pPr>
        <w:keepNext/>
        <w:keepLines/>
        <w:spacing w:before="0" w:after="6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Ключевые финансовые показатели группы банка «Ак Барс» за 2023–2025 гг., млн руб.</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507"/>
        <w:gridCol w:w="1376"/>
        <w:gridCol w:w="1376"/>
        <w:gridCol w:w="1376"/>
      </w:tblGrid>
      <w:tr>
        <w:trPr>
          <w:tblHeader/>
          <w:cantSplit/>
        </w:trPr>
        <w:tc>
          <w:tcPr>
            <w:tcW w:w="5507"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Показатель</w:t>
            </w:r>
          </w:p>
        </w:tc>
        <w:tc>
          <w:tcPr>
            <w:tcW w:w="1376"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2023</w:t>
            </w:r>
          </w:p>
        </w:tc>
        <w:tc>
          <w:tcPr>
            <w:tcW w:w="1376"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2024</w:t>
            </w:r>
          </w:p>
        </w:tc>
        <w:tc>
          <w:tcPr>
            <w:tcW w:w="1376"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2025</w:t>
            </w:r>
          </w:p>
        </w:tc>
      </w:tr>
      <w:tr>
        <w:trPr>
          <w:cantSplit/>
        </w:trPr>
        <w:tc>
          <w:tcPr>
            <w:tcW w:w="55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Совокупные активы (на конец года)</w:t>
            </w:r>
          </w:p>
        </w:tc>
        <w:tc>
          <w:tcPr>
            <w:tcW w:w="137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37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946 923</w:t>
            </w:r>
          </w:p>
        </w:tc>
        <w:tc>
          <w:tcPr>
            <w:tcW w:w="137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1 157 340</w:t>
            </w:r>
          </w:p>
        </w:tc>
      </w:tr>
      <w:tr>
        <w:trPr>
          <w:cantSplit/>
        </w:trPr>
        <w:tc>
          <w:tcPr>
            <w:tcW w:w="55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Итого капитал (на конец года)</w:t>
            </w:r>
          </w:p>
        </w:tc>
        <w:tc>
          <w:tcPr>
            <w:tcW w:w="137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106 130</w:t>
            </w:r>
          </w:p>
        </w:tc>
        <w:tc>
          <w:tcPr>
            <w:tcW w:w="137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111 972</w:t>
            </w:r>
          </w:p>
        </w:tc>
        <w:tc>
          <w:tcPr>
            <w:tcW w:w="137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126 377</w:t>
            </w:r>
          </w:p>
        </w:tc>
      </w:tr>
      <w:tr>
        <w:trPr>
          <w:cantSplit/>
        </w:trPr>
        <w:tc>
          <w:tcPr>
            <w:tcW w:w="55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Чистые процентные доходы</w:t>
            </w:r>
          </w:p>
        </w:tc>
        <w:tc>
          <w:tcPr>
            <w:tcW w:w="137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31 824</w:t>
            </w:r>
          </w:p>
        </w:tc>
        <w:tc>
          <w:tcPr>
            <w:tcW w:w="137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46 590</w:t>
            </w:r>
          </w:p>
        </w:tc>
        <w:tc>
          <w:tcPr>
            <w:tcW w:w="137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58 135</w:t>
            </w:r>
          </w:p>
        </w:tc>
      </w:tr>
      <w:tr>
        <w:trPr>
          <w:cantSplit/>
        </w:trPr>
        <w:tc>
          <w:tcPr>
            <w:tcW w:w="55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Прибыль за период</w:t>
            </w:r>
          </w:p>
        </w:tc>
        <w:tc>
          <w:tcPr>
            <w:tcW w:w="137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14 195</w:t>
            </w:r>
          </w:p>
        </w:tc>
        <w:tc>
          <w:tcPr>
            <w:tcW w:w="137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7 269</w:t>
            </w:r>
          </w:p>
        </w:tc>
        <w:tc>
          <w:tcPr>
            <w:tcW w:w="137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15 708</w:t>
            </w:r>
          </w:p>
        </w:tc>
      </w:tr>
    </w:tbl>
    <w:p>
      <w:pPr>
        <w:spacing w:before="0" w:after="20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i/>
          <w:iCs/>
          <w:color w:val="000000"/>
          <w:sz w:val="24"/>
          <w:szCs w:val="24"/>
          <w:lang w:val="ru-RU"/>
        </w:rPr>
        <w:t xml:space="preserve">Источник: </w:t>
      </w:r>
      <w:r>
        <w:rPr>
          <w:rFonts w:ascii="Times New Roman" w:hAnsi="Times New Roman" w:cs="Times New Roman" w:eastAsia="Times New Roman"/>
          <w:color w:val="000000"/>
          <w:sz w:val="24"/>
          <w:szCs w:val="24"/>
          <w:lang w:val="ru-RU"/>
        </w:rPr>
        <w:t xml:space="preserve">составлено автором по данным [25, с. 1–3; 26, с. 2–3]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Общая картина — рост процентной маржи и восстановление прибыли после провального 2024 года. Чистые процентные доходы выросли с 31,8 млрд рублей в 2023 году до 58,1 млрд рублей в 2025 году, то есть почти в 1,8 раза за два года [25, с. 2; 26, с. 2]. Графическое сопоставление этих величин дано на рисунке 2.1.2.</w:t>
      </w:r>
    </w:p>
    <w:p>
      <w:pPr>
        <w:keepNext/>
        <w:keepLines/>
        <w:spacing w:before="12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i/>
          <w:iCs/>
          <w:color w:val="000000"/>
          <w:sz w:val="24"/>
          <w:szCs w:val="24"/>
          <w:lang w:val="ru-RU"/>
        </w:rPr>
        <w:t xml:space="preserve">Источник: </w:t>
      </w:r>
      <w:r>
        <w:rPr>
          <w:rFonts w:ascii="Times New Roman" w:hAnsi="Times New Roman" w:cs="Times New Roman" w:eastAsia="Times New Roman"/>
          <w:color w:val="000000"/>
          <w:sz w:val="24"/>
          <w:szCs w:val="24"/>
          <w:lang w:val="ru-RU"/>
        </w:rPr>
        <w:t xml:space="preserve">составлено автором по данным [25, с. 2; 26, с. 2]</w:t>
      </w:r>
    </w:p>
    <w:p>
      <w:pPr>
        <w:keepNext/>
        <w:keepLines/>
        <w:spacing w:before="120" w:after="60" w:line="240" w:lineRule="auto"/>
        <w:jc w:val="center"/>
        <w:rPr>
          <w:rFonts w:ascii="Times New Roman" w:hAnsi="Times New Roman" w:cs="Times New Roman" w:eastAsia="Times New Roman"/>
          <w:sz w:val="28"/>
          <w:szCs w:val="28"/>
          <w:lang w:val="ru-RU"/>
        </w:rPr>
      </w:pPr>
      <w:r>
        <w:drawing>
          <wp:inline distT="0" distB="0" distL="0" distR="0">
            <wp:extent cx="5760000" cy="2520000"/>
            <wp:effectExtent l="0" t="0" r="0" b="0"/>
            <wp:docPr id="1002" name="Drawing1002"/>
            <wp:cNvGraphicFramePr/>
            <a:graphic>
              <a:graphicData uri="http://schemas.microsoft.com/office/word/2010/wordprocessingGroup">
                <wpg:wgp>
                  <wpg:cNvGrpSpPr/>
                  <wpg:grpSpPr>
                    <a:xfrm>
                      <a:off x="0" y="0"/>
                      <a:ext cx="5760000" cy="2520000"/>
                      <a:chOff x="0" y="0"/>
                      <a:chExt cx="5760000" cy="2520000"/>
                    </a:xfrm>
                  </wpg:grpSpPr>
                  <wps:wsp>
                    <wps:cNvPr id="1201" name="ChartTitle1201"/>
                    <wps:cNvSpPr txBox="1"/>
                    <wps:spPr>
                      <a:xfrm>
                        <a:off x="0" y="72000"/>
                        <a:ext cx="2790000" cy="288000"/>
                      </a:xfrm>
                      <a:prstGeom prst="rect">
                        <a:avLst/>
                      </a:prstGeom>
                      <a:noFill/>
                      <a:ln>
                        <a:noFill/>
                      </a:ln>
                    </wps:spPr>
                    <wps:txbx>
                      <w:txbxContent>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1F4E79"/>
                              <w:sz w:val="20"/>
                              <w:szCs w:val="20"/>
                              <w:lang w:val="ru-RU"/>
                            </w:rPr>
                            <w:t xml:space="preserve">Чистые процентные доходы, млн ₽</w:t>
                          </w:r>
                        </w:p>
                      </w:txbxContent>
                    </wps:txbx>
                    <wps:bodyPr rot="0" spcFirstLastPara="0" vertOverflow="visible" horzOverflow="visible" wrap="square" lIns="36000" tIns="36000" rIns="36000" bIns="36000" anchor="ctr" anchorCtr="0" upright="1">
                      <a:noAutofit/>
                    </wps:bodyPr>
                  </wps:wsp>
                  <wps:wsp>
                    <wps:cNvPr id="1202" name="Line1202"/>
                    <wps:cNvCnPr/>
                    <wps:spPr>
                      <a:xfrm>
                        <a:off x="180000" y="396000"/>
                        <a:ext cx="1" cy="1871999"/>
                      </a:xfrm>
                      <a:prstGeom prst="line">
                        <a:avLst/>
                      </a:prstGeom>
                      <a:ln w="6350">
                        <a:solidFill>
                          <a:srgbClr val="7F7F7F"/>
                        </a:solidFill>
                      </a:ln>
                    </wps:spPr>
                    <wps:bodyPr/>
                  </wps:wsp>
                  <wps:wsp>
                    <wps:cNvPr id="1203" name="Line1203"/>
                    <wps:cNvCnPr/>
                    <wps:spPr>
                      <a:xfrm>
                        <a:off x="180000" y="2268000"/>
                        <a:ext cx="2610000" cy="1"/>
                      </a:xfrm>
                      <a:prstGeom prst="line">
                        <a:avLst/>
                      </a:prstGeom>
                      <a:ln w="6350">
                        <a:solidFill>
                          <a:srgbClr val="7F7F7F"/>
                        </a:solidFill>
                      </a:ln>
                    </wps:spPr>
                    <wps:bodyPr/>
                  </wps:wsp>
                  <wps:wsp>
                    <wps:cNvPr id="1204" name="Bar01204"/>
                    <wps:cNvSpPr/>
                    <wps:spPr>
                      <a:xfrm>
                        <a:off x="483187" y="1275091"/>
                        <a:ext cx="513749" cy="992908"/>
                      </a:xfrm>
                      <a:prstGeom prst="rect">
                        <a:avLst/>
                      </a:prstGeom>
                      <a:solidFill>
                        <a:srgbClr val="2E75B6"/>
                      </a:solidFill>
                      <a:ln w="0">
                        <a:solidFill>
                          <a:srgbClr val="2E75B6"/>
                        </a:solidFill>
                      </a:ln>
                    </wps:spPr>
                    <wps:bodyPr/>
                  </wps:wsp>
                  <wps:wsp>
                    <wps:cNvPr id="1205" name="Val1205"/>
                    <wps:cNvSpPr txBox="1"/>
                    <wps:spPr>
                      <a:xfrm>
                        <a:off x="375187" y="1059091"/>
                        <a:ext cx="729749" cy="216000"/>
                      </a:xfrm>
                      <a:prstGeom prst="rect">
                        <a:avLst/>
                      </a:prstGeom>
                      <a:noFill/>
                      <a:ln>
                        <a:noFill/>
                      </a:ln>
                    </wps:spPr>
                    <wps:txbx>
                      <w:txbxContent>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18"/>
                              <w:szCs w:val="18"/>
                              <w:lang w:val="ru-RU"/>
                            </w:rPr>
                            <w:t xml:space="preserve">31 824</w:t>
                          </w:r>
                        </w:p>
                      </w:txbxContent>
                    </wps:txbx>
                    <wps:bodyPr rot="0" spcFirstLastPara="0" vertOverflow="visible" horzOverflow="visible" wrap="square" lIns="36000" tIns="36000" rIns="36000" bIns="36000" anchor="ctr" anchorCtr="0" upright="1">
                      <a:noAutofit/>
                    </wps:bodyPr>
                  </wps:wsp>
                  <wps:wsp>
                    <wps:cNvPr id="1206" name="Year1206"/>
                    <wps:cNvSpPr txBox="1"/>
                    <wps:spPr>
                      <a:xfrm>
                        <a:off x="375187" y="2286000"/>
                        <a:ext cx="729749" cy="180000"/>
                      </a:xfrm>
                      <a:prstGeom prst="rect">
                        <a:avLst/>
                      </a:prstGeom>
                      <a:noFill/>
                      <a:ln>
                        <a:noFill/>
                      </a:ln>
                    </wps:spPr>
                    <wps:txbx>
                      <w:txbxContent>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18"/>
                              <w:szCs w:val="18"/>
                              <w:lang w:val="ru-RU"/>
                            </w:rPr>
                            <w:t xml:space="preserve">2023</w:t>
                          </w:r>
                        </w:p>
                      </w:txbxContent>
                    </wps:txbx>
                    <wps:bodyPr rot="0" spcFirstLastPara="0" vertOverflow="visible" horzOverflow="visible" wrap="square" lIns="36000" tIns="36000" rIns="36000" bIns="36000" anchor="ctr" anchorCtr="0" upright="1">
                      <a:noAutofit/>
                    </wps:bodyPr>
                  </wps:wsp>
                  <wps:wsp>
                    <wps:cNvPr id="1207" name="Bar11207"/>
                    <wps:cNvSpPr/>
                    <wps:spPr>
                      <a:xfrm>
                        <a:off x="1228125" y="814392"/>
                        <a:ext cx="513749" cy="1453607"/>
                      </a:xfrm>
                      <a:prstGeom prst="rect">
                        <a:avLst/>
                      </a:prstGeom>
                      <a:solidFill>
                        <a:srgbClr val="2E75B6"/>
                      </a:solidFill>
                      <a:ln w="0">
                        <a:solidFill>
                          <a:srgbClr val="2E75B6"/>
                        </a:solidFill>
                      </a:ln>
                    </wps:spPr>
                    <wps:bodyPr/>
                  </wps:wsp>
                  <wps:wsp>
                    <wps:cNvPr id="1208" name="Val1208"/>
                    <wps:cNvSpPr txBox="1"/>
                    <wps:spPr>
                      <a:xfrm>
                        <a:off x="1120125" y="598392"/>
                        <a:ext cx="729749" cy="216000"/>
                      </a:xfrm>
                      <a:prstGeom prst="rect">
                        <a:avLst/>
                      </a:prstGeom>
                      <a:noFill/>
                      <a:ln>
                        <a:noFill/>
                      </a:ln>
                    </wps:spPr>
                    <wps:txbx>
                      <w:txbxContent>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18"/>
                              <w:szCs w:val="18"/>
                              <w:lang w:val="ru-RU"/>
                            </w:rPr>
                            <w:t xml:space="preserve">46 590</w:t>
                          </w:r>
                        </w:p>
                      </w:txbxContent>
                    </wps:txbx>
                    <wps:bodyPr rot="0" spcFirstLastPara="0" vertOverflow="visible" horzOverflow="visible" wrap="square" lIns="36000" tIns="36000" rIns="36000" bIns="36000" anchor="ctr" anchorCtr="0" upright="1">
                      <a:noAutofit/>
                    </wps:bodyPr>
                  </wps:wsp>
                  <wps:wsp>
                    <wps:cNvPr id="1209" name="Year1209"/>
                    <wps:cNvSpPr txBox="1"/>
                    <wps:spPr>
                      <a:xfrm>
                        <a:off x="1120125" y="2286000"/>
                        <a:ext cx="729749" cy="180000"/>
                      </a:xfrm>
                      <a:prstGeom prst="rect">
                        <a:avLst/>
                      </a:prstGeom>
                      <a:noFill/>
                      <a:ln>
                        <a:noFill/>
                      </a:ln>
                    </wps:spPr>
                    <wps:txbx>
                      <w:txbxContent>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18"/>
                              <w:szCs w:val="18"/>
                              <w:lang w:val="ru-RU"/>
                            </w:rPr>
                            <w:t xml:space="preserve">2024</w:t>
                          </w:r>
                        </w:p>
                      </w:txbxContent>
                    </wps:txbx>
                    <wps:bodyPr rot="0" spcFirstLastPara="0" vertOverflow="visible" horzOverflow="visible" wrap="square" lIns="36000" tIns="36000" rIns="36000" bIns="36000" anchor="ctr" anchorCtr="0" upright="1">
                      <a:noAutofit/>
                    </wps:bodyPr>
                  </wps:wsp>
                  <wps:wsp>
                    <wps:cNvPr id="1210" name="Bar21210"/>
                    <wps:cNvSpPr/>
                    <wps:spPr>
                      <a:xfrm>
                        <a:off x="1973062" y="454188"/>
                        <a:ext cx="513749" cy="1813811"/>
                      </a:xfrm>
                      <a:prstGeom prst="rect">
                        <a:avLst/>
                      </a:prstGeom>
                      <a:solidFill>
                        <a:srgbClr val="2E75B6"/>
                      </a:solidFill>
                      <a:ln w="0">
                        <a:solidFill>
                          <a:srgbClr val="2E75B6"/>
                        </a:solidFill>
                      </a:ln>
                    </wps:spPr>
                    <wps:bodyPr/>
                  </wps:wsp>
                  <wps:wsp>
                    <wps:cNvPr id="1211" name="Val1211"/>
                    <wps:cNvSpPr txBox="1"/>
                    <wps:spPr>
                      <a:xfrm>
                        <a:off x="1865062" y="238188"/>
                        <a:ext cx="729749" cy="216000"/>
                      </a:xfrm>
                      <a:prstGeom prst="rect">
                        <a:avLst/>
                      </a:prstGeom>
                      <a:noFill/>
                      <a:ln>
                        <a:noFill/>
                      </a:ln>
                    </wps:spPr>
                    <wps:txbx>
                      <w:txbxContent>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18"/>
                              <w:szCs w:val="18"/>
                              <w:lang w:val="ru-RU"/>
                            </w:rPr>
                            <w:t xml:space="preserve">58 135</w:t>
                          </w:r>
                        </w:p>
                      </w:txbxContent>
                    </wps:txbx>
                    <wps:bodyPr rot="0" spcFirstLastPara="0" vertOverflow="visible" horzOverflow="visible" wrap="square" lIns="36000" tIns="36000" rIns="36000" bIns="36000" anchor="ctr" anchorCtr="0" upright="1">
                      <a:noAutofit/>
                    </wps:bodyPr>
                  </wps:wsp>
                  <wps:wsp>
                    <wps:cNvPr id="1212" name="Year1212"/>
                    <wps:cNvSpPr txBox="1"/>
                    <wps:spPr>
                      <a:xfrm>
                        <a:off x="1865062" y="2286000"/>
                        <a:ext cx="729749" cy="180000"/>
                      </a:xfrm>
                      <a:prstGeom prst="rect">
                        <a:avLst/>
                      </a:prstGeom>
                      <a:noFill/>
                      <a:ln>
                        <a:noFill/>
                      </a:ln>
                    </wps:spPr>
                    <wps:txbx>
                      <w:txbxContent>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18"/>
                              <w:szCs w:val="18"/>
                              <w:lang w:val="ru-RU"/>
                            </w:rPr>
                            <w:t xml:space="preserve">2025</w:t>
                          </w:r>
                        </w:p>
                      </w:txbxContent>
                    </wps:txbx>
                    <wps:bodyPr rot="0" spcFirstLastPara="0" vertOverflow="visible" horzOverflow="visible" wrap="square" lIns="36000" tIns="36000" rIns="36000" bIns="36000" anchor="ctr" anchorCtr="0" upright="1">
                      <a:noAutofit/>
                    </wps:bodyPr>
                  </wps:wsp>
                  <wps:wsp>
                    <wps:cNvPr id="1213" name="ChartTitle1213"/>
                    <wps:cNvSpPr txBox="1"/>
                    <wps:spPr>
                      <a:xfrm>
                        <a:off x="2970000" y="72000"/>
                        <a:ext cx="2790000" cy="288000"/>
                      </a:xfrm>
                      <a:prstGeom prst="rect">
                        <a:avLst/>
                      </a:prstGeom>
                      <a:noFill/>
                      <a:ln>
                        <a:noFill/>
                      </a:ln>
                    </wps:spPr>
                    <wps:txbx>
                      <w:txbxContent>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1F4E79"/>
                              <w:sz w:val="20"/>
                              <w:szCs w:val="20"/>
                              <w:lang w:val="ru-RU"/>
                            </w:rPr>
                            <w:t xml:space="preserve">Прибыль за период, млн ₽</w:t>
                          </w:r>
                        </w:p>
                      </w:txbxContent>
                    </wps:txbx>
                    <wps:bodyPr rot="0" spcFirstLastPara="0" vertOverflow="visible" horzOverflow="visible" wrap="square" lIns="36000" tIns="36000" rIns="36000" bIns="36000" anchor="ctr" anchorCtr="0" upright="1">
                      <a:noAutofit/>
                    </wps:bodyPr>
                  </wps:wsp>
                  <wps:wsp>
                    <wps:cNvPr id="1214" name="Line1214"/>
                    <wps:cNvCnPr/>
                    <wps:spPr>
                      <a:xfrm>
                        <a:off x="3150000" y="396000"/>
                        <a:ext cx="1" cy="1871999"/>
                      </a:xfrm>
                      <a:prstGeom prst="line">
                        <a:avLst/>
                      </a:prstGeom>
                      <a:ln w="6350">
                        <a:solidFill>
                          <a:srgbClr val="7F7F7F"/>
                        </a:solidFill>
                      </a:ln>
                    </wps:spPr>
                    <wps:bodyPr/>
                  </wps:wsp>
                  <wps:wsp>
                    <wps:cNvPr id="1215" name="Line1215"/>
                    <wps:cNvCnPr/>
                    <wps:spPr>
                      <a:xfrm>
                        <a:off x="3150000" y="2268000"/>
                        <a:ext cx="2610000" cy="1"/>
                      </a:xfrm>
                      <a:prstGeom prst="line">
                        <a:avLst/>
                      </a:prstGeom>
                      <a:ln w="6350">
                        <a:solidFill>
                          <a:srgbClr val="7F7F7F"/>
                        </a:solidFill>
                      </a:ln>
                    </wps:spPr>
                    <wps:bodyPr/>
                  </wps:wsp>
                  <wps:wsp>
                    <wps:cNvPr id="1216" name="Bar01216"/>
                    <wps:cNvSpPr/>
                    <wps:spPr>
                      <a:xfrm>
                        <a:off x="3453187" y="607185"/>
                        <a:ext cx="513749" cy="1660814"/>
                      </a:xfrm>
                      <a:prstGeom prst="rect">
                        <a:avLst/>
                      </a:prstGeom>
                      <a:solidFill>
                        <a:srgbClr val="ED7D31"/>
                      </a:solidFill>
                      <a:ln w="0">
                        <a:solidFill>
                          <a:srgbClr val="ED7D31"/>
                        </a:solidFill>
                      </a:ln>
                    </wps:spPr>
                    <wps:bodyPr/>
                  </wps:wsp>
                  <wps:wsp>
                    <wps:cNvPr id="1217" name="Val1217"/>
                    <wps:cNvSpPr txBox="1"/>
                    <wps:spPr>
                      <a:xfrm>
                        <a:off x="3345187" y="391185"/>
                        <a:ext cx="729749" cy="216000"/>
                      </a:xfrm>
                      <a:prstGeom prst="rect">
                        <a:avLst/>
                      </a:prstGeom>
                      <a:noFill/>
                      <a:ln>
                        <a:noFill/>
                      </a:ln>
                    </wps:spPr>
                    <wps:txbx>
                      <w:txbxContent>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18"/>
                              <w:szCs w:val="18"/>
                              <w:lang w:val="ru-RU"/>
                            </w:rPr>
                            <w:t xml:space="preserve">14 195</w:t>
                          </w:r>
                        </w:p>
                      </w:txbxContent>
                    </wps:txbx>
                    <wps:bodyPr rot="0" spcFirstLastPara="0" vertOverflow="visible" horzOverflow="visible" wrap="square" lIns="36000" tIns="36000" rIns="36000" bIns="36000" anchor="ctr" anchorCtr="0" upright="1">
                      <a:noAutofit/>
                    </wps:bodyPr>
                  </wps:wsp>
                  <wps:wsp>
                    <wps:cNvPr id="1218" name="Year1218"/>
                    <wps:cNvSpPr txBox="1"/>
                    <wps:spPr>
                      <a:xfrm>
                        <a:off x="3345187" y="2286000"/>
                        <a:ext cx="729749" cy="180000"/>
                      </a:xfrm>
                      <a:prstGeom prst="rect">
                        <a:avLst/>
                      </a:prstGeom>
                      <a:noFill/>
                      <a:ln>
                        <a:noFill/>
                      </a:ln>
                    </wps:spPr>
                    <wps:txbx>
                      <w:txbxContent>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18"/>
                              <w:szCs w:val="18"/>
                              <w:lang w:val="ru-RU"/>
                            </w:rPr>
                            <w:t xml:space="preserve">2023</w:t>
                          </w:r>
                        </w:p>
                      </w:txbxContent>
                    </wps:txbx>
                    <wps:bodyPr rot="0" spcFirstLastPara="0" vertOverflow="visible" horzOverflow="visible" wrap="square" lIns="36000" tIns="36000" rIns="36000" bIns="36000" anchor="ctr" anchorCtr="0" upright="1">
                      <a:noAutofit/>
                    </wps:bodyPr>
                  </wps:wsp>
                  <wps:wsp>
                    <wps:cNvPr id="1219" name="Bar11219"/>
                    <wps:cNvSpPr/>
                    <wps:spPr>
                      <a:xfrm>
                        <a:off x="4198125" y="1417527"/>
                        <a:ext cx="513749" cy="850472"/>
                      </a:xfrm>
                      <a:prstGeom prst="rect">
                        <a:avLst/>
                      </a:prstGeom>
                      <a:solidFill>
                        <a:srgbClr val="ED7D31"/>
                      </a:solidFill>
                      <a:ln w="0">
                        <a:solidFill>
                          <a:srgbClr val="ED7D31"/>
                        </a:solidFill>
                      </a:ln>
                    </wps:spPr>
                    <wps:bodyPr/>
                  </wps:wsp>
                  <wps:wsp>
                    <wps:cNvPr id="1220" name="Val1220"/>
                    <wps:cNvSpPr txBox="1"/>
                    <wps:spPr>
                      <a:xfrm>
                        <a:off x="4090124" y="1201527"/>
                        <a:ext cx="729749" cy="216000"/>
                      </a:xfrm>
                      <a:prstGeom prst="rect">
                        <a:avLst/>
                      </a:prstGeom>
                      <a:noFill/>
                      <a:ln>
                        <a:noFill/>
                      </a:ln>
                    </wps:spPr>
                    <wps:txbx>
                      <w:txbxContent>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18"/>
                              <w:szCs w:val="18"/>
                              <w:lang w:val="ru-RU"/>
                            </w:rPr>
                            <w:t xml:space="preserve">7 269</w:t>
                          </w:r>
                        </w:p>
                      </w:txbxContent>
                    </wps:txbx>
                    <wps:bodyPr rot="0" spcFirstLastPara="0" vertOverflow="visible" horzOverflow="visible" wrap="square" lIns="36000" tIns="36000" rIns="36000" bIns="36000" anchor="ctr" anchorCtr="0" upright="1">
                      <a:noAutofit/>
                    </wps:bodyPr>
                  </wps:wsp>
                  <wps:wsp>
                    <wps:cNvPr id="1221" name="Year1221"/>
                    <wps:cNvSpPr txBox="1"/>
                    <wps:spPr>
                      <a:xfrm>
                        <a:off x="4090124" y="2286000"/>
                        <a:ext cx="729749" cy="180000"/>
                      </a:xfrm>
                      <a:prstGeom prst="rect">
                        <a:avLst/>
                      </a:prstGeom>
                      <a:noFill/>
                      <a:ln>
                        <a:noFill/>
                      </a:ln>
                    </wps:spPr>
                    <wps:txbx>
                      <w:txbxContent>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18"/>
                              <w:szCs w:val="18"/>
                              <w:lang w:val="ru-RU"/>
                            </w:rPr>
                            <w:t xml:space="preserve">2024</w:t>
                          </w:r>
                        </w:p>
                      </w:txbxContent>
                    </wps:txbx>
                    <wps:bodyPr rot="0" spcFirstLastPara="0" vertOverflow="visible" horzOverflow="visible" wrap="square" lIns="36000" tIns="36000" rIns="36000" bIns="36000" anchor="ctr" anchorCtr="0" upright="1">
                      <a:noAutofit/>
                    </wps:bodyPr>
                  </wps:wsp>
                  <wps:wsp>
                    <wps:cNvPr id="1222" name="Bar21222"/>
                    <wps:cNvSpPr/>
                    <wps:spPr>
                      <a:xfrm>
                        <a:off x="4943062" y="430164"/>
                        <a:ext cx="513749" cy="1837835"/>
                      </a:xfrm>
                      <a:prstGeom prst="rect">
                        <a:avLst/>
                      </a:prstGeom>
                      <a:solidFill>
                        <a:srgbClr val="ED7D31"/>
                      </a:solidFill>
                      <a:ln w="0">
                        <a:solidFill>
                          <a:srgbClr val="ED7D31"/>
                        </a:solidFill>
                      </a:ln>
                    </wps:spPr>
                    <wps:bodyPr/>
                  </wps:wsp>
                  <wps:wsp>
                    <wps:cNvPr id="1223" name="Val1223"/>
                    <wps:cNvSpPr txBox="1"/>
                    <wps:spPr>
                      <a:xfrm>
                        <a:off x="4835062" y="214164"/>
                        <a:ext cx="729749" cy="216000"/>
                      </a:xfrm>
                      <a:prstGeom prst="rect">
                        <a:avLst/>
                      </a:prstGeom>
                      <a:noFill/>
                      <a:ln>
                        <a:noFill/>
                      </a:ln>
                    </wps:spPr>
                    <wps:txbx>
                      <w:txbxContent>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18"/>
                              <w:szCs w:val="18"/>
                              <w:lang w:val="ru-RU"/>
                            </w:rPr>
                            <w:t xml:space="preserve">15 708</w:t>
                          </w:r>
                        </w:p>
                      </w:txbxContent>
                    </wps:txbx>
                    <wps:bodyPr rot="0" spcFirstLastPara="0" vertOverflow="visible" horzOverflow="visible" wrap="square" lIns="36000" tIns="36000" rIns="36000" bIns="36000" anchor="ctr" anchorCtr="0" upright="1">
                      <a:noAutofit/>
                    </wps:bodyPr>
                  </wps:wsp>
                  <wps:wsp>
                    <wps:cNvPr id="1224" name="Year1224"/>
                    <wps:cNvSpPr txBox="1"/>
                    <wps:spPr>
                      <a:xfrm>
                        <a:off x="4835062" y="2286000"/>
                        <a:ext cx="729749" cy="180000"/>
                      </a:xfrm>
                      <a:prstGeom prst="rect">
                        <a:avLst/>
                      </a:prstGeom>
                      <a:noFill/>
                      <a:ln>
                        <a:noFill/>
                      </a:ln>
                    </wps:spPr>
                    <wps:txbx>
                      <w:txbxContent>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18"/>
                              <w:szCs w:val="18"/>
                              <w:lang w:val="ru-RU"/>
                            </w:rPr>
                            <w:t xml:space="preserve">2025</w:t>
                          </w:r>
                        </w:p>
                      </w:txbxContent>
                    </wps:txbx>
                    <wps:bodyPr rot="0" spcFirstLastPara="0" vertOverflow="visible" horzOverflow="visible" wrap="square" lIns="36000" tIns="36000" rIns="36000" bIns="36000" anchor="ctr" anchorCtr="0" upright="1">
                      <a:noAutofit/>
                    </wps:bodyPr>
                  </wps:wsp>
                </wpg:wgp>
              </a:graphicData>
            </a:graphic>
          </wp:inline>
        </w:drawing>
      </w:r>
    </w:p>
    <w:p>
      <w:pPr>
        <w:keepLines/>
        <w:spacing w:before="60" w:after="20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Рис. 2.1.2. Динамика чистых процентных доходов и прибыли группы банка «Ак Барс» за 2023–2025 гг.</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Совокупный капитал увеличился со 106,1 млрд рублей на конец 2023 года до 126,4 млрд рублей на конец 2025 года: банк наращивает собственные средства параллельно росту активов и не выплачивает дивиденды по итогам отчётных периодов [25, с. 3; 26, с. 3]. Свободные средства идут в развитие, а не в выплаты акционерам. Этот факт важен для запуска нового продукта: ресурсы для продвижения остаются внутри группы.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Сегментная раскладка показывает, как именно группа зарабатывает. Операции организованы по пяти бизнес-сегментам: розничные банковские операции, корпоративные банковские операции, инвестиционные банковские операции, казначейские операции и прочие операции [25, с. 66]. Сводные показатели по сегментам за 2025 год собраны в таблице 2.1.2.</w:t>
      </w:r>
    </w:p>
    <w:p>
      <w:pPr>
        <w:keepNext/>
        <w:keepLines/>
        <w:spacing w:before="12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Таблица 2.1.2</w:t>
      </w:r>
    </w:p>
    <w:p>
      <w:pPr>
        <w:keepNext/>
        <w:keepLines/>
        <w:spacing w:before="0" w:after="6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Доходы от внешних клиентов и сегментная прибыль группы банка «Ак Барс» за 2025 год, млн руб.</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925"/>
        <w:gridCol w:w="2237"/>
        <w:gridCol w:w="2925"/>
        <w:gridCol w:w="1548"/>
      </w:tblGrid>
      <w:tr>
        <w:trPr>
          <w:tblHeader/>
          <w:cantSplit/>
        </w:trPr>
        <w:tc>
          <w:tcPr>
            <w:tcW w:w="292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Сегмент</w:t>
            </w:r>
          </w:p>
        </w:tc>
        <w:tc>
          <w:tcPr>
            <w:tcW w:w="2237"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Доходы от внешних клиентов</w:t>
            </w:r>
          </w:p>
        </w:tc>
        <w:tc>
          <w:tcPr>
            <w:tcW w:w="292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Прибыль (убыток) до налогообложения</w:t>
            </w:r>
          </w:p>
        </w:tc>
        <w:tc>
          <w:tcPr>
            <w:tcW w:w="1548"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Активы по сегменту</w:t>
            </w:r>
          </w:p>
        </w:tc>
      </w:tr>
      <w:tr>
        <w:trPr>
          <w:cantSplit/>
        </w:trPr>
        <w:tc>
          <w:tcPr>
            <w:tcW w:w="292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Розничные банковские операции</w:t>
            </w:r>
          </w:p>
        </w:tc>
        <w:tc>
          <w:tcPr>
            <w:tcW w:w="2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32 251</w:t>
            </w:r>
          </w:p>
        </w:tc>
        <w:tc>
          <w:tcPr>
            <w:tcW w:w="292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(364)</w:t>
            </w:r>
          </w:p>
        </w:tc>
        <w:tc>
          <w:tcPr>
            <w:tcW w:w="15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168 122</w:t>
            </w:r>
          </w:p>
        </w:tc>
      </w:tr>
      <w:tr>
        <w:trPr>
          <w:cantSplit/>
        </w:trPr>
        <w:tc>
          <w:tcPr>
            <w:tcW w:w="292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Корпоративные банковские операции</w:t>
            </w:r>
          </w:p>
        </w:tc>
        <w:tc>
          <w:tcPr>
            <w:tcW w:w="2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41 139</w:t>
            </w:r>
          </w:p>
        </w:tc>
        <w:tc>
          <w:tcPr>
            <w:tcW w:w="292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20 857</w:t>
            </w:r>
          </w:p>
        </w:tc>
        <w:tc>
          <w:tcPr>
            <w:tcW w:w="15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221 581</w:t>
            </w:r>
          </w:p>
        </w:tc>
      </w:tr>
      <w:tr>
        <w:trPr>
          <w:cantSplit/>
        </w:trPr>
        <w:tc>
          <w:tcPr>
            <w:tcW w:w="292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Инвестиционные банковские операции</w:t>
            </w:r>
          </w:p>
        </w:tc>
        <w:tc>
          <w:tcPr>
            <w:tcW w:w="2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62 999</w:t>
            </w:r>
          </w:p>
        </w:tc>
        <w:tc>
          <w:tcPr>
            <w:tcW w:w="292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4 301</w:t>
            </w:r>
          </w:p>
        </w:tc>
        <w:tc>
          <w:tcPr>
            <w:tcW w:w="15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522 864</w:t>
            </w:r>
          </w:p>
        </w:tc>
      </w:tr>
      <w:tr>
        <w:trPr>
          <w:cantSplit/>
        </w:trPr>
        <w:tc>
          <w:tcPr>
            <w:tcW w:w="292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Казначейские операции</w:t>
            </w:r>
          </w:p>
        </w:tc>
        <w:tc>
          <w:tcPr>
            <w:tcW w:w="2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25 740</w:t>
            </w:r>
          </w:p>
        </w:tc>
        <w:tc>
          <w:tcPr>
            <w:tcW w:w="292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3 120</w:t>
            </w:r>
          </w:p>
        </w:tc>
        <w:tc>
          <w:tcPr>
            <w:tcW w:w="15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171 729</w:t>
            </w:r>
          </w:p>
        </w:tc>
      </w:tr>
      <w:tr>
        <w:trPr>
          <w:cantSplit/>
        </w:trPr>
        <w:tc>
          <w:tcPr>
            <w:tcW w:w="292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Прочие операции</w:t>
            </w:r>
          </w:p>
        </w:tc>
        <w:tc>
          <w:tcPr>
            <w:tcW w:w="2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w:t>
            </w:r>
          </w:p>
        </w:tc>
        <w:tc>
          <w:tcPr>
            <w:tcW w:w="292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(4 581)</w:t>
            </w:r>
          </w:p>
        </w:tc>
        <w:tc>
          <w:tcPr>
            <w:tcW w:w="15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58 915</w:t>
            </w:r>
          </w:p>
        </w:tc>
      </w:tr>
      <w:tr>
        <w:trPr>
          <w:cantSplit/>
        </w:trPr>
        <w:tc>
          <w:tcPr>
            <w:tcW w:w="292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Итого</w:t>
            </w:r>
          </w:p>
        </w:tc>
        <w:tc>
          <w:tcPr>
            <w:tcW w:w="2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162 138</w:t>
            </w:r>
          </w:p>
        </w:tc>
        <w:tc>
          <w:tcPr>
            <w:tcW w:w="292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23 333</w:t>
            </w:r>
          </w:p>
        </w:tc>
        <w:tc>
          <w:tcPr>
            <w:tcW w:w="15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1 143 211</w:t>
            </w:r>
          </w:p>
        </w:tc>
      </w:tr>
    </w:tbl>
    <w:p>
      <w:pPr>
        <w:spacing w:before="0" w:after="20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i/>
          <w:iCs/>
          <w:color w:val="000000"/>
          <w:sz w:val="24"/>
          <w:szCs w:val="24"/>
          <w:lang w:val="ru-RU"/>
        </w:rPr>
        <w:t xml:space="preserve">Источник: </w:t>
      </w:r>
      <w:r>
        <w:rPr>
          <w:rFonts w:ascii="Times New Roman" w:hAnsi="Times New Roman" w:cs="Times New Roman" w:eastAsia="Times New Roman"/>
          <w:color w:val="000000"/>
          <w:sz w:val="24"/>
          <w:szCs w:val="24"/>
          <w:lang w:val="ru-RU"/>
        </w:rPr>
        <w:t xml:space="preserve">составлено автором по данным [25, с. 68]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Главный финансовый результат приносят корпоративный и инвестиционный сегменты: их совокупная прибыль до налогообложения за 2025 год — 25,2 млрд рублей при итоговой по группе 23,3 млрд рублей; разрыв в 1,9 млрд рублей закрыт убытком розничного блока и прочих операций, тогда как казначейский сегмент удерживал положительный результат за счёт операций с ликвидностью [25, с. 68]. Такая структура важна для продвижения Face2: основной коммерческий потенциал биометрии сосредоточен в B2B-сценариях для корпоративных и инвестиционных клиентов, а не в массовом ритейле, и собственная клиентская база группы в этих сегментах работает как готовый канал входа.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Фундамент рыночной позиции банка задаёт стратегия. Действующая Стратегия развития Ак Барс Банка на 2022–2026 годы фиксирует три приоритета: эффективность, клиентоцентричность, гибкость [28, с. 16]. Эффективность подразумевает масштабирование бизнеса с устойчивой прибыльностью и контроль уровня риска. Клиентоцентричность — построение долгосрочных отношений и рост числа продуктов на одного клиента. Гибкость — скорость и качество процессов и способность быстро реагировать на изменения внешней среды. Под эти приоритеты банк разворачивает четыре направления трансформации: развитие продуктовых предложений и клиентских путей, организационную эволюцию, развитие ИТ-инфраструктуры и платформ в логике технологического суверенитета, а также управление рисками [28, с. 16]. Сама миссия сформулирована коротко — «Сегодня и всегда мы создаём возможности для достижения целей нашими клиентами и партнёрами» [28, с. 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Биометрический продукт встаёт в этот стратегический контур естественно. Линия «технологический суверенитет» закрывается у Face2 через сертификацию ФСБ, ФСТЭК и попадание в реестр отечественного программного обеспечения [27]. Линия «клиентоцентричность» — через переход на сценарии оплаты и доступа без карт и документов. Линия «гибкость» — через возможность быстро запускать сервисы на одной платформе для разных сегментов B2B. Face2 — не точечный эксперимент, а реализация трёх приоритетов одновременно.</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Клиентская база и розничный портфель банка задают канал, через который продукт может быть распространён во внешний рынок. Сводные показатели за 2024 год даны в таблице 2.1.3.</w:t>
      </w:r>
    </w:p>
    <w:p>
      <w:pPr>
        <w:keepNext/>
        <w:keepLines/>
        <w:spacing w:before="12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Таблица 2.1.3</w:t>
      </w:r>
    </w:p>
    <w:p>
      <w:pPr>
        <w:keepNext/>
        <w:keepLines/>
        <w:spacing w:before="0" w:after="6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Клиентская база и продуктовые показатели Ак Барс Банка по итогам 2024 года</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052"/>
        <w:gridCol w:w="2585"/>
      </w:tblGrid>
      <w:tr>
        <w:trPr>
          <w:tblHeader/>
          <w:cantSplit/>
        </w:trPr>
        <w:tc>
          <w:tcPr>
            <w:tcW w:w="7052"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Показатель</w:t>
            </w:r>
          </w:p>
        </w:tc>
        <w:tc>
          <w:tcPr>
            <w:tcW w:w="258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Значение на 01.01.2025</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Розничные клиенты, тыс. чел.</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934</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Корпоративные клиенты, тыс.</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33,9</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Активные пользователи Ак Барс Онлайн, тыс.</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930</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Действующие банковские карты, тыс. шт.</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2 265</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Карты жителя Республики Татарстан (всего, включая Детскую карту), шт.</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450 131</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Объём транзакций через Ак Барс Онлайн за год, млн</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12</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Розничный кредитный портфель, млрд руб.</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199</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Корпоративный кредитный портфель, млрд руб.</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203</w:t>
            </w:r>
          </w:p>
        </w:tc>
      </w:tr>
    </w:tbl>
    <w:p>
      <w:pPr>
        <w:spacing w:before="0" w:after="20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i/>
          <w:iCs/>
          <w:color w:val="000000"/>
          <w:sz w:val="24"/>
          <w:szCs w:val="24"/>
          <w:lang w:val="ru-RU"/>
        </w:rPr>
        <w:t xml:space="preserve">Источник: </w:t>
      </w:r>
      <w:r>
        <w:rPr>
          <w:rFonts w:ascii="Times New Roman" w:hAnsi="Times New Roman" w:cs="Times New Roman" w:eastAsia="Times New Roman"/>
          <w:color w:val="000000"/>
          <w:sz w:val="24"/>
          <w:szCs w:val="24"/>
          <w:lang w:val="ru-RU"/>
        </w:rPr>
        <w:t xml:space="preserve">составлено автором по данным [28, с. 17, 25, 28, 29, 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Структура клиентской базы показывает, что банк уже работает одновременно с массовой розницей, корпоративным сегментом и социальной аудиторией Татарстана. Карта жителя Республики Татарстан охватывает 450 тыс. держателей, а только за 2024 год выдано 345 тыс. карт; среди держателей — 115 тыс. школьников, обороты по картам за школьное питание превысили 147,5 млн рублей [28, с. 29]. Такая встроенность банка в социальную инфраструктуру региона даёт Face2 готовую площадку для пилотов и распространения сценариев — от прохода в библиотеки до оплаты в школьных столовых.</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Цифровая зрелость банка делает биометрию частью продуктового ландшафта, а не экзотической надстройкой. Через мобильное приложение «Ак Барс Онлайн» за год прошло 12 млн транзакций, активная аудитория сервиса удержалась на уровне около 930 тыс. человек даже после удаления приложения из AppStore в начале 2024 года [28, с. 33]. Внутри приложения уже реализован функционал оплаты по биометрии [28, с. 33]. На портале государственных и муниципальных услуг Татарстана за год совершено 1,2 млн транзакций через Систему быстрых платежей при участии банка [28, с. 33]. Запущен биоэквайринг через СБП в Казанском метрополитене — проект банк ведёт совместно с Министерством цифрового развития, связи и массовых коммуникаций РФ, Министерством транспорта РФ, Центром биометрических технологий и Национальной системой платёжных карт [28, с. 30–31]. Параллельно идёт пилот биоэквайринга через СБП на POS-терминалах [28, с. 31]. Банк включён в реестр отечественного ПО Минцифры по системе ТЭКОМ — собственной платформе автоматических проверок и регистрации клиентов для торгового эквайринга [28, с. 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Внешнюю оценку устойчивости банку дают рейтинговые агентства. Сводные действующие рейтинги собраны в таблице 2.1.4.</w:t>
      </w:r>
    </w:p>
    <w:p>
      <w:pPr>
        <w:keepNext/>
        <w:keepLines/>
        <w:spacing w:before="12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Таблица 2.1.4</w:t>
      </w:r>
    </w:p>
    <w:p>
      <w:pPr>
        <w:keepNext/>
        <w:keepLines/>
        <w:spacing w:before="0" w:after="6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Кредитные и ESG-рейтинги Ак Барс Банка по состоянию на конец 2024 года</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168"/>
        <w:gridCol w:w="4819"/>
        <w:gridCol w:w="2650"/>
      </w:tblGrid>
      <w:tr>
        <w:trPr>
          <w:tblHeader/>
          <w:cantSplit/>
        </w:trPr>
        <w:tc>
          <w:tcPr>
            <w:tcW w:w="2168"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Агентство</w:t>
            </w:r>
          </w:p>
        </w:tc>
        <w:tc>
          <w:tcPr>
            <w:tcW w:w="481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Кредитный рейтинг</w:t>
            </w:r>
          </w:p>
        </w:tc>
        <w:tc>
          <w:tcPr>
            <w:tcW w:w="2650"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ESG-рейтинг</w:t>
            </w:r>
          </w:p>
        </w:tc>
      </w:tr>
      <w:tr>
        <w:trPr>
          <w:cantSplit/>
        </w:trPr>
        <w:tc>
          <w:tcPr>
            <w:tcW w:w="216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АКРА</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A(RU), стабильный</w:t>
            </w:r>
          </w:p>
        </w:tc>
        <w:tc>
          <w:tcPr>
            <w:tcW w:w="26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r>
      <w:tr>
        <w:trPr>
          <w:cantSplit/>
        </w:trPr>
        <w:tc>
          <w:tcPr>
            <w:tcW w:w="216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Эксперт РА</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ruA, стабильный (повышен в феврале 2024)</w:t>
            </w:r>
          </w:p>
        </w:tc>
        <w:tc>
          <w:tcPr>
            <w:tcW w:w="26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ESG-III(b)</w:t>
            </w:r>
          </w:p>
        </w:tc>
      </w:tr>
      <w:tr>
        <w:trPr>
          <w:cantSplit/>
        </w:trPr>
        <w:tc>
          <w:tcPr>
            <w:tcW w:w="216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НКР</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A.ru, позитивный</w:t>
            </w:r>
          </w:p>
        </w:tc>
        <w:tc>
          <w:tcPr>
            <w:tcW w:w="26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ESG-A</w:t>
            </w:r>
          </w:p>
        </w:tc>
      </w:tr>
      <w:tr>
        <w:trPr>
          <w:cantSplit/>
        </w:trPr>
        <w:tc>
          <w:tcPr>
            <w:tcW w:w="216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 России</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26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ESG-BBB, стабильный</w:t>
            </w:r>
          </w:p>
        </w:tc>
      </w:tr>
    </w:tbl>
    <w:p>
      <w:pPr>
        <w:spacing w:before="0" w:after="20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i/>
          <w:iCs/>
          <w:color w:val="000000"/>
          <w:sz w:val="24"/>
          <w:szCs w:val="24"/>
          <w:lang w:val="ru-RU"/>
        </w:rPr>
        <w:t xml:space="preserve">Источник: </w:t>
      </w:r>
      <w:r>
        <w:rPr>
          <w:rFonts w:ascii="Times New Roman" w:hAnsi="Times New Roman" w:cs="Times New Roman" w:eastAsia="Times New Roman"/>
          <w:color w:val="000000"/>
          <w:sz w:val="24"/>
          <w:szCs w:val="24"/>
          <w:lang w:val="ru-RU"/>
        </w:rPr>
        <w:t xml:space="preserve">составлено автором по данным [28, с. 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Совокупность рейтингов «A» по национальной шкале и подтверждённого ESG-статуса формирует репутационный капитал, который банк переносит на дочерние продукты. Для B2B-заказчика Face2 это означает, что за биометрической системой стоит финансово устойчивый и аккредитованный по ESG банк, а не отдельный технологический стартап.</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Региональная сеть и численность персонала задают физические границы продукта. Банк держит 166 дополнительных офисов в Татарстане и других регионах России — на конец 2023 года их было 174 [26, с. 7]. Сокращение сети сопровождалось ростом штата: численность персонала увеличилась с 4 725 человек в 2023 году до 5 032 человек в 2024 году [26, с. 7]. Такой сдвиг означает, что банк концентрирует функции в более крупных и технологичных отделениях, а часть нагрузки перекладывает на цифровые каналы. Эта же сеть стала первой площадкой для тестирования и масштабирования биометрических решений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Биометрия — одно из инновационных направлений, в котором финансовая база банка соединяется с собственной технологической разработкой. Face2 закрепляет это направление как самостоятельный продуктовый бренд, а не как внутренний ИТ-проект.</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Команда Face2 много лет экспериментировала с разными методами обработки изображений и сосредоточилась на компьютерном зрении [27]. Точкой старта стал тестовый биометрический проект 2019 года в офисах самого банка. Хронология развития проекта собрана в таблице 2.1.5.</w:t>
      </w:r>
    </w:p>
    <w:p>
      <w:pPr>
        <w:keepNext/>
        <w:keepLines/>
        <w:spacing w:before="12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Таблица 2.1.5</w:t>
      </w:r>
    </w:p>
    <w:p>
      <w:pPr>
        <w:keepNext/>
        <w:keepLines/>
        <w:spacing w:before="0" w:after="6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Хронология развития проекта Face2</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133"/>
        <w:gridCol w:w="8504"/>
      </w:tblGrid>
      <w:tr>
        <w:trPr>
          <w:tblHeader/>
          <w:cantSplit/>
        </w:trPr>
        <w:tc>
          <w:tcPr>
            <w:tcW w:w="1133"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Год</w:t>
            </w:r>
          </w:p>
        </w:tc>
        <w:tc>
          <w:tcPr>
            <w:tcW w:w="8504"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Ключевое событие</w:t>
            </w:r>
          </w:p>
        </w:tc>
      </w:tr>
      <w:tr>
        <w:trPr>
          <w:cantSplit/>
        </w:trPr>
        <w:tc>
          <w:tcPr>
            <w:tcW w:w="11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2019</w:t>
            </w:r>
          </w:p>
        </w:tc>
        <w:tc>
          <w:tcPr>
            <w:tcW w:w="85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Тестовый биометрический проект в офисах Ак Барс Банка</w:t>
            </w:r>
          </w:p>
        </w:tc>
      </w:tr>
      <w:tr>
        <w:trPr>
          <w:cantSplit/>
        </w:trPr>
        <w:tc>
          <w:tcPr>
            <w:tcW w:w="11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2022</w:t>
            </w:r>
          </w:p>
        </w:tc>
        <w:tc>
          <w:tcPr>
            <w:tcW w:w="85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Создание бренда Face2; запуск сервисов доступа на территорию без карточек и выдачи книг в библиотеках без документов</w:t>
            </w:r>
          </w:p>
        </w:tc>
      </w:tr>
      <w:tr>
        <w:trPr>
          <w:cantSplit/>
        </w:trPr>
        <w:tc>
          <w:tcPr>
            <w:tcW w:w="11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2023</w:t>
            </w:r>
          </w:p>
        </w:tc>
        <w:tc>
          <w:tcPr>
            <w:tcW w:w="85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Создание коммерческой биометрической системы (КБС) и аккредитация Минцифры России (Решение № 4-А от 15.11.2023)</w:t>
            </w:r>
          </w:p>
        </w:tc>
      </w:tr>
      <w:tr>
        <w:trPr>
          <w:cantSplit/>
        </w:trPr>
        <w:tc>
          <w:tcPr>
            <w:tcW w:w="11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2024</w:t>
            </w:r>
          </w:p>
        </w:tc>
        <w:tc>
          <w:tcPr>
            <w:tcW w:w="85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Запуск оплаты по лицу, в том числе в Казанском метрополитене</w:t>
            </w:r>
          </w:p>
        </w:tc>
      </w:tr>
      <w:tr>
        <w:trPr>
          <w:cantSplit/>
        </w:trPr>
        <w:tc>
          <w:tcPr>
            <w:tcW w:w="11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2025</w:t>
            </w:r>
          </w:p>
        </w:tc>
        <w:tc>
          <w:tcPr>
            <w:tcW w:w="85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Запуск сервисов подтверждения возраста и регистрации в гостинице без паспорта</w:t>
            </w:r>
          </w:p>
        </w:tc>
      </w:tr>
    </w:tbl>
    <w:p>
      <w:pPr>
        <w:spacing w:before="0" w:after="20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i/>
          <w:iCs/>
          <w:color w:val="000000"/>
          <w:sz w:val="24"/>
          <w:szCs w:val="24"/>
          <w:lang w:val="ru-RU"/>
        </w:rPr>
        <w:t xml:space="preserve">Источник: </w:t>
      </w:r>
      <w:r>
        <w:rPr>
          <w:rFonts w:ascii="Times New Roman" w:hAnsi="Times New Roman" w:cs="Times New Roman" w:eastAsia="Times New Roman"/>
          <w:color w:val="000000"/>
          <w:sz w:val="24"/>
          <w:szCs w:val="24"/>
          <w:lang w:val="ru-RU"/>
        </w:rPr>
        <w:t xml:space="preserve">составлено автором по данным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Хронология показывает три фазы. Внутренний эксперимент 2019–2022 годов закладывал технологию и команду. Регуляторное оформление 2023 года давало юридическую оболочку и доступ к векторам ГИС ЕБС. Выход на массовые сценарии в 2024–2025 годах разворачивал продукт в транспорте, торговле и гостеприимстве. Каждая следующая фаза опирается на накопленную в предыдущей базу: сначала отладка на собственных сотрудниках, затем юридическая оболочка КБС, затем коммерческие сценарии для внешних заказчиков.</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Регуляторный контур Face2 определяет 572-ФЗ от 29 декабря 2022 года — закон отдаёт сбор биометрии лица только аккредитованным организациям и обязывает хранить векторы в Государственной информационной системе ЕБС [27]. Аутентификация по биометрии разрешена только аккредитованным организациям и только при согласии гражданина [27]. Решение Минцифры России № 4-А от 15 ноября 2023 года вписало банк в число первых в стране операторов КБС, которые могут оказывать услуги на основе векторов из ГИС ЕБС [27]. Этот статус — главная разделительная линия между Face2 и локальными биометрическими системами на рынке: локальные решения нарушают 572-ФЗ, не сертифицированы ФСБ России и не обеспечивают защиты биометрических данных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Технологическое ядро Face2 строится на компьютерном зрении и подчинено требованиям 572-ФЗ. Система Face2Pass прошла сертификацию ФСБ и ФСТЭК и попала в реестр отечественного программного обеспечения [27]. Заявленная точность распознавания — 99,5%, среднее время сканирования при благоприятных условиях — около двух секунд [27]. Архитектура работы с данными показана на рисунке 2.1.3.</w:t>
      </w:r>
    </w:p>
    <w:p>
      <w:pPr>
        <w:keepNext/>
        <w:keepLines/>
        <w:spacing w:before="12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i/>
          <w:iCs/>
          <w:color w:val="000000"/>
          <w:sz w:val="24"/>
          <w:szCs w:val="24"/>
          <w:lang w:val="ru-RU"/>
        </w:rPr>
        <w:t xml:space="preserve">Источник: </w:t>
      </w:r>
      <w:r>
        <w:rPr>
          <w:rFonts w:ascii="Times New Roman" w:hAnsi="Times New Roman" w:cs="Times New Roman" w:eastAsia="Times New Roman"/>
          <w:color w:val="000000"/>
          <w:sz w:val="24"/>
          <w:szCs w:val="24"/>
          <w:lang w:val="ru-RU"/>
        </w:rPr>
        <w:t xml:space="preserve">составлено автором по данным [27]</w:t>
      </w:r>
    </w:p>
    <w:p>
      <w:pPr>
        <w:keepNext/>
        <w:keepLines/>
        <w:spacing w:before="120" w:after="60" w:line="240" w:lineRule="auto"/>
        <w:jc w:val="center"/>
        <w:rPr>
          <w:rFonts w:ascii="Times New Roman" w:hAnsi="Times New Roman" w:cs="Times New Roman" w:eastAsia="Times New Roman"/>
          <w:sz w:val="28"/>
          <w:szCs w:val="28"/>
          <w:lang w:val="ru-RU"/>
        </w:rPr>
      </w:pPr>
      <w:r>
        <w:drawing>
          <wp:inline distT="0" distB="0" distL="0" distR="0">
            <wp:extent cx="5760000" cy="3420000"/>
            <wp:effectExtent l="0" t="0" r="0" b="0"/>
            <wp:docPr id="1003" name="Drawing1003"/>
            <wp:cNvGraphicFramePr/>
            <a:graphic>
              <a:graphicData uri="http://schemas.microsoft.com/office/word/2010/wordprocessingGroup">
                <wpg:wgp>
                  <wpg:cNvGrpSpPr/>
                  <wpg:grpSpPr>
                    <a:xfrm>
                      <a:off x="0" y="0"/>
                      <a:ext cx="5760000" cy="3420000"/>
                      <a:chOff x="0" y="0"/>
                      <a:chExt cx="5760000" cy="3420000"/>
                    </a:xfrm>
                  </wpg:grpSpPr>
                  <wps:wsp>
                    <wps:cNvPr id="1301" name="Client1301"/>
                    <wps:cNvSpPr/>
                    <wps:spPr>
                      <a:xfrm>
                        <a:off x="180000" y="108000"/>
                        <a:ext cx="1620000" cy="576000"/>
                      </a:xfrm>
                      <a:prstGeom prst="rect">
                        <a:avLst/>
                      </a:prstGeom>
                      <a:solidFill>
                        <a:srgbClr val="D9E2F3"/>
                      </a:solidFill>
                      <a:ln w="9525">
                        <a:solidFill>
                          <a:srgbClr val="1F4E79"/>
                        </a:solidFill>
                      </a:ln>
                    </wps:spPr>
                    <wps:txbx>
                      <w:txbxContent>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1F4E79"/>
                              <w:sz w:val="22"/>
                              <w:szCs w:val="22"/>
                              <w:lang w:val="ru-RU"/>
                            </w:rPr>
                            <w:t xml:space="preserve">Клиент</w:t>
                          </w:r>
                        </w:p>
                      </w:txbxContent>
                    </wps:txbx>
                    <wps:bodyPr rot="0" spcFirstLastPara="0" vertOverflow="visible" horzOverflow="visible" wrap="square" lIns="36000" tIns="36000" rIns="36000" bIns="36000" anchor="ctr" anchorCtr="0" upright="1">
                      <a:noAutofit/>
                    </wps:bodyPr>
                  </wps:wsp>
                  <wps:wsp>
                    <wps:cNvPr id="1302" name="EBS1302"/>
                    <wps:cNvSpPr/>
                    <wps:spPr>
                      <a:xfrm>
                        <a:off x="3960000" y="108000"/>
                        <a:ext cx="1620000" cy="576000"/>
                      </a:xfrm>
                      <a:prstGeom prst="rect">
                        <a:avLst/>
                      </a:prstGeom>
                      <a:solidFill>
                        <a:srgbClr val="1F4E79"/>
                      </a:solidFill>
                      <a:ln w="9525">
                        <a:solidFill>
                          <a:srgbClr val="1F4E79"/>
                        </a:solidFill>
                      </a:ln>
                    </wps:spPr>
                    <wps:txbx>
                      <w:txbxContent>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FFFFFF"/>
                              <w:sz w:val="20"/>
                              <w:szCs w:val="20"/>
                              <w:lang w:val="ru-RU"/>
                            </w:rPr>
                            <w:t xml:space="preserve">ГИС ЕБС</w:t>
                          </w:r>
                        </w:p>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FFFFFF"/>
                              <w:sz w:val="20"/>
                              <w:szCs w:val="20"/>
                              <w:lang w:val="ru-RU"/>
                            </w:rPr>
                            <w:t xml:space="preserve">(Минцифры РФ)</w:t>
                          </w:r>
                        </w:p>
                      </w:txbxContent>
                    </wps:txbx>
                    <wps:bodyPr rot="0" spcFirstLastPara="0" vertOverflow="visible" horzOverflow="visible" wrap="square" lIns="36000" tIns="36000" rIns="36000" bIns="36000" anchor="ctr" anchorCtr="0" upright="1">
                      <a:noAutofit/>
                    </wps:bodyPr>
                  </wps:wsp>
                  <wps:wsp>
                    <wps:cNvPr id="1303" name="Line1303"/>
                    <wps:cNvCnPr/>
                    <wps:spPr>
                      <a:xfrm>
                        <a:off x="1835999" y="396000"/>
                        <a:ext cx="2088000" cy="1"/>
                      </a:xfrm>
                      <a:prstGeom prst="line">
                        <a:avLst/>
                      </a:prstGeom>
                      <a:ln w="12700">
                        <a:solidFill>
                          <a:srgbClr val="1F4E79"/>
                        </a:solidFill>
                        <a:tailEnd type="triangle" w="med" len="med"/>
                      </a:ln>
                    </wps:spPr>
                    <wps:bodyPr/>
                  </wps:wsp>
                  <wps:wsp>
                    <wps:cNvPr id="1304" name="ArrowLabel1304"/>
                    <wps:cNvSpPr txBox="1"/>
                    <wps:spPr>
                      <a:xfrm>
                        <a:off x="1835999" y="180000"/>
                        <a:ext cx="2088000" cy="180000"/>
                      </a:xfrm>
                      <a:prstGeom prst="rect">
                        <a:avLst/>
                      </a:prstGeom>
                      <a:noFill/>
                      <a:ln>
                        <a:noFill/>
                      </a:ln>
                    </wps:spPr>
                    <wps:txbx>
                      <w:txbxContent>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i/>
                              <w:iCs/>
                              <w:color w:val="7F7F7F"/>
                              <w:sz w:val="16"/>
                              <w:szCs w:val="16"/>
                              <w:lang w:val="ru-RU"/>
                            </w:rPr>
                            <w:t xml:space="preserve">упрощённая биометрия</w:t>
                          </w:r>
                        </w:p>
                      </w:txbxContent>
                    </wps:txbx>
                    <wps:bodyPr rot="0" spcFirstLastPara="0" vertOverflow="visible" horzOverflow="visible" wrap="square" lIns="36000" tIns="36000" rIns="36000" bIns="36000" anchor="ctr" anchorCtr="0" upright="1">
                      <a:noAutofit/>
                    </wps:bodyPr>
                  </wps:wsp>
                  <wps:wsp>
                    <wps:cNvPr id="1305" name="KBS1305"/>
                    <wps:cNvSpPr/>
                    <wps:spPr>
                      <a:xfrm>
                        <a:off x="1800000" y="1188000"/>
                        <a:ext cx="2160000" cy="648000"/>
                      </a:xfrm>
                      <a:prstGeom prst="rect">
                        <a:avLst/>
                      </a:prstGeom>
                      <a:solidFill>
                        <a:srgbClr val="2E75B6"/>
                      </a:solidFill>
                      <a:ln w="12700">
                        <a:solidFill>
                          <a:srgbClr val="1F4E79"/>
                        </a:solidFill>
                      </a:ln>
                    </wps:spPr>
                    <wps:txbx>
                      <w:txbxContent>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FFFFFF"/>
                              <w:sz w:val="24"/>
                              <w:szCs w:val="24"/>
                              <w:lang w:val="ru-RU"/>
                            </w:rPr>
                            <w:t xml:space="preserve">КБС Ак Барс Банк (Face2)</w:t>
                          </w:r>
                        </w:p>
                      </w:txbxContent>
                    </wps:txbx>
                    <wps:bodyPr rot="0" spcFirstLastPara="0" vertOverflow="visible" horzOverflow="visible" wrap="square" lIns="36000" tIns="36000" rIns="36000" bIns="36000" anchor="ctr" anchorCtr="0" upright="1">
                      <a:noAutofit/>
                    </wps:bodyPr>
                  </wps:wsp>
                  <wps:wsp>
                    <wps:cNvPr id="1306" name="Line1306"/>
                    <wps:cNvCnPr/>
                    <wps:spPr>
                      <a:xfrm>
                        <a:off x="990000" y="684000"/>
                        <a:ext cx="1062000" cy="503999"/>
                      </a:xfrm>
                      <a:prstGeom prst="line">
                        <a:avLst/>
                      </a:prstGeom>
                      <a:ln w="12700">
                        <a:solidFill>
                          <a:srgbClr val="1F4E79"/>
                        </a:solidFill>
                        <a:tailEnd type="triangle" w="med" len="med"/>
                      </a:ln>
                    </wps:spPr>
                    <wps:bodyPr/>
                  </wps:wsp>
                  <wps:wsp>
                    <wps:cNvPr id="1307" name="L11307"/>
                    <wps:cNvSpPr txBox="1"/>
                    <wps:spPr>
                      <a:xfrm>
                        <a:off x="360000" y="846000"/>
                        <a:ext cx="900000" cy="180000"/>
                      </a:xfrm>
                      <a:prstGeom prst="rect">
                        <a:avLst/>
                      </a:prstGeom>
                      <a:noFill/>
                      <a:ln>
                        <a:noFill/>
                      </a:ln>
                    </wps:spPr>
                    <wps:txbx>
                      <w:txbxContent>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i/>
                              <w:iCs/>
                              <w:color w:val="7F7F7F"/>
                              <w:sz w:val="16"/>
                              <w:szCs w:val="16"/>
                              <w:lang w:val="ru-RU"/>
                            </w:rPr>
                            <w:t xml:space="preserve">согласие на КБС АББ</w:t>
                          </w:r>
                        </w:p>
                      </w:txbxContent>
                    </wps:txbx>
                    <wps:bodyPr rot="0" spcFirstLastPara="0" vertOverflow="visible" horzOverflow="visible" wrap="square" lIns="36000" tIns="36000" rIns="36000" bIns="36000" anchor="ctr" anchorCtr="0" upright="1">
                      <a:noAutofit/>
                    </wps:bodyPr>
                  </wps:wsp>
                  <wps:wsp>
                    <wps:cNvPr id="1308" name="Line1308"/>
                    <wps:cNvCnPr/>
                    <wps:spPr>
                      <a:xfrm flipH="1">
                        <a:off x="3708000" y="684000"/>
                        <a:ext cx="1061999" cy="503999"/>
                      </a:xfrm>
                      <a:prstGeom prst="line">
                        <a:avLst/>
                      </a:prstGeom>
                      <a:ln w="12700">
                        <a:solidFill>
                          <a:srgbClr val="1F4E79"/>
                        </a:solidFill>
                        <a:tailEnd type="triangle" w="med" len="med"/>
                      </a:ln>
                    </wps:spPr>
                    <wps:bodyPr/>
                  </wps:wsp>
                  <wps:wsp>
                    <wps:cNvPr id="1309" name="L21309"/>
                    <wps:cNvSpPr txBox="1"/>
                    <wps:spPr>
                      <a:xfrm>
                        <a:off x="3780000" y="846000"/>
                        <a:ext cx="900000" cy="180000"/>
                      </a:xfrm>
                      <a:prstGeom prst="rect">
                        <a:avLst/>
                      </a:prstGeom>
                      <a:noFill/>
                      <a:ln>
                        <a:noFill/>
                      </a:ln>
                    </wps:spPr>
                    <wps:txbx>
                      <w:txbxContent>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i/>
                              <w:iCs/>
                              <w:color w:val="7F7F7F"/>
                              <w:sz w:val="16"/>
                              <w:szCs w:val="16"/>
                              <w:lang w:val="ru-RU"/>
                            </w:rPr>
                            <w:t xml:space="preserve">вектор</w:t>
                          </w:r>
                        </w:p>
                      </w:txbxContent>
                    </wps:txbx>
                    <wps:bodyPr rot="0" spcFirstLastPara="0" vertOverflow="visible" horzOverflow="visible" wrap="square" lIns="36000" tIns="36000" rIns="36000" bIns="36000" anchor="ctr" anchorCtr="0" upright="1">
                      <a:noAutofit/>
                    </wps:bodyPr>
                  </wps:wsp>
                  <wps:wsp>
                    <wps:cNvPr id="1310" name="Line1310"/>
                    <wps:cNvCnPr/>
                    <wps:spPr>
                      <a:xfrm flipH="1">
                        <a:off x="1035000" y="1835999"/>
                        <a:ext cx="1845000" cy="504000"/>
                      </a:xfrm>
                      <a:prstGeom prst="line">
                        <a:avLst/>
                      </a:prstGeom>
                      <a:ln w="12700">
                        <a:solidFill>
                          <a:srgbClr val="1F4E79"/>
                        </a:solidFill>
                        <a:tailEnd type="triangle" w="med" len="med"/>
                      </a:ln>
                    </wps:spPr>
                    <wps:bodyPr/>
                  </wps:wsp>
                  <wps:wsp>
                    <wps:cNvPr id="1311" name="Prod01311"/>
                    <wps:cNvSpPr/>
                    <wps:spPr>
                      <a:xfrm>
                        <a:off x="225000" y="2340000"/>
                        <a:ext cx="1620000" cy="648000"/>
                      </a:xfrm>
                      <a:prstGeom prst="rect">
                        <a:avLst/>
                      </a:prstGeom>
                      <a:solidFill>
                        <a:srgbClr val="D9E2F3"/>
                      </a:solidFill>
                      <a:ln w="9525">
                        <a:solidFill>
                          <a:srgbClr val="1F4E79"/>
                        </a:solidFill>
                      </a:ln>
                    </wps:spPr>
                    <wps:txbx>
                      <w:txbxContent>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1F4E79"/>
                              <w:sz w:val="22"/>
                              <w:szCs w:val="22"/>
                              <w:lang w:val="ru-RU"/>
                            </w:rPr>
                            <w:t xml:space="preserve">Face2Pay</w:t>
                          </w:r>
                        </w:p>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18"/>
                              <w:szCs w:val="18"/>
                              <w:lang w:val="ru-RU"/>
                            </w:rPr>
                            <w:t xml:space="preserve">оплата по лицу</w:t>
                          </w:r>
                        </w:p>
                      </w:txbxContent>
                    </wps:txbx>
                    <wps:bodyPr rot="0" spcFirstLastPara="0" vertOverflow="visible" horzOverflow="visible" wrap="square" lIns="36000" tIns="36000" rIns="36000" bIns="36000" anchor="ctr" anchorCtr="0" upright="1">
                      <a:noAutofit/>
                    </wps:bodyPr>
                  </wps:wsp>
                  <wps:wsp>
                    <wps:cNvPr id="1312" name="Line1312"/>
                    <wps:cNvCnPr/>
                    <wps:spPr>
                      <a:xfrm>
                        <a:off x="2880000" y="1835999"/>
                        <a:ext cx="1" cy="504000"/>
                      </a:xfrm>
                      <a:prstGeom prst="line">
                        <a:avLst/>
                      </a:prstGeom>
                      <a:ln w="12700">
                        <a:solidFill>
                          <a:srgbClr val="1F4E79"/>
                        </a:solidFill>
                        <a:tailEnd type="triangle" w="med" len="med"/>
                      </a:ln>
                    </wps:spPr>
                    <wps:bodyPr/>
                  </wps:wsp>
                  <wps:wsp>
                    <wps:cNvPr id="1313" name="Prod11313"/>
                    <wps:cNvSpPr/>
                    <wps:spPr>
                      <a:xfrm>
                        <a:off x="2070000" y="2340000"/>
                        <a:ext cx="1620000" cy="648000"/>
                      </a:xfrm>
                      <a:prstGeom prst="rect">
                        <a:avLst/>
                      </a:prstGeom>
                      <a:solidFill>
                        <a:srgbClr val="D9E2F3"/>
                      </a:solidFill>
                      <a:ln w="9525">
                        <a:solidFill>
                          <a:srgbClr val="1F4E79"/>
                        </a:solidFill>
                      </a:ln>
                    </wps:spPr>
                    <wps:txbx>
                      <w:txbxContent>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1F4E79"/>
                              <w:sz w:val="22"/>
                              <w:szCs w:val="22"/>
                              <w:lang w:val="ru-RU"/>
                            </w:rPr>
                            <w:t xml:space="preserve">Face2Pass</w:t>
                          </w:r>
                        </w:p>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18"/>
                              <w:szCs w:val="18"/>
                              <w:lang w:val="ru-RU"/>
                            </w:rPr>
                            <w:t xml:space="preserve">контроль доступа</w:t>
                          </w:r>
                        </w:p>
                      </w:txbxContent>
                    </wps:txbx>
                    <wps:bodyPr rot="0" spcFirstLastPara="0" vertOverflow="visible" horzOverflow="visible" wrap="square" lIns="36000" tIns="36000" rIns="36000" bIns="36000" anchor="ctr" anchorCtr="0" upright="1">
                      <a:noAutofit/>
                    </wps:bodyPr>
                  </wps:wsp>
                  <wps:wsp>
                    <wps:cNvPr id="1314" name="Line1314"/>
                    <wps:cNvCnPr/>
                    <wps:spPr>
                      <a:xfrm>
                        <a:off x="2880000" y="1835999"/>
                        <a:ext cx="1845000" cy="504000"/>
                      </a:xfrm>
                      <a:prstGeom prst="line">
                        <a:avLst/>
                      </a:prstGeom>
                      <a:ln w="12700">
                        <a:solidFill>
                          <a:srgbClr val="1F4E79"/>
                        </a:solidFill>
                        <a:tailEnd type="triangle" w="med" len="med"/>
                      </a:ln>
                    </wps:spPr>
                    <wps:bodyPr/>
                  </wps:wsp>
                  <wps:wsp>
                    <wps:cNvPr id="1315" name="Prod21315"/>
                    <wps:cNvSpPr/>
                    <wps:spPr>
                      <a:xfrm>
                        <a:off x="3915000" y="2340000"/>
                        <a:ext cx="1620000" cy="648000"/>
                      </a:xfrm>
                      <a:prstGeom prst="rect">
                        <a:avLst/>
                      </a:prstGeom>
                      <a:solidFill>
                        <a:srgbClr val="D9E2F3"/>
                      </a:solidFill>
                      <a:ln w="9525">
                        <a:solidFill>
                          <a:srgbClr val="1F4E79"/>
                        </a:solidFill>
                      </a:ln>
                    </wps:spPr>
                    <wps:txbx>
                      <w:txbxContent>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1F4E79"/>
                              <w:sz w:val="22"/>
                              <w:szCs w:val="22"/>
                              <w:lang w:val="ru-RU"/>
                            </w:rPr>
                            <w:t xml:space="preserve">Face2Check-in</w:t>
                          </w:r>
                        </w:p>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18"/>
                              <w:szCs w:val="18"/>
                              <w:lang w:val="ru-RU"/>
                            </w:rPr>
                            <w:t xml:space="preserve">подтверждение возраста</w:t>
                          </w:r>
                        </w:p>
                      </w:txbxContent>
                    </wps:txbx>
                    <wps:bodyPr rot="0" spcFirstLastPara="0" vertOverflow="visible" horzOverflow="visible" wrap="square" lIns="36000" tIns="36000" rIns="36000" bIns="36000" anchor="ctr" anchorCtr="0" upright="1">
                      <a:noAutofit/>
                    </wps:bodyPr>
                  </wps:wsp>
                </wpg:wgp>
              </a:graphicData>
            </a:graphic>
          </wp:inline>
        </w:drawing>
      </w:r>
    </w:p>
    <w:p>
      <w:pPr>
        <w:keepLines/>
        <w:spacing w:before="60" w:after="20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Рис. 2.1.3. Архитектура взаимодействия Face2 с ГИС ЕБС в контуре коммерческой биометрической системы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Схема снимает один из ключевых барьеров доверия к биометрии: клиент сдаёт упрощённую биометрию через приложение «Госуслуги Биометрия», вектор хранится в государственной системе, а банк получает обезличенный вектор только по явному согласию пользователя [27]. Криптозащита и сертификация ФСБ закрывают риски утечки и подделки.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Пользовательский путь подключения к Face2 укладывается в четыре шага: установка приложения «Госуслуги Биометрия», сдача упрощённой биометрии через приложение, согласие на использование биометрического вектора КБС Ак Барс Банка, проход в офис или оплата по лицу [27]. Каждый шаг — за пределами контура самого заказчика, что снимает с клиентского бизнеса нагрузку по сбору и хранению чувствительных данных. Со стороны заказчика для запуска требуется только турникет, совместимый с биотерминалами, стабильное интернет-соединение со скоростью не менее 10 Мбит/с и непрерывностью работы канала не менее 95%, а также доступ к базовой СКУД-системе [27]. Низкий порог входа по инфраструктуре — один из ключевых аргументов в продвижении.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Линейка Face2 охватывает несколько крупных направлений и собирается вокруг базовой системы КБС, при этом продажи распадаются на два экономически разных уровня. Первый уровень — поставка полного контура коммерческой биометрической системы аккредитованной организации-оператору биометрии (банку-партнёру или государственной структуре, имеющей право регистрировать биометрические векторы в ЕБС): заказчику передаётся полный программный стек Face2 — модули «КБС API», «Face2Pay (Биоэквайринг)», «Проверка живости: пассивный liveness» и «Face2SDK» — с обязательными интеграциями ЕСИА, ЕБС, СМЭВ и КриптоПро DSS, разворачиваемыми у поставщика услуг через инсталлятор Helm или Ansible на серверах приложений и БД в защищённом контуре [47; 48]. На этом уровне сам заказчик должен быть зарегистрирован в ЕСИА как юридическое лицо и аккредитован для предоставления услуг с использованием биометрических данных, что отсекает от уровня 1 любые организации без профильного регуляторного статуса [47]. Второй уровень — подключение конечного объекта (магазина, турникета, бизнес-центра, спортивной арены, точки продажи алкоголя) к КБС, размещённой у Ак Барс Банка: заказчик не получает аккредитацию и не разворачивает у себя контур биометрии, а пользуется им как сервисом, платя по транзакционной или абонементной модели за число операций или количество подключённых точек, а в качестве клиентского ПО используется готовый Face2SDK или биотерминал [27; 48]. Состав продуктов и целевые сегменты с разнесением по этим двум уровням показаны в таблице 2.1.6.</w:t>
      </w:r>
    </w:p>
    <w:p>
      <w:pPr>
        <w:keepNext/>
        <w:keepLines/>
        <w:spacing w:before="12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Таблица 2.1.6</w:t>
      </w:r>
    </w:p>
    <w:p>
      <w:pPr>
        <w:keepNext/>
        <w:keepLines/>
        <w:spacing w:before="0" w:after="6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Линейка продуктов Face2 в разрезе двух уровней продажи и экономики</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661"/>
        <w:gridCol w:w="1994"/>
        <w:gridCol w:w="1994"/>
        <w:gridCol w:w="1994"/>
        <w:gridCol w:w="1994"/>
      </w:tblGrid>
      <w:tr>
        <w:trPr>
          <w:tblHeader/>
          <w:cantSplit/>
        </w:trPr>
        <w:tc>
          <w:tcPr>
            <w:tcW w:w="1661"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Уровень продажи</w:t>
            </w:r>
          </w:p>
        </w:tc>
        <w:tc>
          <w:tcPr>
            <w:tcW w:w="1994"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Продукт</w:t>
            </w:r>
          </w:p>
        </w:tc>
        <w:tc>
          <w:tcPr>
            <w:tcW w:w="1994"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Решаемая задача</w:t>
            </w:r>
          </w:p>
        </w:tc>
        <w:tc>
          <w:tcPr>
            <w:tcW w:w="1994"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Целевые сегменты</w:t>
            </w:r>
          </w:p>
        </w:tc>
        <w:tc>
          <w:tcPr>
            <w:tcW w:w="1994"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Экономическая модель</w:t>
            </w:r>
          </w:p>
        </w:tc>
      </w:tr>
      <w:tr>
        <w:trPr>
          <w:cantSplit/>
        </w:trPr>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1. КБС под ключ для оператора биометрии</w:t>
            </w:r>
          </w:p>
        </w:tc>
        <w:tc>
          <w:tcPr>
            <w:tcW w:w="19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Полный контур Face2 (КБС API, Face2Pay, пассивный liveness, Face2SDK) с интеграциями ЕСИА, ЕБС, СМЭВ, КриптоПро DSS</w:t>
            </w:r>
          </w:p>
        </w:tc>
        <w:tc>
          <w:tcPr>
            <w:tcW w:w="19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Передача аккредитованной организации программного контура КБС для самостоятельной работы оператором биометрии</w:t>
            </w:r>
          </w:p>
        </w:tc>
        <w:tc>
          <w:tcPr>
            <w:tcW w:w="19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Банки и МФО со статусом оператора по № 115-ФЗ; госструктуры федерального и регионального уровня; крупные корпорации с профильной аккредитацией</w:t>
            </w:r>
          </w:p>
        </w:tc>
        <w:tc>
          <w:tcPr>
            <w:tcW w:w="19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Единичные крупные сделки длительного цикла: лицензия + развёртывание + SLA. Выручка — десятки–сотни млн руб. за сделку</w:t>
            </w:r>
          </w:p>
        </w:tc>
      </w:tr>
      <w:tr>
        <w:trPr>
          <w:cantSplit/>
        </w:trPr>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 Подключение конечного объекта к КБС АББ</w:t>
            </w:r>
          </w:p>
        </w:tc>
        <w:tc>
          <w:tcPr>
            <w:tcW w:w="19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 (биоэквайринг)</w:t>
            </w:r>
          </w:p>
        </w:tc>
        <w:tc>
          <w:tcPr>
            <w:tcW w:w="19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Оплата по лицу через КБС АББ без биометрической инфраструктуры в контуре заказчика</w:t>
            </w:r>
          </w:p>
        </w:tc>
        <w:tc>
          <w:tcPr>
            <w:tcW w:w="19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Ритейл, транспорт, вендинг, маркетплейсы, киоски</w:t>
            </w:r>
          </w:p>
        </w:tc>
        <w:tc>
          <w:tcPr>
            <w:tcW w:w="19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Транзакционная модель, короткий цикл подключения; выручка — десятки–сотни тыс. руб./мес. с объекта</w:t>
            </w:r>
          </w:p>
        </w:tc>
      </w:tr>
      <w:tr>
        <w:trPr>
          <w:cantSplit/>
        </w:trPr>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 Подключение конечного объекта к КБС АББ</w:t>
            </w:r>
          </w:p>
        </w:tc>
        <w:tc>
          <w:tcPr>
            <w:tcW w:w="19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Face2Pass / Face2Pass.Terminal</w:t>
            </w:r>
          </w:p>
        </w:tc>
        <w:tc>
          <w:tcPr>
            <w:tcW w:w="19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СКУД на распознавании лиц через ЕБС без аккредитации заказчика</w:t>
            </w:r>
          </w:p>
        </w:tc>
        <w:tc>
          <w:tcPr>
            <w:tcW w:w="19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Заводы, БЦ, вузы, площадки мероприятий, логистика</w:t>
            </w:r>
          </w:p>
        </w:tc>
        <w:tc>
          <w:tcPr>
            <w:tcW w:w="19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Лицензия на объект + поставка биотерминалов + абонементная плата</w:t>
            </w:r>
          </w:p>
        </w:tc>
      </w:tr>
      <w:tr>
        <w:trPr>
          <w:cantSplit/>
        </w:trPr>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 Подключение конечного объекта к КБС АББ</w:t>
            </w:r>
          </w:p>
        </w:tc>
        <w:tc>
          <w:tcPr>
            <w:tcW w:w="19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Face2Check-in</w:t>
            </w:r>
          </w:p>
        </w:tc>
        <w:tc>
          <w:tcPr>
            <w:tcW w:w="19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Подтверждение возраста и личности по вектору из ЕБС</w:t>
            </w:r>
          </w:p>
        </w:tc>
        <w:tc>
          <w:tcPr>
            <w:tcW w:w="19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Аэропорты, спортивные объекты, гостиницы, точки продажи алкоголя и рецептурных лекарств</w:t>
            </w:r>
          </w:p>
        </w:tc>
        <w:tc>
          <w:tcPr>
            <w:tcW w:w="19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Транзакционная или абонементная модель; единица продажи — точка продаж / зона контроля</w:t>
            </w:r>
          </w:p>
        </w:tc>
      </w:tr>
    </w:tbl>
    <w:p>
      <w:pPr>
        <w:spacing w:before="0" w:after="20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i/>
          <w:iCs/>
          <w:color w:val="000000"/>
          <w:sz w:val="24"/>
          <w:szCs w:val="24"/>
          <w:lang w:val="ru-RU"/>
        </w:rPr>
        <w:t xml:space="preserve">Источник: </w:t>
      </w:r>
      <w:r>
        <w:rPr>
          <w:rFonts w:ascii="Times New Roman" w:hAnsi="Times New Roman" w:cs="Times New Roman" w:eastAsia="Times New Roman"/>
          <w:color w:val="000000"/>
          <w:sz w:val="24"/>
          <w:szCs w:val="24"/>
          <w:lang w:val="ru-RU"/>
        </w:rPr>
        <w:t xml:space="preserve">составлено автором по данным [27; 47, разд. «Требования к окружению», «Системные требования», «Варианты развертывания»; 48, разд. «Описание функциональных возможностей продукта»]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Разделение на два уровня показывает, что один и тот же программный фундамент Face2 продаётся в двух экономически разных моделях. Первый уровень даёт банку единичные крупные сделки длительного цикла с аккредитованными контрагентами (банки, госструктуры, корпорации федерального масштаба), второй — массу типовых подключений конечных объектов с быстрой выручкой по транзакционной или абонементной схеме. Такая раскладка позволяет банку работать сразу в нескольких сегментах B2B и B2G и не привязываться к одному типу заказчика, но требует разной маркетинговой логики для каждого уровня: длинной экспертной коммуникации с аккредитованной организацией на первом уровне и короткой продуктовой коммуникации с конечным объектом на втором.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Помимо распознавания лиц Face2Pass расширяется в сторону видеоаналитики режимных объектов: обнаружение драк, упавших людей, оружия и подозрительных предметов, распознавание автомобильных номеров на парковках, подсчёт людей в очереди и в торговом зале [27]. Дополнительные сценарии помогают продавать систему вместе с услугой контроля доступа и снижают порог входа для заказчика, у которого видеоаналитика и СКУД покупаются одним пакетом.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Внешние партнёрства и пилотные внедрения 2024 года показывают, что Face2 уже вышел за пределы внутреннего контура группы. Биоэквайринг в Казанском метрополитене реализован совместно с Минцифры России, Минтрансом России, Центром биометрических технологий и Национальной системой платёжных карт [28, с. 30–31]. Проект «Электронный читательский билет» позволяет посещать Национальную библиотеку Республики Татарстан по биометрии, а сдать биометрию можно прямо в мобильном приложении «Карта жителя Республики Татарстан» [28, с. 29]. Биоэквайринг через СБП на POS-терминалах развивается как отдельная пилотная линия [28, с. 31]. Совокупность партнёров федерального уровня и социальных сценариев в Татарстане формирует первую референтную базу для масштабирования продукта на другие регионы.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Опорной площадкой для отладки продукта остаётся сам банк. Сервисом прохода по биометрии пользуются больше пяти тысяч сотрудников, во всех офисах и отделениях установлено около двухсот биотерминалов, через них же ведётся учёт рабочего времени [27]. Внутренняя инсталляция работает постоянно и даёт команде площадку для проверки решения в реальной нагрузке. Накопленный там опыт банк переносит во внешние коммерческие проекты: масштаб клиентских внедрений колеблется от двухсот до пятнадцати тысяч биометрических векторов на одну инсталляцию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Регуляторная среда вокруг продукта ужесточается. Федеральные законы № 420-ФЗ и № 421-ФЗ от 30 ноября 2024 года ввели крупные административные штрафы и уголовную ответственность за неправомерное обращение с биометрическими персональными данными [27]. Незаконное использование, передача, сбор или хранение компьютерной информации с биометрическими данными карается лишением свободы до пяти лет, а административный штраф за неправомерную передачу таких данных оператором достигает 20 млн рублей и при повторе доходит до 1–3% годового дохода компании [27]. Усиление наказаний делает аккредитацию КБС и сертификацию ФСБ конкурентным преимуществом, а не формальностью.</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Получившаяся характеристика складывается из двух уровней. На верхнем — крупный региональный банк со штаб-квартирой в Казани, концентрированной акционерной базой, рейтингами «A» по национальной шкале, утверждённой стратегией с тремя приоритетами «эффективность — клиентоцентричность — гибкость», клиентской базой почти в миллион физических лиц и развитой цифровой инфраструктурой. На нижнем — собственный биометрический продукт с государственной аккредитацией, сертификацией ФСБ, отлаженной внутренней инсталляцией, понятной продуктовой линейкой для четырёх целевых сегментов B2B и первой коммерческой референтной базой в виде проектов с Минцифры, Минтрансом и НСПК. Эти исходные данные задают точку старта для дальнейшего анализа: дальше нужно понять, в каком конкурентном окружении Face2 выходит на рынок, какие игроки уже работают в этой нише и какие ограничения сдерживают спрос на коммерческую биометрию.</w:t>
      </w:r>
    </w:p>
    <w:p>
      <w:pPr>
        <w:keepNext/>
        <w:keepLines/>
        <w:spacing w:before="24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2.2. Анализ рынка биометрии и конкурентной среды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Параграф 2.1 описал Face2 как объект продвижения и Ак Барс Банк как разработчика. Чтобы стратегия продвижения опиралась не только на внутренние характеристики продукта, но и на внешний контекст, в этом параграфе решаются четыре связанные задачи. Сначала фиксируется масштаб и фаза российского рынка биометрии — без этого невозможно оценить, насколько ёмкое окружение, в которое выходит Face2. Затем разбирается сегментная структура рынка и регуляторно-инфраструктурный контур, формирующий правила игры для всех участников. На полученной фактической базе строится сводный PESTEL-анализ макросреды, переводящий разрозненные внешние факторы в управленческий вход для стратегии продвижения. На этой основе строится карта конкурентов, дополняется анализом пяти конкурентных сил М. Портера и переводится в сравнительный анализ Face2 с ключевыми игроками — банками-разработчиками биометрических сервисов и технологическими вендорами. Финальная часть формулирует конкурентную позицию Face2 и пробелы, на которые опирается план продвижения в главе 3.</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Объём и динамика российского рынка биометрии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Мировой рынок биометрических систем перешёл в фазу массовой коммерциализации задолго до запуска Face2. По оценке Банка России и привлечённых им аналитиков J’son &amp; Partners Consulting, объём мирового рынка биометрических систем в 2016 году составил около 14,45 млрд долларов США при среднегодовом темпе роста (CAGR) на уровне 18,6%, а прогнозный объём к 2022 году оценивался в 40,2 млрд долларов США [35, с. 3]. На отпечатки пальцев в 2016 году приходилось более 50% всего объёма рынка, на изображение лица — 21,6%, на радужную оболочку — 10,2%, на голос — 4%, на рисунок вен — 3% [35, с. 4]. Отдельно регулятор фиксировал, что финансовый сектор формирует около 15% мирового рынка биометрии и относится к самым быстрорастущим коммерческим сегментам наряду с государственными сервисами и иммиграционным контролем [35, с. 6]. Эти данные определяют долгосрочный фон: биометрия в финансовом секторе развивалась как мировой тренд, а не локальное российское явление, и российский рынок встроился в этот тренд через государственную инфраструктуру удалённой идентификации.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Российская инфраструктура биометрической идентификации сформировалась в три этапа. В 2017 году был принят Федеральный закон от 31 декабря 2017 года № 482-ФЗ, закрепивший возможность проведения удалённой идентификации, в первом квартале 2018 года Банком России и «Ростелекомом» создана Единая биометрическая система, а 30 июня 2018 года механизм удалённой идентификации запущен в коммерческую эксплуатацию [34]. На 1 января 2021 года услуга сбора биометрических данных предоставлялась более чем в 13,3 тыс. структурных подразделений банков [34]. Конец 2021 года — точка институционального перехода: ЕБС получила статус государственной информационной системы, к ней подключились все банки, а оператором ЕБС было определено АО «Центр биометрических технологий» [38; 42]. С 1 января 2023 года вступил в силу Федеральный закон от 29 декабря 2022 года № 572-ФЗ, который зафиксировал обязательное хранение биометрических данных только в ГИС ЕБС и разрешил аутентификацию по биометрии только аккредитованным организациям при письменном согласии гражданина [33]. Эта последовательность нормативных и инфраструктурных шагов превратила биометрию из набора пилотных проектов в регулируемую государством рыночную инфраструктуру.</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Современный российский рынок биометрических платежей перешёл в фазу массового коммерческого использования в 2024–2025 годах. По данным Банка России, за первые девять месяцев 2025 года в России совершено 145,9 млн биометрических платежей, что в девять раз больше, чем за аналогичный период 2024 года, а денежный оборот этих платежей вырос почти в пять раз и достиг 112,5 млрд рублей [38]. К началу 2026 года в Единой биометрической системе зарегистрировались более 10 млн пользователей [38]. Эти цифры разворачивают картину рынка, на которую выходит Face2: ёмкое окружение, девятикратный годовой рост числа транзакций, сформированная инфраструктура и аккредитованный круг операторов, в который банк успел войти одним из первых.</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Поквартальная статистика Банка России разворачивает динамику более детально. Во II квартале 2025 года биоэквайрингом воспользовались около 60 млн раз, оплатив товары и услуги на сумму около 45 млрд рублей; число операций в 1,5 раза превысило показатель I квартала 2025 года и в 11 раз — показатель II квартала 2024 года [43]. Средний чек биометрической операции составил 770 рублей в апреле — июне 2025 года против 774 рублей кварталом ранее [43]. Сопоставимая динамика по QR-кодам в том же квартале — около 990 млн операций на сумму более 1,3 трлн рублей, превышение I квартала 2025 года на 25% по числу операций и на 16% по сумме [43]. Сопоставление двух инструментов оплаты показывает три устойчивых вывода. Первый — биоэквайринг растёт быстрее QR-эквайринга по темпам (+50% за квартал против +25%), но в 16 раз отстаёт от него по абсолютному масштабу количества операций. Второй — стабилизация среднего чека биометрической операции в районе 770 рублей подтверждает массовый розничный профиль сегмента: это уровень покупки в продуктовом магазине или общественном транспорте, а не премиальной транзакции. Третий — синхронность роста биометрии и QR-эквайринга означает, что оба канала встраиваются в общий тренд бесконтактной розницы и не вытесняют друг друга, а делят между собой нишу «оплата без карты». Сводные показатели динамики российского рынка биометрических платежей собраны в таблице 2.2.1.</w:t>
      </w:r>
    </w:p>
    <w:p>
      <w:pPr>
        <w:keepNext/>
        <w:keepLines/>
        <w:spacing w:before="12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Таблица 2.2.1</w:t>
      </w:r>
    </w:p>
    <w:p>
      <w:pPr>
        <w:keepNext/>
        <w:keepLines/>
        <w:spacing w:before="0" w:after="6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Динамика российского рынка биометрических платежей по данным Банка России и оператора ЕБС</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419"/>
        <w:gridCol w:w="777"/>
        <w:gridCol w:w="777"/>
        <w:gridCol w:w="1709"/>
        <w:gridCol w:w="2953"/>
      </w:tblGrid>
      <w:tr>
        <w:trPr>
          <w:tblHeader/>
          <w:cantSplit/>
        </w:trPr>
        <w:tc>
          <w:tcPr>
            <w:tcW w:w="341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Показатель</w:t>
            </w:r>
          </w:p>
        </w:tc>
        <w:tc>
          <w:tcPr>
            <w:tcW w:w="777"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II кв. 2024</w:t>
            </w:r>
          </w:p>
        </w:tc>
        <w:tc>
          <w:tcPr>
            <w:tcW w:w="777"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I кв. 2025</w:t>
            </w:r>
          </w:p>
        </w:tc>
        <w:tc>
          <w:tcPr>
            <w:tcW w:w="170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II кв. 2025</w:t>
            </w:r>
          </w:p>
        </w:tc>
        <w:tc>
          <w:tcPr>
            <w:tcW w:w="2953"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Темп прироста II кв. 2025 / II кв. 2024</w:t>
            </w:r>
          </w:p>
        </w:tc>
      </w:tr>
      <w:tr>
        <w:trPr>
          <w:cantSplit/>
        </w:trPr>
        <w:tc>
          <w:tcPr>
            <w:tcW w:w="34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Количество биометрических платежей, млн</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около 5,5</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около 40</w:t>
            </w:r>
          </w:p>
        </w:tc>
        <w:tc>
          <w:tcPr>
            <w:tcW w:w="17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60</w:t>
            </w:r>
          </w:p>
        </w:tc>
        <w:tc>
          <w:tcPr>
            <w:tcW w:w="29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11 раз</w:t>
            </w:r>
          </w:p>
        </w:tc>
      </w:tr>
      <w:tr>
        <w:trPr>
          <w:cantSplit/>
        </w:trPr>
        <w:tc>
          <w:tcPr>
            <w:tcW w:w="34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Оборот по биометрическим платежам, млрд руб.</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н/д</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около 30</w:t>
            </w:r>
          </w:p>
        </w:tc>
        <w:tc>
          <w:tcPr>
            <w:tcW w:w="17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45</w:t>
            </w:r>
          </w:p>
        </w:tc>
        <w:tc>
          <w:tcPr>
            <w:tcW w:w="29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r>
      <w:tr>
        <w:trPr>
          <w:cantSplit/>
        </w:trPr>
        <w:tc>
          <w:tcPr>
            <w:tcW w:w="34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 чек, руб.</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н/д</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774</w:t>
            </w:r>
          </w:p>
        </w:tc>
        <w:tc>
          <w:tcPr>
            <w:tcW w:w="17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770</w:t>
            </w:r>
          </w:p>
        </w:tc>
        <w:tc>
          <w:tcPr>
            <w:tcW w:w="29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стабильно</w:t>
            </w:r>
          </w:p>
        </w:tc>
      </w:tr>
      <w:tr>
        <w:trPr>
          <w:cantSplit/>
        </w:trPr>
        <w:tc>
          <w:tcPr>
            <w:tcW w:w="34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Количество QR-операций, млн</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н/д</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около 790</w:t>
            </w:r>
          </w:p>
        </w:tc>
        <w:tc>
          <w:tcPr>
            <w:tcW w:w="17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990</w:t>
            </w:r>
          </w:p>
        </w:tc>
        <w:tc>
          <w:tcPr>
            <w:tcW w:w="29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r>
      <w:tr>
        <w:trPr>
          <w:cantSplit/>
        </w:trPr>
        <w:tc>
          <w:tcPr>
            <w:tcW w:w="34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Оборот по QR-операциям, трлн руб.</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н/д</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около 1,12</w:t>
            </w:r>
          </w:p>
        </w:tc>
        <w:tc>
          <w:tcPr>
            <w:tcW w:w="17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более 1,3</w:t>
            </w:r>
          </w:p>
        </w:tc>
        <w:tc>
          <w:tcPr>
            <w:tcW w:w="29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r>
      <w:tr>
        <w:trPr>
          <w:cantSplit/>
        </w:trPr>
        <w:tc>
          <w:tcPr>
            <w:tcW w:w="34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Зарегистрированных пользователей в ЕБС, млн</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менее 5</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около 7</w:t>
            </w:r>
          </w:p>
        </w:tc>
        <w:tc>
          <w:tcPr>
            <w:tcW w:w="17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более 10 (на нач. 2026)</w:t>
            </w:r>
          </w:p>
        </w:tc>
        <w:tc>
          <w:tcPr>
            <w:tcW w:w="29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r>
    </w:tbl>
    <w:p>
      <w:pPr>
        <w:spacing w:before="0" w:after="20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i/>
          <w:iCs/>
          <w:color w:val="000000"/>
          <w:sz w:val="24"/>
          <w:szCs w:val="24"/>
          <w:lang w:val="ru-RU"/>
        </w:rPr>
        <w:t xml:space="preserve">Источник: </w:t>
      </w:r>
      <w:r>
        <w:rPr>
          <w:rFonts w:ascii="Times New Roman" w:hAnsi="Times New Roman" w:cs="Times New Roman" w:eastAsia="Times New Roman"/>
          <w:color w:val="000000"/>
          <w:sz w:val="24"/>
          <w:szCs w:val="24"/>
          <w:lang w:val="ru-RU"/>
        </w:rPr>
        <w:t xml:space="preserve">составлено автором по данным [34; 38; 43]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Соотношение цифр в таблице 2.2.1 показывает, что рост рынка идёт прежде всего по числу транзакций, а не по среднему чеку: количество операций за год увеличилось в 11 раз при стабильном среднем чеке около 770 рублей. Это означает, что биометрия закрепляется в сценариях массовых небольших платежей, а не премиальных операций, и подтверждает фазу проникновения технологии в повседневную розничную инфраструктуру. Графически динамика биометрических платежей за два квартала 2025 года представлена на рисунке 2.2.1.</w:t>
      </w:r>
    </w:p>
    <w:p>
      <w:pPr>
        <w:keepNext/>
        <w:keepLines/>
        <w:spacing w:before="12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i/>
          <w:iCs/>
          <w:color w:val="000000"/>
          <w:sz w:val="24"/>
          <w:szCs w:val="24"/>
          <w:lang w:val="ru-RU"/>
        </w:rPr>
        <w:t xml:space="preserve">Источник: </w:t>
      </w:r>
      <w:r>
        <w:rPr>
          <w:rFonts w:ascii="Times New Roman" w:hAnsi="Times New Roman" w:cs="Times New Roman" w:eastAsia="Times New Roman"/>
          <w:color w:val="000000"/>
          <w:sz w:val="24"/>
          <w:szCs w:val="24"/>
          <w:lang w:val="ru-RU"/>
        </w:rPr>
        <w:t xml:space="preserve">составлено автором по данным [43]</w:t>
      </w:r>
    </w:p>
    <w:p>
      <w:pPr>
        <w:keepNext/>
        <w:keepLines/>
        <w:spacing w:before="120" w:after="60" w:line="240" w:lineRule="auto"/>
        <w:jc w:val="center"/>
        <w:rPr>
          <w:rFonts w:ascii="Times New Roman" w:hAnsi="Times New Roman" w:cs="Times New Roman" w:eastAsia="Times New Roman"/>
          <w:sz w:val="28"/>
          <w:szCs w:val="28"/>
          <w:lang w:val="ru-RU"/>
        </w:rPr>
      </w:pPr>
      <w:r>
        <w:drawing>
          <wp:inline distT="0" distB="0" distL="0" distR="0">
            <wp:extent cx="5760000" cy="2520000"/>
            <wp:effectExtent l="0" t="0" r="0" b="0"/>
            <wp:docPr id="1004" name="Drawing1004"/>
            <wp:cNvGraphicFramePr/>
            <a:graphic>
              <a:graphicData uri="http://schemas.microsoft.com/office/word/2010/wordprocessingGroup">
                <wpg:wgp>
                  <wpg:cNvGrpSpPr/>
                  <wpg:grpSpPr>
                    <a:xfrm>
                      <a:off x="0" y="0"/>
                      <a:ext cx="5760000" cy="2520000"/>
                      <a:chOff x="0" y="0"/>
                      <a:chExt cx="5760000" cy="2520000"/>
                    </a:xfrm>
                  </wpg:grpSpPr>
                  <wps:wsp>
                    <wps:cNvPr id="1401" name="ChartTitle1401"/>
                    <wps:cNvSpPr txBox="1"/>
                    <wps:spPr>
                      <a:xfrm>
                        <a:off x="0" y="72000"/>
                        <a:ext cx="2790000" cy="288000"/>
                      </a:xfrm>
                      <a:prstGeom prst="rect">
                        <a:avLst/>
                      </a:prstGeom>
                      <a:noFill/>
                      <a:ln>
                        <a:noFill/>
                      </a:ln>
                    </wps:spPr>
                    <wps:txbx>
                      <w:txbxContent>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1F4E79"/>
                              <w:sz w:val="20"/>
                              <w:szCs w:val="20"/>
                              <w:lang w:val="ru-RU"/>
                            </w:rPr>
                            <w:t xml:space="preserve">Количество платежей, млн</w:t>
                          </w:r>
                        </w:p>
                      </w:txbxContent>
                    </wps:txbx>
                    <wps:bodyPr rot="0" spcFirstLastPara="0" vertOverflow="visible" horzOverflow="visible" wrap="square" lIns="36000" tIns="36000" rIns="36000" bIns="36000" anchor="ctr" anchorCtr="0" upright="1">
                      <a:noAutofit/>
                    </wps:bodyPr>
                  </wps:wsp>
                  <wps:wsp>
                    <wps:cNvPr id="1402" name="Line1402"/>
                    <wps:cNvCnPr/>
                    <wps:spPr>
                      <a:xfrm>
                        <a:off x="180000" y="396000"/>
                        <a:ext cx="1" cy="1871999"/>
                      </a:xfrm>
                      <a:prstGeom prst="line">
                        <a:avLst/>
                      </a:prstGeom>
                      <a:ln w="6350">
                        <a:solidFill>
                          <a:srgbClr val="7F7F7F"/>
                        </a:solidFill>
                      </a:ln>
                    </wps:spPr>
                    <wps:bodyPr/>
                  </wps:wsp>
                  <wps:wsp>
                    <wps:cNvPr id="1403" name="Line1403"/>
                    <wps:cNvCnPr/>
                    <wps:spPr>
                      <a:xfrm>
                        <a:off x="180000" y="2268000"/>
                        <a:ext cx="2610000" cy="1"/>
                      </a:xfrm>
                      <a:prstGeom prst="line">
                        <a:avLst/>
                      </a:prstGeom>
                      <a:ln w="6350">
                        <a:solidFill>
                          <a:srgbClr val="7F7F7F"/>
                        </a:solidFill>
                      </a:ln>
                    </wps:spPr>
                    <wps:bodyPr/>
                  </wps:wsp>
                  <wps:wsp>
                    <wps:cNvPr id="1404" name="Bar01404"/>
                    <wps:cNvSpPr/>
                    <wps:spPr>
                      <a:xfrm>
                        <a:off x="483187" y="2124000"/>
                        <a:ext cx="513749" cy="144000"/>
                      </a:xfrm>
                      <a:prstGeom prst="rect">
                        <a:avLst/>
                      </a:prstGeom>
                      <a:solidFill>
                        <a:srgbClr val="2E75B6"/>
                      </a:solidFill>
                      <a:ln w="0">
                        <a:solidFill>
                          <a:srgbClr val="2E75B6"/>
                        </a:solidFill>
                      </a:ln>
                    </wps:spPr>
                    <wps:bodyPr/>
                  </wps:wsp>
                  <wps:wsp>
                    <wps:cNvPr id="1405" name="Val1405"/>
                    <wps:cNvSpPr txBox="1"/>
                    <wps:spPr>
                      <a:xfrm>
                        <a:off x="375187" y="1908000"/>
                        <a:ext cx="729749" cy="216000"/>
                      </a:xfrm>
                      <a:prstGeom prst="rect">
                        <a:avLst/>
                      </a:prstGeom>
                      <a:noFill/>
                      <a:ln>
                        <a:noFill/>
                      </a:ln>
                    </wps:spPr>
                    <wps:txbx>
                      <w:txbxContent>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18"/>
                              <w:szCs w:val="18"/>
                              <w:lang w:val="ru-RU"/>
                            </w:rPr>
                            <w:t xml:space="preserve">5</w:t>
                          </w:r>
                        </w:p>
                      </w:txbxContent>
                    </wps:txbx>
                    <wps:bodyPr rot="0" spcFirstLastPara="0" vertOverflow="visible" horzOverflow="visible" wrap="square" lIns="36000" tIns="36000" rIns="36000" bIns="36000" anchor="ctr" anchorCtr="0" upright="1">
                      <a:noAutofit/>
                    </wps:bodyPr>
                  </wps:wsp>
                  <wps:wsp>
                    <wps:cNvPr id="1406" name="Year1406"/>
                    <wps:cNvSpPr txBox="1"/>
                    <wps:spPr>
                      <a:xfrm>
                        <a:off x="375187" y="2286000"/>
                        <a:ext cx="729749" cy="180000"/>
                      </a:xfrm>
                      <a:prstGeom prst="rect">
                        <a:avLst/>
                      </a:prstGeom>
                      <a:noFill/>
                      <a:ln>
                        <a:noFill/>
                      </a:ln>
                    </wps:spPr>
                    <wps:txbx>
                      <w:txbxContent>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18"/>
                              <w:szCs w:val="18"/>
                              <w:lang w:val="ru-RU"/>
                            </w:rPr>
                            <w:t xml:space="preserve">II'24</w:t>
                          </w:r>
                        </w:p>
                      </w:txbxContent>
                    </wps:txbx>
                    <wps:bodyPr rot="0" spcFirstLastPara="0" vertOverflow="visible" horzOverflow="visible" wrap="square" lIns="36000" tIns="36000" rIns="36000" bIns="36000" anchor="ctr" anchorCtr="0" upright="1">
                      <a:noAutofit/>
                    </wps:bodyPr>
                  </wps:wsp>
                  <wps:wsp>
                    <wps:cNvPr id="1407" name="Bar11407"/>
                    <wps:cNvSpPr/>
                    <wps:spPr>
                      <a:xfrm>
                        <a:off x="1228125" y="1116000"/>
                        <a:ext cx="513749" cy="1152000"/>
                      </a:xfrm>
                      <a:prstGeom prst="rect">
                        <a:avLst/>
                      </a:prstGeom>
                      <a:solidFill>
                        <a:srgbClr val="2E75B6"/>
                      </a:solidFill>
                      <a:ln w="0">
                        <a:solidFill>
                          <a:srgbClr val="2E75B6"/>
                        </a:solidFill>
                      </a:ln>
                    </wps:spPr>
                    <wps:bodyPr/>
                  </wps:wsp>
                  <wps:wsp>
                    <wps:cNvPr id="1408" name="Val1408"/>
                    <wps:cNvSpPr txBox="1"/>
                    <wps:spPr>
                      <a:xfrm>
                        <a:off x="1120125" y="900000"/>
                        <a:ext cx="729749" cy="216000"/>
                      </a:xfrm>
                      <a:prstGeom prst="rect">
                        <a:avLst/>
                      </a:prstGeom>
                      <a:noFill/>
                      <a:ln>
                        <a:noFill/>
                      </a:ln>
                    </wps:spPr>
                    <wps:txbx>
                      <w:txbxContent>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18"/>
                              <w:szCs w:val="18"/>
                              <w:lang w:val="ru-RU"/>
                            </w:rPr>
                            <w:t xml:space="preserve">40</w:t>
                          </w:r>
                        </w:p>
                      </w:txbxContent>
                    </wps:txbx>
                    <wps:bodyPr rot="0" spcFirstLastPara="0" vertOverflow="visible" horzOverflow="visible" wrap="square" lIns="36000" tIns="36000" rIns="36000" bIns="36000" anchor="ctr" anchorCtr="0" upright="1">
                      <a:noAutofit/>
                    </wps:bodyPr>
                  </wps:wsp>
                  <wps:wsp>
                    <wps:cNvPr id="1409" name="Year1409"/>
                    <wps:cNvSpPr txBox="1"/>
                    <wps:spPr>
                      <a:xfrm>
                        <a:off x="1120125" y="2286000"/>
                        <a:ext cx="729749" cy="180000"/>
                      </a:xfrm>
                      <a:prstGeom prst="rect">
                        <a:avLst/>
                      </a:prstGeom>
                      <a:noFill/>
                      <a:ln>
                        <a:noFill/>
                      </a:ln>
                    </wps:spPr>
                    <wps:txbx>
                      <w:txbxContent>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18"/>
                              <w:szCs w:val="18"/>
                              <w:lang w:val="ru-RU"/>
                            </w:rPr>
                            <w:t xml:space="preserve">I'25</w:t>
                          </w:r>
                        </w:p>
                      </w:txbxContent>
                    </wps:txbx>
                    <wps:bodyPr rot="0" spcFirstLastPara="0" vertOverflow="visible" horzOverflow="visible" wrap="square" lIns="36000" tIns="36000" rIns="36000" bIns="36000" anchor="ctr" anchorCtr="0" upright="1">
                      <a:noAutofit/>
                    </wps:bodyPr>
                  </wps:wsp>
                  <wps:wsp>
                    <wps:cNvPr id="1410" name="Bar21410"/>
                    <wps:cNvSpPr/>
                    <wps:spPr>
                      <a:xfrm>
                        <a:off x="1973062" y="540000"/>
                        <a:ext cx="513749" cy="1728000"/>
                      </a:xfrm>
                      <a:prstGeom prst="rect">
                        <a:avLst/>
                      </a:prstGeom>
                      <a:solidFill>
                        <a:srgbClr val="2E75B6"/>
                      </a:solidFill>
                      <a:ln w="0">
                        <a:solidFill>
                          <a:srgbClr val="2E75B6"/>
                        </a:solidFill>
                      </a:ln>
                    </wps:spPr>
                    <wps:bodyPr/>
                  </wps:wsp>
                  <wps:wsp>
                    <wps:cNvPr id="1411" name="Val1411"/>
                    <wps:cNvSpPr txBox="1"/>
                    <wps:spPr>
                      <a:xfrm>
                        <a:off x="1865062" y="324000"/>
                        <a:ext cx="729749" cy="216000"/>
                      </a:xfrm>
                      <a:prstGeom prst="rect">
                        <a:avLst/>
                      </a:prstGeom>
                      <a:noFill/>
                      <a:ln>
                        <a:noFill/>
                      </a:ln>
                    </wps:spPr>
                    <wps:txbx>
                      <w:txbxContent>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18"/>
                              <w:szCs w:val="18"/>
                              <w:lang w:val="ru-RU"/>
                            </w:rPr>
                            <w:t xml:space="preserve">60</w:t>
                          </w:r>
                        </w:p>
                      </w:txbxContent>
                    </wps:txbx>
                    <wps:bodyPr rot="0" spcFirstLastPara="0" vertOverflow="visible" horzOverflow="visible" wrap="square" lIns="36000" tIns="36000" rIns="36000" bIns="36000" anchor="ctr" anchorCtr="0" upright="1">
                      <a:noAutofit/>
                    </wps:bodyPr>
                  </wps:wsp>
                  <wps:wsp>
                    <wps:cNvPr id="1412" name="Year1412"/>
                    <wps:cNvSpPr txBox="1"/>
                    <wps:spPr>
                      <a:xfrm>
                        <a:off x="1865062" y="2286000"/>
                        <a:ext cx="729749" cy="180000"/>
                      </a:xfrm>
                      <a:prstGeom prst="rect">
                        <a:avLst/>
                      </a:prstGeom>
                      <a:noFill/>
                      <a:ln>
                        <a:noFill/>
                      </a:ln>
                    </wps:spPr>
                    <wps:txbx>
                      <w:txbxContent>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18"/>
                              <w:szCs w:val="18"/>
                              <w:lang w:val="ru-RU"/>
                            </w:rPr>
                            <w:t xml:space="preserve">II'25</w:t>
                          </w:r>
                        </w:p>
                      </w:txbxContent>
                    </wps:txbx>
                    <wps:bodyPr rot="0" spcFirstLastPara="0" vertOverflow="visible" horzOverflow="visible" wrap="square" lIns="36000" tIns="36000" rIns="36000" bIns="36000" anchor="ctr" anchorCtr="0" upright="1">
                      <a:noAutofit/>
                    </wps:bodyPr>
                  </wps:wsp>
                  <wps:wsp>
                    <wps:cNvPr id="1413" name="ChartTitle1413"/>
                    <wps:cNvSpPr txBox="1"/>
                    <wps:spPr>
                      <a:xfrm>
                        <a:off x="2970000" y="72000"/>
                        <a:ext cx="2790000" cy="288000"/>
                      </a:xfrm>
                      <a:prstGeom prst="rect">
                        <a:avLst/>
                      </a:prstGeom>
                      <a:noFill/>
                      <a:ln>
                        <a:noFill/>
                      </a:ln>
                    </wps:spPr>
                    <wps:txbx>
                      <w:txbxContent>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1F4E79"/>
                              <w:sz w:val="20"/>
                              <w:szCs w:val="20"/>
                              <w:lang w:val="ru-RU"/>
                            </w:rPr>
                            <w:t xml:space="preserve">Оборот, млрд ₽</w:t>
                          </w:r>
                        </w:p>
                      </w:txbxContent>
                    </wps:txbx>
                    <wps:bodyPr rot="0" spcFirstLastPara="0" vertOverflow="visible" horzOverflow="visible" wrap="square" lIns="36000" tIns="36000" rIns="36000" bIns="36000" anchor="ctr" anchorCtr="0" upright="1">
                      <a:noAutofit/>
                    </wps:bodyPr>
                  </wps:wsp>
                  <wps:wsp>
                    <wps:cNvPr id="1414" name="Line1414"/>
                    <wps:cNvCnPr/>
                    <wps:spPr>
                      <a:xfrm>
                        <a:off x="3150000" y="396000"/>
                        <a:ext cx="1" cy="1871999"/>
                      </a:xfrm>
                      <a:prstGeom prst="line">
                        <a:avLst/>
                      </a:prstGeom>
                      <a:ln w="6350">
                        <a:solidFill>
                          <a:srgbClr val="7F7F7F"/>
                        </a:solidFill>
                      </a:ln>
                    </wps:spPr>
                    <wps:bodyPr/>
                  </wps:wsp>
                  <wps:wsp>
                    <wps:cNvPr id="1415" name="Line1415"/>
                    <wps:cNvCnPr/>
                    <wps:spPr>
                      <a:xfrm>
                        <a:off x="3150000" y="2268000"/>
                        <a:ext cx="2610000" cy="1"/>
                      </a:xfrm>
                      <a:prstGeom prst="line">
                        <a:avLst/>
                      </a:prstGeom>
                      <a:ln w="6350">
                        <a:solidFill>
                          <a:srgbClr val="7F7F7F"/>
                        </a:solidFill>
                      </a:ln>
                    </wps:spPr>
                    <wps:bodyPr/>
                  </wps:wsp>
                  <wps:wsp>
                    <wps:cNvPr id="1416" name="Bar01416"/>
                    <wps:cNvSpPr/>
                    <wps:spPr>
                      <a:xfrm>
                        <a:off x="3453187" y="2118240"/>
                        <a:ext cx="513749" cy="149759"/>
                      </a:xfrm>
                      <a:prstGeom prst="rect">
                        <a:avLst/>
                      </a:prstGeom>
                      <a:solidFill>
                        <a:srgbClr val="70AD47"/>
                      </a:solidFill>
                      <a:ln w="0">
                        <a:solidFill>
                          <a:srgbClr val="70AD47"/>
                        </a:solidFill>
                      </a:ln>
                    </wps:spPr>
                    <wps:bodyPr/>
                  </wps:wsp>
                  <wps:wsp>
                    <wps:cNvPr id="1417" name="Val1417"/>
                    <wps:cNvSpPr txBox="1"/>
                    <wps:spPr>
                      <a:xfrm>
                        <a:off x="3345187" y="1902240"/>
                        <a:ext cx="729749" cy="216000"/>
                      </a:xfrm>
                      <a:prstGeom prst="rect">
                        <a:avLst/>
                      </a:prstGeom>
                      <a:noFill/>
                      <a:ln>
                        <a:noFill/>
                      </a:ln>
                    </wps:spPr>
                    <wps:txbx>
                      <w:txbxContent>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18"/>
                              <w:szCs w:val="18"/>
                              <w:lang w:val="ru-RU"/>
                            </w:rPr>
                            <w:t xml:space="preserve">4</w:t>
                          </w:r>
                        </w:p>
                      </w:txbxContent>
                    </wps:txbx>
                    <wps:bodyPr rot="0" spcFirstLastPara="0" vertOverflow="visible" horzOverflow="visible" wrap="square" lIns="36000" tIns="36000" rIns="36000" bIns="36000" anchor="ctr" anchorCtr="0" upright="1">
                      <a:noAutofit/>
                    </wps:bodyPr>
                  </wps:wsp>
                  <wps:wsp>
                    <wps:cNvPr id="1418" name="Year1418"/>
                    <wps:cNvSpPr txBox="1"/>
                    <wps:spPr>
                      <a:xfrm>
                        <a:off x="3345187" y="2286000"/>
                        <a:ext cx="729749" cy="180000"/>
                      </a:xfrm>
                      <a:prstGeom prst="rect">
                        <a:avLst/>
                      </a:prstGeom>
                      <a:noFill/>
                      <a:ln>
                        <a:noFill/>
                      </a:ln>
                    </wps:spPr>
                    <wps:txbx>
                      <w:txbxContent>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18"/>
                              <w:szCs w:val="18"/>
                              <w:lang w:val="ru-RU"/>
                            </w:rPr>
                            <w:t xml:space="preserve">II'24</w:t>
                          </w:r>
                        </w:p>
                      </w:txbxContent>
                    </wps:txbx>
                    <wps:bodyPr rot="0" spcFirstLastPara="0" vertOverflow="visible" horzOverflow="visible" wrap="square" lIns="36000" tIns="36000" rIns="36000" bIns="36000" anchor="ctr" anchorCtr="0" upright="1">
                      <a:noAutofit/>
                    </wps:bodyPr>
                  </wps:wsp>
                  <wps:wsp>
                    <wps:cNvPr id="1419" name="Bar11419"/>
                    <wps:cNvSpPr/>
                    <wps:spPr>
                      <a:xfrm>
                        <a:off x="4198125" y="1144800"/>
                        <a:ext cx="513749" cy="1123199"/>
                      </a:xfrm>
                      <a:prstGeom prst="rect">
                        <a:avLst/>
                      </a:prstGeom>
                      <a:solidFill>
                        <a:srgbClr val="70AD47"/>
                      </a:solidFill>
                      <a:ln w="0">
                        <a:solidFill>
                          <a:srgbClr val="70AD47"/>
                        </a:solidFill>
                      </a:ln>
                    </wps:spPr>
                    <wps:bodyPr/>
                  </wps:wsp>
                  <wps:wsp>
                    <wps:cNvPr id="1420" name="Val1420"/>
                    <wps:cNvSpPr txBox="1"/>
                    <wps:spPr>
                      <a:xfrm>
                        <a:off x="4090124" y="928800"/>
                        <a:ext cx="729749" cy="216000"/>
                      </a:xfrm>
                      <a:prstGeom prst="rect">
                        <a:avLst/>
                      </a:prstGeom>
                      <a:noFill/>
                      <a:ln>
                        <a:noFill/>
                      </a:ln>
                    </wps:spPr>
                    <wps:txbx>
                      <w:txbxContent>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18"/>
                              <w:szCs w:val="18"/>
                              <w:lang w:val="ru-RU"/>
                            </w:rPr>
                            <w:t xml:space="preserve">30</w:t>
                          </w:r>
                        </w:p>
                      </w:txbxContent>
                    </wps:txbx>
                    <wps:bodyPr rot="0" spcFirstLastPara="0" vertOverflow="visible" horzOverflow="visible" wrap="square" lIns="36000" tIns="36000" rIns="36000" bIns="36000" anchor="ctr" anchorCtr="0" upright="1">
                      <a:noAutofit/>
                    </wps:bodyPr>
                  </wps:wsp>
                  <wps:wsp>
                    <wps:cNvPr id="1421" name="Year1421"/>
                    <wps:cNvSpPr txBox="1"/>
                    <wps:spPr>
                      <a:xfrm>
                        <a:off x="4090124" y="2286000"/>
                        <a:ext cx="729749" cy="180000"/>
                      </a:xfrm>
                      <a:prstGeom prst="rect">
                        <a:avLst/>
                      </a:prstGeom>
                      <a:noFill/>
                      <a:ln>
                        <a:noFill/>
                      </a:ln>
                    </wps:spPr>
                    <wps:txbx>
                      <w:txbxContent>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18"/>
                              <w:szCs w:val="18"/>
                              <w:lang w:val="ru-RU"/>
                            </w:rPr>
                            <w:t xml:space="preserve">I'25</w:t>
                          </w:r>
                        </w:p>
                      </w:txbxContent>
                    </wps:txbx>
                    <wps:bodyPr rot="0" spcFirstLastPara="0" vertOverflow="visible" horzOverflow="visible" wrap="square" lIns="36000" tIns="36000" rIns="36000" bIns="36000" anchor="ctr" anchorCtr="0" upright="1">
                      <a:noAutofit/>
                    </wps:bodyPr>
                  </wps:wsp>
                  <wps:wsp>
                    <wps:cNvPr id="1422" name="Bar21422"/>
                    <wps:cNvSpPr/>
                    <wps:spPr>
                      <a:xfrm>
                        <a:off x="4943062" y="583200"/>
                        <a:ext cx="513749" cy="1684800"/>
                      </a:xfrm>
                      <a:prstGeom prst="rect">
                        <a:avLst/>
                      </a:prstGeom>
                      <a:solidFill>
                        <a:srgbClr val="70AD47"/>
                      </a:solidFill>
                      <a:ln w="0">
                        <a:solidFill>
                          <a:srgbClr val="70AD47"/>
                        </a:solidFill>
                      </a:ln>
                    </wps:spPr>
                    <wps:bodyPr/>
                  </wps:wsp>
                  <wps:wsp>
                    <wps:cNvPr id="1423" name="Val1423"/>
                    <wps:cNvSpPr txBox="1"/>
                    <wps:spPr>
                      <a:xfrm>
                        <a:off x="4835062" y="367200"/>
                        <a:ext cx="729749" cy="216000"/>
                      </a:xfrm>
                      <a:prstGeom prst="rect">
                        <a:avLst/>
                      </a:prstGeom>
                      <a:noFill/>
                      <a:ln>
                        <a:noFill/>
                      </a:ln>
                    </wps:spPr>
                    <wps:txbx>
                      <w:txbxContent>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18"/>
                              <w:szCs w:val="18"/>
                              <w:lang w:val="ru-RU"/>
                            </w:rPr>
                            <w:t xml:space="preserve">45</w:t>
                          </w:r>
                        </w:p>
                      </w:txbxContent>
                    </wps:txbx>
                    <wps:bodyPr rot="0" spcFirstLastPara="0" vertOverflow="visible" horzOverflow="visible" wrap="square" lIns="36000" tIns="36000" rIns="36000" bIns="36000" anchor="ctr" anchorCtr="0" upright="1">
                      <a:noAutofit/>
                    </wps:bodyPr>
                  </wps:wsp>
                  <wps:wsp>
                    <wps:cNvPr id="1424" name="Year1424"/>
                    <wps:cNvSpPr txBox="1"/>
                    <wps:spPr>
                      <a:xfrm>
                        <a:off x="4835062" y="2286000"/>
                        <a:ext cx="729749" cy="180000"/>
                      </a:xfrm>
                      <a:prstGeom prst="rect">
                        <a:avLst/>
                      </a:prstGeom>
                      <a:noFill/>
                      <a:ln>
                        <a:noFill/>
                      </a:ln>
                    </wps:spPr>
                    <wps:txbx>
                      <w:txbxContent>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18"/>
                              <w:szCs w:val="18"/>
                              <w:lang w:val="ru-RU"/>
                            </w:rPr>
                            <w:t xml:space="preserve">II'25</w:t>
                          </w:r>
                        </w:p>
                      </w:txbxContent>
                    </wps:txbx>
                    <wps:bodyPr rot="0" spcFirstLastPara="0" vertOverflow="visible" horzOverflow="visible" wrap="square" lIns="36000" tIns="36000" rIns="36000" bIns="36000" anchor="ctr" anchorCtr="0" upright="1">
                      <a:noAutofit/>
                    </wps:bodyPr>
                  </wps:wsp>
                </wpg:wgp>
              </a:graphicData>
            </a:graphic>
          </wp:inline>
        </w:drawing>
      </w:r>
    </w:p>
    <w:p>
      <w:pPr>
        <w:keepLines/>
        <w:spacing w:before="60" w:after="20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Рис. 2.2.1. Поквартальная динамика биометрических платежей в России (II кв. 2024 — II кв. 2025)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Сопоставление двух блоков диаграммы показывает кратный годовой рост и количества, и оборота биоэквайринговых операций при стабильном среднем чеке. Если бы маркетинговые усилия игроков были направлены преимущественно на премиальный сегмент, средний чек рос бы быстрее количества операций; в действительности картина обратная — растёт привычность сценария оплаты лицом, а не размер каждой транзакции. Это смещает оптимальную стратегию продвижения биометрических продуктов с премиум-позиционирования на массовое использование в высокочастотных сценариях: транспорт, ритейл повседневного спроса, оплата услуг.</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Лидер рынка биометрических платежей в Российской Федерации — ПАО Сбербанк со своим сервисом «Оплата улыбкой». На август 2024 года Сбер сообщал о 2 млн биометрических транзакций в месяц, ежемесячном обороте около 1 млрд рублей, более 700 тыс. установленных терминалов и более 1 млн пользователей сервиса с момента его запуска; зарегистрированных в собственной биометрической системе банка — 30 млн клиентов [32]. К концу 2024 года планировалось довести парк терминалов до более чем 1 млн штук, а скорость транзакции — с шести до двух секунд к 2025 году [32]. Этот масштаб задаёт верхнюю планку рынка и ориентир для всех остальных игроков.</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Сегментная структура рынка биометрии в России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 началу 2026 года биометрические сервисы покрывают шесть устойчивых сегментов российского рынка. По данным открытой деловой прессы и оператора ЕБС, по биометрии в России можно оплатить проезд в метро и покупки в магазинах, оформить сим-карту, открыть банковский счёт и зарегистрировать бизнес, пройти в бизнес-зал аэропорта, заселиться в гостиницу [38]. Эти сценарии распределены между разными типами заказчиков и разной природой спроса. Государственный сегмент построен вокруг ЕБС и ЕСИА и концентрирует базовый акт идентификации гражданина при любом дистанционном обслуживании [34]. Финансовый сегмент — крупнейший по объёму транзакций и по числу пользователей — включает биоэквайринг (оплата лицом в торговых точках), удалённое открытие счёта и подтверждение операций в банковских приложениях. Транспортный сегмент после запуска биоэквайринга в Московском и Казанском метрополитене стал самой массовой точкой контакта пользователя с биометрией. СКУД режимных объектов и сегмент учёта рабочего времени работают преимущественно в B2B-логике и охватывают заводы, бизнес-центры, государственные учреждения. Ритейл и общественные пространства расширяют сценарии в сторону подтверждения возраста при покупке алкоголя и рецептурных лекарств, а гостиничный сегмент — заселение без паспорта [38]. Структура сегментов и их характеристики собраны в таблице 2.2.2.</w:t>
      </w:r>
    </w:p>
    <w:p>
      <w:pPr>
        <w:keepNext/>
        <w:keepLines/>
        <w:spacing w:before="12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Таблица 2.2.2</w:t>
      </w:r>
    </w:p>
    <w:p>
      <w:pPr>
        <w:keepNext/>
        <w:keepLines/>
        <w:spacing w:before="0" w:after="6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Сегменты применения биометрии на российском рынке и их характеристики</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94"/>
        <w:gridCol w:w="2753"/>
        <w:gridCol w:w="1835"/>
        <w:gridCol w:w="2753"/>
      </w:tblGrid>
      <w:tr>
        <w:trPr>
          <w:tblHeader/>
          <w:cantSplit/>
        </w:trPr>
        <w:tc>
          <w:tcPr>
            <w:tcW w:w="2294"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Сегмент</w:t>
            </w:r>
          </w:p>
        </w:tc>
        <w:tc>
          <w:tcPr>
            <w:tcW w:w="2753"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Типовой сценарий</w:t>
            </w:r>
          </w:p>
        </w:tc>
        <w:tc>
          <w:tcPr>
            <w:tcW w:w="183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Тип заказчика</w:t>
            </w:r>
          </w:p>
        </w:tc>
        <w:tc>
          <w:tcPr>
            <w:tcW w:w="2753"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Драйвер спроса</w:t>
            </w:r>
          </w:p>
        </w:tc>
      </w:tr>
      <w:tr>
        <w:trPr>
          <w:cantSplit/>
        </w:trPr>
        <w:tc>
          <w:tcPr>
            <w:tcW w:w="22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Государственная идентификация</w:t>
            </w:r>
          </w:p>
        </w:tc>
        <w:tc>
          <w:tcPr>
            <w:tcW w:w="2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Подтверждение личности при дистанционных услугах через ЕСИА и ЕБС</w:t>
            </w:r>
          </w:p>
        </w:tc>
        <w:tc>
          <w:tcPr>
            <w:tcW w:w="183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Граждане, госорганизации</w:t>
            </w:r>
          </w:p>
        </w:tc>
        <w:tc>
          <w:tcPr>
            <w:tcW w:w="2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Перевод госуслуг в цифру, ЕСИА как точка доступа</w:t>
            </w:r>
          </w:p>
        </w:tc>
      </w:tr>
      <w:tr>
        <w:trPr>
          <w:cantSplit/>
        </w:trPr>
        <w:tc>
          <w:tcPr>
            <w:tcW w:w="22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Финансовый сектор (эквайринг и онлайн-обслуживание)</w:t>
            </w:r>
          </w:p>
        </w:tc>
        <w:tc>
          <w:tcPr>
            <w:tcW w:w="2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Оплата лицом, удалённое открытие счёта, подтверждение операций</w:t>
            </w:r>
          </w:p>
        </w:tc>
        <w:tc>
          <w:tcPr>
            <w:tcW w:w="183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Банки, МФО, ритейл, маркетплейсы</w:t>
            </w:r>
          </w:p>
        </w:tc>
        <w:tc>
          <w:tcPr>
            <w:tcW w:w="2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Сокращение времени операции, антифрод, экономия на комиссии</w:t>
            </w:r>
          </w:p>
        </w:tc>
      </w:tr>
      <w:tr>
        <w:trPr>
          <w:cantSplit/>
        </w:trPr>
        <w:tc>
          <w:tcPr>
            <w:tcW w:w="22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Транспорт</w:t>
            </w:r>
          </w:p>
        </w:tc>
        <w:tc>
          <w:tcPr>
            <w:tcW w:w="2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Биометрический проход и оплата проезда; бизнес-залы аэропортов</w:t>
            </w:r>
          </w:p>
        </w:tc>
        <w:tc>
          <w:tcPr>
            <w:tcW w:w="183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Метрополитены, авиакомпании, аэропорты</w:t>
            </w:r>
          </w:p>
        </w:tc>
        <w:tc>
          <w:tcPr>
            <w:tcW w:w="2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Массовый высокочастотный сценарий, привычка пассажира</w:t>
            </w:r>
          </w:p>
        </w:tc>
      </w:tr>
      <w:tr>
        <w:trPr>
          <w:cantSplit/>
        </w:trPr>
        <w:tc>
          <w:tcPr>
            <w:tcW w:w="22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Контроль доступа (СКУД)</w:t>
            </w:r>
          </w:p>
        </w:tc>
        <w:tc>
          <w:tcPr>
            <w:tcW w:w="2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Биометрический проход сотрудников, учёт рабочего времени</w:t>
            </w:r>
          </w:p>
        </w:tc>
        <w:tc>
          <w:tcPr>
            <w:tcW w:w="183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Промпредприятия, БЦ, госучреждения, вузы</w:t>
            </w:r>
          </w:p>
        </w:tc>
        <w:tc>
          <w:tcPr>
            <w:tcW w:w="2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Безопасность, исключение передачи карт, точный учёт времени</w:t>
            </w:r>
          </w:p>
        </w:tc>
      </w:tr>
      <w:tr>
        <w:trPr>
          <w:cantSplit/>
        </w:trPr>
        <w:tc>
          <w:tcPr>
            <w:tcW w:w="22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Ритейл и общественные пространства</w:t>
            </w:r>
          </w:p>
        </w:tc>
        <w:tc>
          <w:tcPr>
            <w:tcW w:w="2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Возрастная верификация (алкоголь, рецептурные лекарства); биометрическая лояльность</w:t>
            </w:r>
          </w:p>
        </w:tc>
        <w:tc>
          <w:tcPr>
            <w:tcW w:w="183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Сетевой ритейл, аптеки, общепит</w:t>
            </w:r>
          </w:p>
        </w:tc>
        <w:tc>
          <w:tcPr>
            <w:tcW w:w="2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Регуляторные требования возрастной верификации, разгрузка кассира</w:t>
            </w:r>
          </w:p>
        </w:tc>
      </w:tr>
      <w:tr>
        <w:trPr>
          <w:cantSplit/>
        </w:trPr>
        <w:tc>
          <w:tcPr>
            <w:tcW w:w="22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Гостеприимство</w:t>
            </w:r>
          </w:p>
        </w:tc>
        <w:tc>
          <w:tcPr>
            <w:tcW w:w="2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Заселение без паспорта, доступ в номер по лицу</w:t>
            </w:r>
          </w:p>
        </w:tc>
        <w:tc>
          <w:tcPr>
            <w:tcW w:w="183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Гостиничные сети, апарт-отели, БЦ</w:t>
            </w:r>
          </w:p>
        </w:tc>
        <w:tc>
          <w:tcPr>
            <w:tcW w:w="2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Сокращение времени заселения, новый клиентский опыт</w:t>
            </w:r>
          </w:p>
        </w:tc>
      </w:tr>
    </w:tbl>
    <w:p>
      <w:pPr>
        <w:spacing w:before="0" w:after="20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i/>
          <w:iCs/>
          <w:color w:val="000000"/>
          <w:sz w:val="24"/>
          <w:szCs w:val="24"/>
          <w:lang w:val="ru-RU"/>
        </w:rPr>
        <w:t xml:space="preserve">Источник: </w:t>
      </w:r>
      <w:r>
        <w:rPr>
          <w:rFonts w:ascii="Times New Roman" w:hAnsi="Times New Roman" w:cs="Times New Roman" w:eastAsia="Times New Roman"/>
          <w:color w:val="000000"/>
          <w:sz w:val="24"/>
          <w:szCs w:val="24"/>
          <w:lang w:val="ru-RU"/>
        </w:rPr>
        <w:t xml:space="preserve">составлено автором по данным [27; 28, с. 30–31; 34; 38]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Сегменты в таблице 2.2.2 различаются по логике принятия решения. В государственной идентификации, финансовом секторе и транспорте основной драйвер — масса транзакций и сокращение времени каждой операции; в СКУД и режимных объектах — безопасность и точность учёта; в ритейле и гостиничном секторе — соответствие регуляторным требованиям и улучшение клиентского опыта. Такое распределение драйверов означает, что один и тот же биометрический продукт продвигается в разных сегментах через разные ключевые сообщения. Для Face2 это уже учтено в продуктовой линейке (Face2Pay для эквайринга, Face2Pass для СКУД, Face2Check-in для гостиничного сегмента и подтверждения возраста, КБС под ключ для крупных заказчиков из государственного и корпоративного сегмента) [27]. Сегментная структура рынка совпадает с продуктовой раскладкой банка по сценариям и работает как валидация продуктовой стратегии: каждый продукт линейки соответствует устойчивому рыночному сегменту, в котором уже сформирован спрос.</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Регуляторный и инфраструктурный контур рынка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Рынок биометрической идентификации в Российской Федерации работает в одном из самых жёстких регуляторных контуров среди мировых юрисдикций. Эту оценку прямо фиксирует генеральный директор VisionLabs Дмитрий Марков в публичных комментариях деловой прессе: «В России действует одно из самых жёстких законодательств в этой сфере»; в отличие от других стран, в России каждый сервис должен получать индивидуальное согласие гражданина на использование его биометрических данных [38]. Базой регулирования служит Федеральный закон от 29 декабря 2022 года № 572-ФЗ, относящий биометрические данные к специальной категории персональных данных, обязывающий хранить их в ГИС ЕБС и разрешающий аутентификацию по биометрии только аккредитованным организациям при наличии письменного согласия гражданина [33]. Архитектура работы пользователя с ЕБС строится на связке ЕСИА и ЕБС: первичная регистрация с явкой в уполномоченный банк, последующее использование биометрии через сайты или мобильные приложения банков и иных подключённых организаций [34]. Важная особенность — добровольность и бесплатность регистрации для гражданина, что одновременно открывает доступ к рынку широкого круга пользователей и ограничивает инструменты массового стимулирования сдачи биометрии [34].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Регуляторный контур ужесточился в конце 2024 года. Федеральные законы от 30 ноября 2024 года № 420-ФЗ и № 421-ФЗ ввели крупные административные штрафы и уголовную ответственность за неправомерное обращение с биометрическими персональными данными: лишение свободы до пяти лет, административные штрафы до 20 млн рублей и до 1–3% годового дохода компании при повторных нарушениях [27]. Этот сдвиг превратил аккредитацию КБС и сертификацию ФСБ из формального статуса в жёсткий барьер входа на рынок: организация без аккредитации и сертификации не может легально работать с биометрией, а у уже аккредитованных игроков риски от потери аккредитации становятся сопоставимы с риском потери лицензии. Барьер работает в обе стороны: он защищает аккредитованных операторов от выхода на рынок неаккредитованных конкурентов и одновременно увеличивает их собственные операционные требования.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Под уровень федерального закона подведён слой подзаконных актов Банка России, конкретизирующих требования к работе коммерческих биометрических систем. Поставщик услуг, разворачивающий КБС, должен одновременно соответствовать трём документам Банка России: Указанию от 25 сентября 2023 года № 6541-У, Методическим рекомендациям от 20 декабря 2023 года № 18-МР и Методическим рекомендациям от 23 декабря 2023 года № 19-МР [44; 45; 46]. Этот блок прямо зафиксирован в требованиях к поставщику услуг в руководстве по развёртыванию системы Face2 как обязательный наряду с 572-ФЗ [47]. На уровне технической реализации указанные акты переводятся в конкретный набор интеграций и инфраструктурных условий: регистрация поставщика в ЕСИА как юридического лица, подключение к ЕБС через защищённый канал «ТИБ ЕБС», регистрация в СМЭВ через личный кабинет участника взаимодействия (ЛКУВ), выпуск сертификата цифровой подписи — для интеграционной среды через ЛКУВ, для продуктовой среды через аккредитованные удостоверяющие центры, и хранение закрытой части сертификата во внешней системе типа КриптоПро DSS, развёрнутой в одном защищённом контуре с самой биометрической системой [47]. Совместное действие 572-ФЗ, законов об ужесточении ответственности от 30.11.2024 и подзаконного блока Банка России формирует пятиуровневую регуляторную конструкцию: федеральный закон, подзаконные акты Банка России, ведомственные сертификации ФСБ и ФСТЭК, реестр отечественного ПО, отраслевая аккредитация Минцифры. Каждый уровень повышает капиталоёмкость входа на рынок и удлиняет горизонт подготовки нового игрока.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Круг банков-операторов рынка биометрической идентификации количественно ограничен. По данным Банка России на 4 мая 2026 года, в перечень банков, соответствующих требованиям п. 5.7 ст. 7 Федерального закона № 115-ФЗ — то есть банков, имеющих право проводить идентификацию клиента в государственных информационных системах, включая ЕБС, — входят 194 кредитные организации; ПАО «АК БАРС» БАНК в этом перечне числится под номером 101 [36]. Это значит, что менее 194 банков на всю страну могут работать с биометрической инфраструктурой как операторы, и Ак Барс Банк входит в эту группу.</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Историческая глубина участия банка в биометрической инфраструктуре отдельно повышает его регуляторный капитал. Подключение Ак Барс Банка к Единой биометрической системе было реализовано в декабре 2017 — мае 2018 года и официально объявлено 10 июля 2018 года; первое отделение приёма биометрии открылось в Казани на ул. Декабристов, 1, и банк стал первым в Приволжском федеральном округе, начавшим собирать биометрические данные для ЕБС [40]. Между подключением к инфраструктуре в 2018 году и публичным запуском продуктовой линейки Face2 в 2024 году прошло шесть лет — этот период использовался банком для отладки внутренних процессов работы с биометрией, накопления клиентской базы зарегистрированных в ЕБС пользователей и подготовки собственной коммерческой биометрической системы (КБС). Аккредитация Минцифры России решением № 4-А от 15 ноября 2023 года поставила банк в число первых аккредитованных операторов КБС в стране [27]. Совокупность этих институциональных позиций — статус банка-оператора по № 115-ФЗ, аккредитация КБС, сертификация ФСБ и ФСТЭК, нахождение в реестре отечественного ПО — образует регуляторный фундамент, на который опирается весь дальнейший анализ конкурентной среды.</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PESTEL-анализ российского рынка биометрии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Предыдущие три подраздела зафиксировали разные проекции внешней среды: масштаб и динамику рынка, сегментную структуру и регуляторно-инфраструктурный контур. Чтобы перевести эти проекции в управленческий вход для стратегии продвижения, разрозненные факторы целесообразно собрать в единую рамку макроанализа. Методологически выбор PESTEL обусловлен тем, что продукт Face2 одновременно находится на пересечении шести крупных полей — государственного курса на цифровой суверенитет, банковской экономики высокочастотных микроплатежей, поколенческих сдвигов в потребительском поведении, быстро развивающихся алгоритмов компьютерного зрения, ESG-повестки крупного банка и особого режима оборота биометрических персональных данных. Эти шесть полей чисто соотносятся с шестью измерениями PESTEL и позволяют построить однородную карту факторов, влияющих на коммерциализацию Face2. Сводный анализ собран в таблице 2.2.3.</w:t>
      </w:r>
    </w:p>
    <w:p>
      <w:pPr>
        <w:keepNext/>
        <w:keepLines/>
        <w:spacing w:before="12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Таблица 2.2.3</w:t>
      </w:r>
    </w:p>
    <w:p>
      <w:pPr>
        <w:keepNext/>
        <w:keepLines/>
        <w:spacing w:before="0" w:after="6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Сводный PESTEL-анализ российского рынка биометрии (на начало 2026 года)</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127"/>
        <w:gridCol w:w="3755"/>
        <w:gridCol w:w="3755"/>
      </w:tblGrid>
      <w:tr>
        <w:trPr>
          <w:tblHeader/>
          <w:cantSplit/>
        </w:trPr>
        <w:tc>
          <w:tcPr>
            <w:tcW w:w="2127"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Фактор</w:t>
            </w:r>
          </w:p>
        </w:tc>
        <w:tc>
          <w:tcPr>
            <w:tcW w:w="375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Содержание фактора</w:t>
            </w:r>
          </w:p>
        </w:tc>
        <w:tc>
          <w:tcPr>
            <w:tcW w:w="375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Влияние на продвижение Face2</w:t>
            </w:r>
          </w:p>
        </w:tc>
      </w:tr>
      <w:tr>
        <w:trPr>
          <w:cantSplit/>
        </w:trPr>
        <w:tc>
          <w:tcPr>
            <w:tcW w:w="21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 — политические**</w:t>
            </w:r>
          </w:p>
        </w:tc>
        <w:tc>
          <w:tcPr>
            <w:tcW w:w="37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Курс на технологический суверенитет и импортозамещение; ЕБС как ГИС под управлением АО «ЦБТ»; Минцифры — регулятор аккредитации операторов КБС; вытеснение иностранных вендоров после 2022 г.; реестр отечественного ПО как условие участия в госзакупках [27; 33; 34; 42].</w:t>
            </w:r>
          </w:p>
        </w:tc>
        <w:tc>
          <w:tcPr>
            <w:tcW w:w="37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Положительное. Аккредитация Минцифры (Решение № 4-А от 15.11.2023) и реестр отечественного ПО открывают B2G-сегмент, закрытый для иностранных вендоров [27].</w:t>
            </w:r>
          </w:p>
        </w:tc>
      </w:tr>
      <w:tr>
        <w:trPr>
          <w:cantSplit/>
        </w:trPr>
        <w:tc>
          <w:tcPr>
            <w:tcW w:w="21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**E — экономические**</w:t>
            </w:r>
          </w:p>
        </w:tc>
        <w:tc>
          <w:tcPr>
            <w:tcW w:w="37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Девятикратный рост числа биометрических платежей за 9 мес. 2025 г. (145,9 млн транзакций, оборот 112,5 млрд руб.); средний чек ≈ 770 руб. — массовый розничный сценарий; пониженная эквайринговая комиссия; финансовый сектор — 15% мирового рынка биометрии при CAGR 18,6% [35, с. 3, 6; 38; 43].</w:t>
            </w:r>
          </w:p>
        </w:tc>
        <w:tc>
          <w:tcPr>
            <w:tcW w:w="37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Положительное по динамике. Биоэквайринг экономически выгоден торговой рознице за счёт пониженной комиссии; крупные B2B/B2G-заказчики ориентируются на регуляторный статус, а не на цену.</w:t>
            </w:r>
          </w:p>
        </w:tc>
      </w:tr>
      <w:tr>
        <w:trPr>
          <w:cantSplit/>
        </w:trPr>
        <w:tc>
          <w:tcPr>
            <w:tcW w:w="21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**S — социальные**</w:t>
            </w:r>
          </w:p>
        </w:tc>
        <w:tc>
          <w:tcPr>
            <w:tcW w:w="37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Свыше 10 млн пользователей ЕБС к началу 2026 г.; привычка оплачивать проезд и покупки лицом в Московском и Казанском метро; устойчивые барьеры доверия — страх утечки, невозможность отозвать образец; поколенческая поляризация принятия [4, с. 41; 9, с. 112; 38; 42].</w:t>
            </w:r>
          </w:p>
        </w:tc>
        <w:tc>
          <w:tcPr>
            <w:tcW w:w="37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Двойное. Привычка к оплате лицом в массовых сценариях работает в пользу Face2Pay; барьеры доверия требуют большой доли бюджета на образовательный контент и демонстрацию защиты данных.</w:t>
            </w:r>
          </w:p>
        </w:tc>
      </w:tr>
      <w:tr>
        <w:trPr>
          <w:cantSplit/>
        </w:trPr>
        <w:tc>
          <w:tcPr>
            <w:tcW w:w="21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**T — технологические**</w:t>
            </w:r>
          </w:p>
        </w:tc>
        <w:tc>
          <w:tcPr>
            <w:tcW w:w="37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Зрелость алгоритмов: точность 99,5%, сканирование ≈ 2 с; антиспуфинг и детекция дипфейков; объединение биометрии с QR и СБП; рост требований к обработке векторов в реальном времени [27; 32; 37; 43].</w:t>
            </w:r>
          </w:p>
        </w:tc>
        <w:tc>
          <w:tcPr>
            <w:tcW w:w="37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Положительное по уровню зрелости. Критическая зона для Face2 — отсутствие публичной независимой верификации точности (NIST FRTE) и отдельного решения по дипфейкам.</w:t>
            </w:r>
          </w:p>
        </w:tc>
      </w:tr>
      <w:tr>
        <w:trPr>
          <w:cantSplit/>
        </w:trPr>
        <w:tc>
          <w:tcPr>
            <w:tcW w:w="21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**E — экологические**</w:t>
            </w:r>
          </w:p>
        </w:tc>
        <w:tc>
          <w:tcPr>
            <w:tcW w:w="37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Снижение оборота пластиковых карт в массовой рознице за счёт перехода на биометрию и QR; безбумажная удалённая идентификация; энергоёмкость дата-центров; ESG-повестка как требование к корпоративному поставщику [28, с. 17, 33; 38].</w:t>
            </w:r>
          </w:p>
        </w:tc>
        <w:tc>
          <w:tcPr>
            <w:tcW w:w="37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Слабо положительное. ESG-статус АББ снимает часть барьеров входа в B2G-закупки; самостоятельного маркетингового плеча у фактора нет — работает фоном.</w:t>
            </w:r>
          </w:p>
        </w:tc>
      </w:tr>
      <w:tr>
        <w:trPr>
          <w:cantSplit/>
        </w:trPr>
        <w:tc>
          <w:tcPr>
            <w:tcW w:w="21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**L — правовые**</w:t>
            </w:r>
          </w:p>
        </w:tc>
        <w:tc>
          <w:tcPr>
            <w:tcW w:w="37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572-ФЗ — биометрия как спецкатегория ПДн, хранение в ГИС ЕБС; 420-ФЗ и 421-ФЗ от 30.11.2024 — штрафы до 20 млн руб. и 1–3% годового дохода, уголовная ответственность до 5 лет; обязательное письменное согласие на каждое использование; статус оператора по № 115-ФЗ — 194 банка; аккредитация Минцифры; сертификация ФСБ и ФСТЭК [27; 33; 34; 36].</w:t>
            </w:r>
          </w:p>
        </w:tc>
        <w:tc>
          <w:tcPr>
            <w:tcW w:w="37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Двойное. Положительное — жёсткая рамка превращает аккредитацию КБС, статус по № 115-ФЗ и сертификации в защитный «ров» для Face2. Отрицательное — обязательное согласие на каждое использование исключает массовые B2C-стимулы (кешбэки, промокоды) и переводит продвижение в формат экспертного контента.</w:t>
            </w:r>
          </w:p>
        </w:tc>
      </w:tr>
    </w:tbl>
    <w:p>
      <w:pPr>
        <w:spacing w:before="0" w:after="20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i/>
          <w:iCs/>
          <w:color w:val="000000"/>
          <w:sz w:val="24"/>
          <w:szCs w:val="24"/>
          <w:lang w:val="ru-RU"/>
        </w:rPr>
        <w:t xml:space="preserve">Источник: </w:t>
      </w:r>
      <w:r>
        <w:rPr>
          <w:rFonts w:ascii="Times New Roman" w:hAnsi="Times New Roman" w:cs="Times New Roman" w:eastAsia="Times New Roman"/>
          <w:color w:val="000000"/>
          <w:sz w:val="24"/>
          <w:szCs w:val="24"/>
          <w:lang w:val="ru-RU"/>
        </w:rPr>
        <w:t xml:space="preserve">составлено автором по данным [4, с. 41; 9, с. 112; 27; 28, с. 17, 33; 32; 33; 34; 35, с. 3, 6; 36; 37; 38; 42; 43]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Сопоставление шести факторов выводит несколько устойчивых наблюдений. Первое — три фактора из шести (P, T, L) работают для Face2 преимущественно в плюс: государственный курс на технологический суверенитет в комплекте с жёсткой регуляторной рамкой создаёт защищённый рынок аккредитованных операторов, в который Face2 уже встроен по статусу банка и аккредитации Минцифры, а зрелость алгоритмов распознавания лица обеспечивает технологическую состоятельность продукта. Второе — экономический фактор (E) положителен по динамике, но ценовая чувствительность работает преимущественно в массовом B2C-биоэквайринге, где доминирует Сбер; в собственном целевом сегменте Face2 — B2B и B2G-заказчики со сценариями работы с физическими лицами через ЕБС — ценовое преимущество биоэквайринга играет вторичную роль по сравнению с регуляторным статусом поставщика. Третье — социальный фактор (S) двойственен и расщепляется на два потока: массовая привычка к оплате лицом в транспортных сценариях работает в пользу продвижения, но психологический барьер недоверия требует переноса акцента в коммуникации с информирования на демонстрацию мер защиты данных и юридической корректности. Четвёртое — экологический фактор (E) работает фоном через ESG-статус банка и не задаёт самостоятельного маркетингового плеча. Пятое — правовой фактор (L) одновременно открывает рынок и закрывает каналы стимулирования: жёсткая рамка устраняет конкурентов без аккредитации, но запрещает массовые акции по сдаче биометрии и переводит продвижение в формат экспертного контента, пилотных проектов и B2B-референсов.</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Из этих наблюдений складывается макрорамка для последующего конкурентного анализа. Регуляторно-политический фактор работает как фильтр входа на рынок и оставляет в качестве реальных конкурентов Face2 ограниченный круг аккредитованных операторов и банков-операторов биометрии; экономический и технологический факторы задают планку масштаба и качества; социальный и правовой факторы определяют допустимые и недопустимые инструменты продвижения. Именно эта макрорамка формирует трёхслойную структуру конкурентной среды, разбираемую в следующем подразделе.</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Конкурентная среда: трёхслойная структура рынка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Российский рынок биометрических технологий организован в три различающихся по типу деятельности слоя. Каждый слой отвечает на свой тип спроса, использует свою бизнес-модель и предъявляет свой набор формальных аккредитаций. Структура конкурентной среды показана на рисунке 2.2.2.</w:t>
      </w:r>
    </w:p>
    <w:p>
      <w:pPr>
        <w:keepNext/>
        <w:keepLines/>
        <w:spacing w:before="12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i/>
          <w:iCs/>
          <w:color w:val="000000"/>
          <w:sz w:val="24"/>
          <w:szCs w:val="24"/>
          <w:lang w:val="ru-RU"/>
        </w:rPr>
        <w:t xml:space="preserve">Источник: </w:t>
      </w:r>
      <w:r>
        <w:rPr>
          <w:rFonts w:ascii="Times New Roman" w:hAnsi="Times New Roman" w:cs="Times New Roman" w:eastAsia="Times New Roman"/>
          <w:color w:val="000000"/>
          <w:sz w:val="24"/>
          <w:szCs w:val="24"/>
          <w:lang w:val="ru-RU"/>
        </w:rPr>
        <w:t xml:space="preserve">составлено автором по данным [27; 32; 37; 38; 39; 41]</w:t>
      </w:r>
    </w:p>
    <w:p>
      <w:pPr>
        <w:keepNext/>
        <w:keepLines/>
        <w:spacing w:before="120" w:after="60" w:line="240" w:lineRule="auto"/>
        <w:jc w:val="center"/>
        <w:rPr>
          <w:rFonts w:ascii="Times New Roman" w:hAnsi="Times New Roman" w:cs="Times New Roman" w:eastAsia="Times New Roman"/>
          <w:sz w:val="28"/>
          <w:szCs w:val="28"/>
          <w:lang w:val="ru-RU"/>
        </w:rPr>
      </w:pPr>
      <w:r>
        <w:drawing>
          <wp:inline distT="0" distB="0" distL="0" distR="0">
            <wp:extent cx="5760000" cy="3240000"/>
            <wp:effectExtent l="0" t="0" r="0" b="0"/>
            <wp:docPr id="1005" name="Drawing1005"/>
            <wp:cNvGraphicFramePr/>
            <a:graphic>
              <a:graphicData uri="http://schemas.microsoft.com/office/word/2010/wordprocessingGroup">
                <wpg:wgp>
                  <wpg:cNvGrpSpPr/>
                  <wpg:grpSpPr>
                    <a:xfrm>
                      <a:off x="0" y="0"/>
                      <a:ext cx="5760000" cy="3240000"/>
                      <a:chOff x="0" y="0"/>
                      <a:chExt cx="5760000" cy="3240000"/>
                    </a:xfrm>
                  </wpg:grpSpPr>
                  <wps:wsp>
                    <wps:cNvPr id="1501" name="Root1501"/>
                    <wps:cNvSpPr/>
                    <wps:spPr>
                      <a:xfrm>
                        <a:off x="1260000" y="72000"/>
                        <a:ext cx="3240000" cy="360000"/>
                      </a:xfrm>
                      <a:prstGeom prst="rect">
                        <a:avLst/>
                      </a:prstGeom>
                      <a:solidFill>
                        <a:srgbClr val="1F4E79"/>
                      </a:solidFill>
                      <a:ln w="9525">
                        <a:solidFill>
                          <a:srgbClr val="1F4E79"/>
                        </a:solidFill>
                      </a:ln>
                    </wps:spPr>
                    <wps:txbx>
                      <w:txbxContent>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FFFFFF"/>
                              <w:sz w:val="22"/>
                              <w:szCs w:val="22"/>
                              <w:lang w:val="ru-RU"/>
                            </w:rPr>
                            <w:t xml:space="preserve">Российский рынок биометрии (B2B/B2C)</w:t>
                          </w:r>
                        </w:p>
                      </w:txbxContent>
                    </wps:txbx>
                    <wps:bodyPr rot="0" spcFirstLastPara="0" vertOverflow="visible" horzOverflow="visible" wrap="square" lIns="36000" tIns="36000" rIns="36000" bIns="36000" anchor="ctr" anchorCtr="0" upright="1">
                      <a:noAutofit/>
                    </wps:bodyPr>
                  </wps:wsp>
                  <wps:wsp>
                    <wps:cNvPr id="1502" name="Line1502"/>
                    <wps:cNvCnPr/>
                    <wps:spPr>
                      <a:xfrm>
                        <a:off x="2880000" y="432000"/>
                        <a:ext cx="1" cy="180000"/>
                      </a:xfrm>
                      <a:prstGeom prst="line">
                        <a:avLst/>
                      </a:prstGeom>
                      <a:ln w="12700">
                        <a:solidFill>
                          <a:srgbClr val="000000"/>
                        </a:solidFill>
                      </a:ln>
                    </wps:spPr>
                    <wps:bodyPr/>
                  </wps:wsp>
                  <wps:wsp>
                    <wps:cNvPr id="1503" name="Line1503"/>
                    <wps:cNvCnPr/>
                    <wps:spPr>
                      <a:xfrm>
                        <a:off x="729000" y="612000"/>
                        <a:ext cx="4302000" cy="1"/>
                      </a:xfrm>
                      <a:prstGeom prst="line">
                        <a:avLst/>
                      </a:prstGeom>
                      <a:ln w="12700">
                        <a:solidFill>
                          <a:srgbClr val="000000"/>
                        </a:solidFill>
                      </a:ln>
                    </wps:spPr>
                    <wps:bodyPr/>
                  </wps:wsp>
                  <wps:wsp>
                    <wps:cNvPr id="1504" name="Line1504"/>
                    <wps:cNvCnPr/>
                    <wps:spPr>
                      <a:xfrm>
                        <a:off x="693000" y="612000"/>
                        <a:ext cx="1" cy="180000"/>
                      </a:xfrm>
                      <a:prstGeom prst="line">
                        <a:avLst/>
                      </a:prstGeom>
                      <a:ln w="12700">
                        <a:solidFill>
                          <a:srgbClr val="000000"/>
                        </a:solidFill>
                      </a:ln>
                    </wps:spPr>
                    <wps:bodyPr/>
                  </wps:wsp>
                  <wps:wsp>
                    <wps:cNvPr id="1505" name="Layer0H1505"/>
                    <wps:cNvSpPr/>
                    <wps:spPr>
                      <a:xfrm>
                        <a:off x="0" y="792000"/>
                        <a:ext cx="1386000" cy="864000"/>
                      </a:xfrm>
                      <a:prstGeom prst="rect">
                        <a:avLst/>
                      </a:prstGeom>
                      <a:solidFill>
                        <a:srgbClr val="2E75B6"/>
                      </a:solidFill>
                      <a:ln w="9525">
                        <a:solidFill>
                          <a:srgbClr val="1F4E79"/>
                        </a:solidFill>
                      </a:ln>
                    </wps:spPr>
                    <wps:txbx>
                      <w:txbxContent>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FFFFFF"/>
                              <w:sz w:val="18"/>
                              <w:szCs w:val="18"/>
                              <w:lang w:val="ru-RU"/>
                            </w:rPr>
                            <w:t xml:space="preserve">Слой 1.</w:t>
                          </w:r>
                        </w:p>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FFFFFF"/>
                              <w:sz w:val="18"/>
                              <w:szCs w:val="18"/>
                              <w:lang w:val="ru-RU"/>
                            </w:rPr>
                            <w:t xml:space="preserve">Банки-разработчики</w:t>
                          </w:r>
                        </w:p>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FFFFFF"/>
                              <w:sz w:val="18"/>
                              <w:szCs w:val="18"/>
                              <w:lang w:val="ru-RU"/>
                            </w:rPr>
                            <w:t xml:space="preserve">собственных биосервисов</w:t>
                          </w:r>
                        </w:p>
                      </w:txbxContent>
                    </wps:txbx>
                    <wps:bodyPr rot="0" spcFirstLastPara="0" vertOverflow="visible" horzOverflow="visible" wrap="square" lIns="36000" tIns="36000" rIns="36000" bIns="36000" anchor="ctr" anchorCtr="0" upright="1">
                      <a:noAutofit/>
                    </wps:bodyPr>
                  </wps:wsp>
                  <wps:wsp>
                    <wps:cNvPr id="1506" name="Layer0B1506"/>
                    <wps:cNvSpPr/>
                    <wps:spPr>
                      <a:xfrm>
                        <a:off x="0" y="1655999"/>
                        <a:ext cx="1386000" cy="756000"/>
                      </a:xfrm>
                      <a:prstGeom prst="rect">
                        <a:avLst/>
                      </a:prstGeom>
                      <a:solidFill>
                        <a:srgbClr val="FFFFFF"/>
                      </a:solidFill>
                      <a:ln w="9525">
                        <a:solidFill>
                          <a:srgbClr val="1F4E79"/>
                        </a:solidFill>
                      </a:ln>
                    </wps:spPr>
                    <wps:txbx>
                      <w:txbxContent>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18"/>
                              <w:szCs w:val="18"/>
                              <w:lang w:val="ru-RU"/>
                            </w:rPr>
                            <w:t xml:space="preserve">ПАО Сбербанк</w:t>
                          </w:r>
                        </w:p>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18"/>
                              <w:szCs w:val="18"/>
                              <w:lang w:val="ru-RU"/>
                            </w:rPr>
                            <w:t xml:space="preserve">ПАО «АК БАРС» БАНК</w:t>
                          </w:r>
                        </w:p>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18"/>
                              <w:szCs w:val="18"/>
                              <w:lang w:val="ru-RU"/>
                            </w:rPr>
                            <w:t xml:space="preserve">(Face2)</w:t>
                          </w:r>
                        </w:p>
                      </w:txbxContent>
                    </wps:txbx>
                    <wps:bodyPr rot="0" spcFirstLastPara="0" vertOverflow="visible" horzOverflow="visible" wrap="square" lIns="36000" tIns="36000" rIns="36000" bIns="36000" anchor="ctr" anchorCtr="0" upright="1">
                      <a:noAutofit/>
                    </wps:bodyPr>
                  </wps:wsp>
                  <wps:wsp>
                    <wps:cNvPr id="1507" name="Line1507"/>
                    <wps:cNvCnPr/>
                    <wps:spPr>
                      <a:xfrm>
                        <a:off x="2151000" y="612000"/>
                        <a:ext cx="1" cy="180000"/>
                      </a:xfrm>
                      <a:prstGeom prst="line">
                        <a:avLst/>
                      </a:prstGeom>
                      <a:ln w="12700">
                        <a:solidFill>
                          <a:srgbClr val="000000"/>
                        </a:solidFill>
                      </a:ln>
                    </wps:spPr>
                    <wps:bodyPr/>
                  </wps:wsp>
                  <wps:wsp>
                    <wps:cNvPr id="1508" name="Layer1H1508"/>
                    <wps:cNvSpPr/>
                    <wps:spPr>
                      <a:xfrm>
                        <a:off x="1458000" y="792000"/>
                        <a:ext cx="1386000" cy="864000"/>
                      </a:xfrm>
                      <a:prstGeom prst="rect">
                        <a:avLst/>
                      </a:prstGeom>
                      <a:solidFill>
                        <a:srgbClr val="2E75B6"/>
                      </a:solidFill>
                      <a:ln w="9525">
                        <a:solidFill>
                          <a:srgbClr val="1F4E79"/>
                        </a:solidFill>
                      </a:ln>
                    </wps:spPr>
                    <wps:txbx>
                      <w:txbxContent>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FFFFFF"/>
                              <w:sz w:val="18"/>
                              <w:szCs w:val="18"/>
                              <w:lang w:val="ru-RU"/>
                            </w:rPr>
                            <w:t xml:space="preserve">Слой 2.</w:t>
                          </w:r>
                        </w:p>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FFFFFF"/>
                              <w:sz w:val="18"/>
                              <w:szCs w:val="18"/>
                              <w:lang w:val="ru-RU"/>
                            </w:rPr>
                            <w:t xml:space="preserve">Технологические</w:t>
                          </w:r>
                        </w:p>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FFFFFF"/>
                              <w:sz w:val="18"/>
                              <w:szCs w:val="18"/>
                              <w:lang w:val="ru-RU"/>
                            </w:rPr>
                            <w:t xml:space="preserve">вендоры алгоритмов</w:t>
                          </w:r>
                        </w:p>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FFFFFF"/>
                              <w:sz w:val="18"/>
                              <w:szCs w:val="18"/>
                              <w:lang w:val="ru-RU"/>
                            </w:rPr>
                            <w:t xml:space="preserve">и платформ</w:t>
                          </w:r>
                        </w:p>
                      </w:txbxContent>
                    </wps:txbx>
                    <wps:bodyPr rot="0" spcFirstLastPara="0" vertOverflow="visible" horzOverflow="visible" wrap="square" lIns="36000" tIns="36000" rIns="36000" bIns="36000" anchor="ctr" anchorCtr="0" upright="1">
                      <a:noAutofit/>
                    </wps:bodyPr>
                  </wps:wsp>
                  <wps:wsp>
                    <wps:cNvPr id="1509" name="Layer1B1509"/>
                    <wps:cNvSpPr/>
                    <wps:spPr>
                      <a:xfrm>
                        <a:off x="1458000" y="1655999"/>
                        <a:ext cx="1386000" cy="756000"/>
                      </a:xfrm>
                      <a:prstGeom prst="rect">
                        <a:avLst/>
                      </a:prstGeom>
                      <a:solidFill>
                        <a:srgbClr val="FFFFFF"/>
                      </a:solidFill>
                      <a:ln w="9525">
                        <a:solidFill>
                          <a:srgbClr val="1F4E79"/>
                        </a:solidFill>
                      </a:ln>
                    </wps:spPr>
                    <wps:txbx>
                      <w:txbxContent>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18"/>
                              <w:szCs w:val="18"/>
                              <w:lang w:val="ru-RU"/>
                            </w:rPr>
                            <w:t xml:space="preserve">VisionLabs</w:t>
                          </w:r>
                        </w:p>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18"/>
                              <w:szCs w:val="18"/>
                              <w:lang w:val="ru-RU"/>
                            </w:rPr>
                            <w:t xml:space="preserve">NtechLab</w:t>
                          </w:r>
                        </w:p>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18"/>
                              <w:szCs w:val="18"/>
                              <w:lang w:val="ru-RU"/>
                            </w:rPr>
                            <w:t xml:space="preserve">Tevian</w:t>
                          </w:r>
                        </w:p>
                      </w:txbxContent>
                    </wps:txbx>
                    <wps:bodyPr rot="0" spcFirstLastPara="0" vertOverflow="visible" horzOverflow="visible" wrap="square" lIns="36000" tIns="36000" rIns="36000" bIns="36000" anchor="ctr" anchorCtr="0" upright="1">
                      <a:noAutofit/>
                    </wps:bodyPr>
                  </wps:wsp>
                  <wps:wsp>
                    <wps:cNvPr id="1510" name="Line1510"/>
                    <wps:cNvCnPr/>
                    <wps:spPr>
                      <a:xfrm>
                        <a:off x="3609000" y="612000"/>
                        <a:ext cx="1" cy="180000"/>
                      </a:xfrm>
                      <a:prstGeom prst="line">
                        <a:avLst/>
                      </a:prstGeom>
                      <a:ln w="12700">
                        <a:solidFill>
                          <a:srgbClr val="000000"/>
                        </a:solidFill>
                      </a:ln>
                    </wps:spPr>
                    <wps:bodyPr/>
                  </wps:wsp>
                  <wps:wsp>
                    <wps:cNvPr id="1511" name="Layer2H1511"/>
                    <wps:cNvSpPr/>
                    <wps:spPr>
                      <a:xfrm>
                        <a:off x="2916000" y="792000"/>
                        <a:ext cx="1386000" cy="864000"/>
                      </a:xfrm>
                      <a:prstGeom prst="rect">
                        <a:avLst/>
                      </a:prstGeom>
                      <a:solidFill>
                        <a:srgbClr val="2E75B6"/>
                      </a:solidFill>
                      <a:ln w="9525">
                        <a:solidFill>
                          <a:srgbClr val="1F4E79"/>
                        </a:solidFill>
                      </a:ln>
                    </wps:spPr>
                    <wps:txbx>
                      <w:txbxContent>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FFFFFF"/>
                              <w:sz w:val="18"/>
                              <w:szCs w:val="18"/>
                              <w:lang w:val="ru-RU"/>
                            </w:rPr>
                            <w:t xml:space="preserve">Слой 3.</w:t>
                          </w:r>
                        </w:p>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FFFFFF"/>
                              <w:sz w:val="18"/>
                              <w:szCs w:val="18"/>
                              <w:lang w:val="ru-RU"/>
                            </w:rPr>
                            <w:t xml:space="preserve">Производители</w:t>
                          </w:r>
                        </w:p>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FFFFFF"/>
                              <w:sz w:val="18"/>
                              <w:szCs w:val="18"/>
                              <w:lang w:val="ru-RU"/>
                            </w:rPr>
                            <w:t xml:space="preserve">полного цикла СКУД</w:t>
                          </w:r>
                        </w:p>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FFFFFF"/>
                              <w:sz w:val="18"/>
                              <w:szCs w:val="18"/>
                              <w:lang w:val="ru-RU"/>
                            </w:rPr>
                            <w:t xml:space="preserve">(ПО + оборудование)</w:t>
                          </w:r>
                        </w:p>
                      </w:txbxContent>
                    </wps:txbx>
                    <wps:bodyPr rot="0" spcFirstLastPara="0" vertOverflow="visible" horzOverflow="visible" wrap="square" lIns="36000" tIns="36000" rIns="36000" bIns="36000" anchor="ctr" anchorCtr="0" upright="1">
                      <a:noAutofit/>
                    </wps:bodyPr>
                  </wps:wsp>
                  <wps:wsp>
                    <wps:cNvPr id="1512" name="Layer2B1512"/>
                    <wps:cNvSpPr/>
                    <wps:spPr>
                      <a:xfrm>
                        <a:off x="2916000" y="1655999"/>
                        <a:ext cx="1386000" cy="756000"/>
                      </a:xfrm>
                      <a:prstGeom prst="rect">
                        <a:avLst/>
                      </a:prstGeom>
                      <a:solidFill>
                        <a:srgbClr val="FFFFFF"/>
                      </a:solidFill>
                      <a:ln w="9525">
                        <a:solidFill>
                          <a:srgbClr val="1F4E79"/>
                        </a:solidFill>
                      </a:ln>
                    </wps:spPr>
                    <wps:txbx>
                      <w:txbxContent>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18"/>
                              <w:szCs w:val="18"/>
                              <w:lang w:val="ru-RU"/>
                            </w:rPr>
                            <w:t xml:space="preserve">OVISION</w:t>
                          </w:r>
                        </w:p>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18"/>
                              <w:szCs w:val="18"/>
                              <w:lang w:val="ru-RU"/>
                            </w:rPr>
                            <w:t xml:space="preserve">BioSmart</w:t>
                          </w:r>
                        </w:p>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18"/>
                              <w:szCs w:val="18"/>
                              <w:lang w:val="ru-RU"/>
                            </w:rPr>
                            <w:t xml:space="preserve">и др.</w:t>
                          </w:r>
                        </w:p>
                      </w:txbxContent>
                    </wps:txbx>
                    <wps:bodyPr rot="0" spcFirstLastPara="0" vertOverflow="visible" horzOverflow="visible" wrap="square" lIns="36000" tIns="36000" rIns="36000" bIns="36000" anchor="ctr" anchorCtr="0" upright="1">
                      <a:noAutofit/>
                    </wps:bodyPr>
                  </wps:wsp>
                  <wps:wsp>
                    <wps:cNvPr id="1513" name="Line1513"/>
                    <wps:cNvCnPr/>
                    <wps:spPr>
                      <a:xfrm>
                        <a:off x="5067000" y="612000"/>
                        <a:ext cx="1" cy="180000"/>
                      </a:xfrm>
                      <a:prstGeom prst="line">
                        <a:avLst/>
                      </a:prstGeom>
                      <a:ln w="12700">
                        <a:solidFill>
                          <a:srgbClr val="000000"/>
                        </a:solidFill>
                      </a:ln>
                    </wps:spPr>
                    <wps:bodyPr/>
                  </wps:wsp>
                  <wps:wsp>
                    <wps:cNvPr id="1514" name="Layer3H1514"/>
                    <wps:cNvSpPr/>
                    <wps:spPr>
                      <a:xfrm>
                        <a:off x="4373999" y="792000"/>
                        <a:ext cx="1386000" cy="864000"/>
                      </a:xfrm>
                      <a:prstGeom prst="rect">
                        <a:avLst/>
                      </a:prstGeom>
                      <a:solidFill>
                        <a:srgbClr val="7F7F7F"/>
                      </a:solidFill>
                      <a:ln w="9525">
                        <a:solidFill>
                          <a:srgbClr val="1F4E79"/>
                        </a:solidFill>
                      </a:ln>
                    </wps:spPr>
                    <wps:txbx>
                      <w:txbxContent>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FFFFFF"/>
                              <w:sz w:val="18"/>
                              <w:szCs w:val="18"/>
                              <w:lang w:val="ru-RU"/>
                            </w:rPr>
                            <w:t xml:space="preserve">Государственная</w:t>
                          </w:r>
                        </w:p>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FFFFFF"/>
                              <w:sz w:val="18"/>
                              <w:szCs w:val="18"/>
                              <w:lang w:val="ru-RU"/>
                            </w:rPr>
                            <w:t xml:space="preserve">инфраструктура</w:t>
                          </w:r>
                        </w:p>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FFFFFF"/>
                              <w:sz w:val="18"/>
                              <w:szCs w:val="18"/>
                              <w:lang w:val="ru-RU"/>
                            </w:rPr>
                            <w:t xml:space="preserve">(АО «ЦБТ» —</w:t>
                          </w:r>
                        </w:p>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FFFFFF"/>
                              <w:sz w:val="18"/>
                              <w:szCs w:val="18"/>
                              <w:lang w:val="ru-RU"/>
                            </w:rPr>
                            <w:t xml:space="preserve">оператор ЕБС)</w:t>
                          </w:r>
                        </w:p>
                      </w:txbxContent>
                    </wps:txbx>
                    <wps:bodyPr rot="0" spcFirstLastPara="0" vertOverflow="visible" horzOverflow="visible" wrap="square" lIns="36000" tIns="36000" rIns="36000" bIns="36000" anchor="ctr" anchorCtr="0" upright="1">
                      <a:noAutofit/>
                    </wps:bodyPr>
                  </wps:wsp>
                  <wps:wsp>
                    <wps:cNvPr id="1515" name="Layer3B1515"/>
                    <wps:cNvSpPr/>
                    <wps:spPr>
                      <a:xfrm>
                        <a:off x="4373999" y="1655999"/>
                        <a:ext cx="1386000" cy="756000"/>
                      </a:xfrm>
                      <a:prstGeom prst="rect">
                        <a:avLst/>
                      </a:prstGeom>
                      <a:solidFill>
                        <a:srgbClr val="FFFFFF"/>
                      </a:solidFill>
                      <a:ln w="9525">
                        <a:solidFill>
                          <a:srgbClr val="1F4E79"/>
                        </a:solidFill>
                      </a:ln>
                    </wps:spPr>
                    <wps:txbx>
                      <w:txbxContent>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18"/>
                              <w:szCs w:val="18"/>
                              <w:lang w:val="ru-RU"/>
                            </w:rPr>
                            <w:t xml:space="preserve">ЕБС / ЕСИА</w:t>
                          </w:r>
                        </w:p>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18"/>
                              <w:szCs w:val="18"/>
                              <w:lang w:val="ru-RU"/>
                            </w:rPr>
                            <w:t xml:space="preserve">(574-ФЗ, 572-ФЗ)</w:t>
                          </w:r>
                        </w:p>
                      </w:txbxContent>
                    </wps:txbx>
                    <wps:bodyPr rot="0" spcFirstLastPara="0" vertOverflow="visible" horzOverflow="visible" wrap="square" lIns="36000" tIns="36000" rIns="36000" bIns="36000" anchor="ctr" anchorCtr="0" upright="1">
                      <a:noAutofit/>
                    </wps:bodyPr>
                  </wps:wsp>
                </wpg:wgp>
              </a:graphicData>
            </a:graphic>
          </wp:inline>
        </w:drawing>
      </w:r>
    </w:p>
    <w:p>
      <w:pPr>
        <w:keepLines/>
        <w:spacing w:before="60" w:after="20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Рис. 2.2.2. Структура конкурентной среды на российском рынке биометрии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Первый слой — банки-разработчики собственных биометрических сервисов, для которых биометрия одновременно работает внутренним средством обслуживания клиентов и самостоятельным коммерческим продуктом. Главный представитель слоя — ПАО Сбербанк с сервисом «Оплата улыбкой» (СберPay Smile), второй — ПАО «АК БАРС» БАНК с линейкой Face2. Второй слой — технологические вендоры, разрабатывающие алгоритмы и платформы распознавания и продающие их корпоративным и государственным заказчикам. Лидер слоя — VisionLabs, входящий с декабря 2021 года в структуру ПАО МТС, второй крупный игрок — NtechLab, разработчик системы FindFace [37; 38]. Третий слой — производители полного цикла СКУД, объединяющие в одном предложении программное обеспечение, собственное оборудование (терминалы, считыватели), интеграцию и сервисное сопровождение. Представители — OVISION (Ханты-Мансийск) и BioSmart (Прософт-Биометрикс) [39]. Над этими тремя слоями работает государственная инфраструктура — оператор ЕБС АО «Центр биометрических технологий», обеспечивающий централизованное хранение биометрических векторов и подтверждение личности при оказании услуг [34; 38]. Сводные характеристики основных игроков рынка собраны в таблице 2.2.4.</w:t>
      </w:r>
    </w:p>
    <w:p>
      <w:pPr>
        <w:keepNext/>
        <w:keepLines/>
        <w:spacing w:before="12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Таблица 2.2.4</w:t>
      </w:r>
    </w:p>
    <w:p>
      <w:pPr>
        <w:keepNext/>
        <w:keepLines/>
        <w:spacing w:before="0" w:after="6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Основные игроки российского рынка биометрии и их позиционирование</w:t>
      </w:r>
    </w:p>
    <w:tbl>
      <w:tblPr>
        <w:tblW w:w="963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052"/>
        <w:gridCol w:w="1295"/>
        <w:gridCol w:w="2429"/>
        <w:gridCol w:w="2429"/>
        <w:gridCol w:w="2429"/>
      </w:tblGrid>
      <w:tr>
        <w:trPr>
          <w:tblHeader/>
          <w:cantSplit/>
        </w:trPr>
        <w:tc>
          <w:tcPr>
            <w:tcW w:w="1052"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Игрок</w:t>
            </w:r>
          </w:p>
        </w:tc>
        <w:tc>
          <w:tcPr>
            <w:tcW w:w="129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Тип</w:t>
            </w:r>
          </w:p>
        </w:tc>
        <w:tc>
          <w:tcPr>
            <w:tcW w:w="242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Целевые сегменты</w:t>
            </w:r>
          </w:p>
        </w:tc>
        <w:tc>
          <w:tcPr>
            <w:tcW w:w="242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Ключевая дифференциация</w:t>
            </w:r>
          </w:p>
        </w:tc>
        <w:tc>
          <w:tcPr>
            <w:tcW w:w="242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Масштаб</w:t>
            </w:r>
          </w:p>
        </w:tc>
      </w:tr>
      <w:tr>
        <w:trPr>
          <w:cantSplit/>
        </w:trPr>
        <w:tc>
          <w:tcPr>
            <w:tcW w:w="1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ПАО Сбербанк</w:t>
            </w:r>
          </w:p>
        </w:tc>
        <w:tc>
          <w:tcPr>
            <w:tcW w:w="129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Банк-разработчик</w:t>
            </w:r>
          </w:p>
        </w:tc>
        <w:tc>
          <w:tcPr>
            <w:tcW w:w="24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B2C-эквайринг, B2B (ритейл)</w:t>
            </w:r>
          </w:p>
        </w:tc>
        <w:tc>
          <w:tcPr>
            <w:tcW w:w="24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Самая широкая инфраструктура биоэквайринга; собственная биометрическая база</w:t>
            </w:r>
          </w:p>
        </w:tc>
        <w:tc>
          <w:tcPr>
            <w:tcW w:w="24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700+ тыс. терминалов, 30 млн зарегистрированных, 116 млрд руб. оборота за 2025 г. [32]</w:t>
            </w:r>
          </w:p>
        </w:tc>
      </w:tr>
      <w:tr>
        <w:trPr>
          <w:cantSplit/>
        </w:trPr>
        <w:tc>
          <w:tcPr>
            <w:tcW w:w="1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ПАО «АК БАРС» БАНК (Face2)</w:t>
            </w:r>
          </w:p>
        </w:tc>
        <w:tc>
          <w:tcPr>
            <w:tcW w:w="129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Банк-разработчик</w:t>
            </w:r>
          </w:p>
        </w:tc>
        <w:tc>
          <w:tcPr>
            <w:tcW w:w="24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B2B (КБС, Face2Pass), B2C (Face2Pay, Face2Check-in)</w:t>
            </w:r>
          </w:p>
        </w:tc>
        <w:tc>
          <w:tcPr>
            <w:tcW w:w="24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Аккредитация Минцифры (одна из первых); вертикаль под банковский сценарий</w:t>
            </w:r>
          </w:p>
        </w:tc>
        <w:tc>
          <w:tcPr>
            <w:tcW w:w="24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200 биотерминалов в собственной сети; пилоты в Казанском метро, библиотеках, гостиницах [27; 28, с. 30–31]</w:t>
            </w:r>
          </w:p>
        </w:tc>
      </w:tr>
      <w:tr>
        <w:trPr>
          <w:cantSplit/>
        </w:trPr>
        <w:tc>
          <w:tcPr>
            <w:tcW w:w="1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VisionLabs</w:t>
            </w:r>
          </w:p>
        </w:tc>
        <w:tc>
          <w:tcPr>
            <w:tcW w:w="129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Технологический вендор</w:t>
            </w:r>
          </w:p>
        </w:tc>
        <w:tc>
          <w:tcPr>
            <w:tcW w:w="24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B2B/B2G (финансы, телеком, транспорт, промышленность, ритейл)</w:t>
            </w:r>
          </w:p>
        </w:tc>
        <w:tc>
          <w:tcPr>
            <w:tcW w:w="24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Лидерство в NIST FRTE; партнёрства с ЦБТ, ЦРТ, ITV; присутствие в 38 странах</w:t>
            </w:r>
          </w:p>
        </w:tc>
        <w:tc>
          <w:tcPr>
            <w:tcW w:w="24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1,7 млн камер с ПО, 500+ проектов, 9 представительств [37]</w:t>
            </w:r>
          </w:p>
        </w:tc>
      </w:tr>
      <w:tr>
        <w:trPr>
          <w:cantSplit/>
        </w:trPr>
        <w:tc>
          <w:tcPr>
            <w:tcW w:w="1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NtechLab</w:t>
            </w:r>
          </w:p>
        </w:tc>
        <w:tc>
          <w:tcPr>
            <w:tcW w:w="129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Технологический вендор</w:t>
            </w:r>
          </w:p>
        </w:tc>
        <w:tc>
          <w:tcPr>
            <w:tcW w:w="24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B2G (безопасный город), транспорт, авиация, ритейл</w:t>
            </w:r>
          </w:p>
        </w:tc>
        <w:tc>
          <w:tcPr>
            <w:tcW w:w="24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FindFace; международный экспорт; присутствие в 24 регионах РФ через партнёров</w:t>
            </w:r>
          </w:p>
        </w:tc>
        <w:tc>
          <w:tcPr>
            <w:tcW w:w="24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Внедрения в РФ и за рубежом [38]</w:t>
            </w:r>
          </w:p>
        </w:tc>
      </w:tr>
      <w:tr>
        <w:trPr>
          <w:cantSplit/>
        </w:trPr>
        <w:tc>
          <w:tcPr>
            <w:tcW w:w="1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OVISION</w:t>
            </w:r>
          </w:p>
        </w:tc>
        <w:tc>
          <w:tcPr>
            <w:tcW w:w="129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Производитель полного цикла СКУД</w:t>
            </w:r>
          </w:p>
        </w:tc>
        <w:tc>
          <w:tcPr>
            <w:tcW w:w="24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B2B/B2G (СКУД, КБС, учёт времени)</w:t>
            </w:r>
          </w:p>
        </w:tc>
        <w:tc>
          <w:tcPr>
            <w:tcW w:w="24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Собственное производство терминалов OGATE; полный пакет статусов (Минцифры, Минпромторг, реестр ПО, СКЗИ)</w:t>
            </w:r>
          </w:p>
        </w:tc>
        <w:tc>
          <w:tcPr>
            <w:tcW w:w="24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Внедрения в РЖД, Мосэнергосбыте, Правительстве Тульской области [39]</w:t>
            </w:r>
          </w:p>
        </w:tc>
      </w:tr>
    </w:tbl>
    <w:p>
      <w:pPr>
        <w:spacing w:before="0" w:after="20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i/>
          <w:iCs/>
          <w:color w:val="000000"/>
          <w:sz w:val="24"/>
          <w:szCs w:val="24"/>
          <w:lang w:val="ru-RU"/>
        </w:rPr>
        <w:t xml:space="preserve">Источник: </w:t>
      </w:r>
      <w:r>
        <w:rPr>
          <w:rFonts w:ascii="Times New Roman" w:hAnsi="Times New Roman" w:cs="Times New Roman" w:eastAsia="Times New Roman"/>
          <w:color w:val="000000"/>
          <w:sz w:val="24"/>
          <w:szCs w:val="24"/>
          <w:lang w:val="ru-RU"/>
        </w:rPr>
        <w:t xml:space="preserve">составлено автором по данным [27; 28, с. 30–31; 32; 37; 38; 39]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Сводная характеристика в таблице 2.2.4 показывает три ключевых наблюдения. Первое: Face2 не конкурирует на одном поле сразу со всеми игроками — у каждого из них своя сильная сторона и свой типовой клиент. Второе: Сбер занимает доминирующую позицию в массовом B2C-биоэквайринге, и прямая лобовая конкуренция с ним по критерию масштаба нерациональна. Третье: на рынке параллельно работают два разных типа поставщиков биометрии для B2B-клиента — банк-разработчик с банковской экосистемой (Face2) и производитель полного цикла с собственным железом (OVISION); они закрывают разные потребности заказчика и могут как конкурировать, так и сотрудничать.</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Анализ пяти конкурентных сил Портера на российском рынке биометрии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Трёхслойная карта конкурентов фиксирует, кто работает на рынке и в каких слоях. Чтобы оценить, насколько привлекателен этот рынок для Face2 и какие силы определяют интенсивность конкуренции внутри него, целесообразно дополнить структурную карту рамкой пяти конкурентных сил М. Портера. Согласно его методике, средний уровень прибыльности отрасли и устойчивость позиции отдельной фирмы определяются балансом пяти структурных факторов: угрозы со стороны новых участников, рыночной силы поставщиков, рыночной силы покупателей, угрозы товаров-заменителей и интенсивности соперничества между действующими конкурентами [1, с. 39]. Применительно к российскому рынку биометрии такая рамка позволяет перевести разрозненные наблюдения о регуляторе, инфраструктуре, технологических вендорах и крупных заказчиках в единую структурную модель и подготовить базу для последующего сравнительного анализа Face2 и ключевых конкурентов. Графическое представление модели пяти сил применительно к российскому рынку биометрии приведено на рисунке 2.2.3, сводная оценка с детализацией факторов и влияния на Face2 — в таблице 2.2.5.</w:t>
      </w:r>
    </w:p>
    <w:p>
      <w:pPr>
        <w:keepNext/>
        <w:keepLines/>
        <w:spacing w:before="12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i/>
          <w:iCs/>
          <w:color w:val="000000"/>
          <w:sz w:val="24"/>
          <w:szCs w:val="24"/>
          <w:lang w:val="ru-RU"/>
        </w:rPr>
        <w:t xml:space="preserve">Источник: </w:t>
      </w:r>
      <w:r>
        <w:rPr>
          <w:rFonts w:ascii="Times New Roman" w:hAnsi="Times New Roman" w:cs="Times New Roman" w:eastAsia="Times New Roman"/>
          <w:color w:val="000000"/>
          <w:sz w:val="24"/>
          <w:szCs w:val="24"/>
          <w:lang w:val="ru-RU"/>
        </w:rPr>
        <w:t xml:space="preserve">составлено автором по [1, с. 39] с адаптацией к российскому рынку биометрии и продуктовой позиции Face2 на основе данных [27; 32; 33; 34; 36; 37; 38; 39; 42; 43]</w:t>
      </w:r>
    </w:p>
    <w:p>
      <w:pPr>
        <w:keepNext/>
        <w:keepLines/>
        <w:spacing w:before="120" w:after="60" w:line="240" w:lineRule="auto"/>
        <w:jc w:val="center"/>
        <w:rPr>
          <w:rFonts w:ascii="Times New Roman" w:hAnsi="Times New Roman" w:cs="Times New Roman" w:eastAsia="Times New Roman"/>
          <w:sz w:val="28"/>
          <w:szCs w:val="28"/>
          <w:lang w:val="ru-RU"/>
        </w:rPr>
      </w:pPr>
      <w:r>
        <w:drawing>
          <wp:inline distT="0" distB="0" distL="0" distR="0">
            <wp:extent cx="5760000" cy="4140000"/>
            <wp:effectExtent l="0" t="0" r="0" b="0"/>
            <wp:docPr id="1006" name="Drawing1006"/>
            <wp:cNvGraphicFramePr/>
            <a:graphic>
              <a:graphicData uri="http://schemas.microsoft.com/office/word/2010/wordprocessingGroup">
                <wpg:wgp>
                  <wpg:cNvGrpSpPr/>
                  <wpg:grpSpPr>
                    <a:xfrm>
                      <a:off x="0" y="0"/>
                      <a:ext cx="5760000" cy="4140000"/>
                      <a:chOff x="0" y="0"/>
                      <a:chExt cx="5760000" cy="4140000"/>
                    </a:xfrm>
                  </wpg:grpSpPr>
                  <wps:wsp>
                    <wps:cNvPr id="1601" name="Center1601"/>
                    <wps:cNvSpPr/>
                    <wps:spPr>
                      <a:xfrm>
                        <a:off x="1890000" y="1565999"/>
                        <a:ext cx="1980000" cy="864000"/>
                      </a:xfrm>
                      <a:prstGeom prst="rect">
                        <a:avLst/>
                      </a:prstGeom>
                      <a:solidFill>
                        <a:srgbClr val="1F4E79"/>
                      </a:solidFill>
                      <a:ln w="9525">
                        <a:solidFill>
                          <a:srgbClr val="1F4E79"/>
                        </a:solidFill>
                      </a:ln>
                    </wps:spPr>
                    <wps:txbx>
                      <w:txbxContent>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FFFFFF"/>
                              <w:sz w:val="20"/>
                              <w:szCs w:val="20"/>
                              <w:lang w:val="ru-RU"/>
                            </w:rPr>
                            <w:t xml:space="preserve">Внутриотраслевая</w:t>
                          </w:r>
                        </w:p>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FFFFFF"/>
                              <w:sz w:val="20"/>
                              <w:szCs w:val="20"/>
                              <w:lang w:val="ru-RU"/>
                            </w:rPr>
                            <w:t xml:space="preserve">конкуренция</w:t>
                          </w:r>
                        </w:p>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FFD966"/>
                              <w:sz w:val="16"/>
                              <w:szCs w:val="16"/>
                              <w:lang w:val="ru-RU"/>
                            </w:rPr>
                            <w:t xml:space="preserve">[СРЕДНЕ-ВЫСОКАЯ]</w:t>
                          </w:r>
                        </w:p>
                      </w:txbxContent>
                    </wps:txbx>
                    <wps:bodyPr rot="0" spcFirstLastPara="0" vertOverflow="visible" horzOverflow="visible" wrap="square" lIns="36000" tIns="36000" rIns="36000" bIns="36000" anchor="ctr" anchorCtr="0" upright="1">
                      <a:noAutofit/>
                    </wps:bodyPr>
                  </wps:wsp>
                  <wps:wsp>
                    <wps:cNvPr id="1602" name="ThreatNew1602"/>
                    <wps:cNvSpPr/>
                    <wps:spPr>
                      <a:xfrm>
                        <a:off x="1980000" y="108000"/>
                        <a:ext cx="1800000" cy="936000"/>
                      </a:xfrm>
                      <a:prstGeom prst="rect">
                        <a:avLst/>
                      </a:prstGeom>
                      <a:solidFill>
                        <a:srgbClr val="2E75B6"/>
                      </a:solidFill>
                      <a:ln w="9525">
                        <a:solidFill>
                          <a:srgbClr val="1F4E79"/>
                        </a:solidFill>
                      </a:ln>
                    </wps:spPr>
                    <wps:txbx>
                      <w:txbxContent>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FFFFFF"/>
                              <w:sz w:val="18"/>
                              <w:szCs w:val="18"/>
                              <w:lang w:val="ru-RU"/>
                            </w:rPr>
                            <w:t xml:space="preserve">Угроза новых</w:t>
                          </w:r>
                        </w:p>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FFFFFF"/>
                              <w:sz w:val="18"/>
                              <w:szCs w:val="18"/>
                              <w:lang w:val="ru-RU"/>
                            </w:rPr>
                            <w:t xml:space="preserve">участников</w:t>
                          </w:r>
                        </w:p>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FFD966"/>
                              <w:sz w:val="14"/>
                              <w:szCs w:val="14"/>
                              <w:lang w:val="ru-RU"/>
                            </w:rPr>
                            <w:t xml:space="preserve">[НИЗКАЯ]</w:t>
                          </w:r>
                        </w:p>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FFFFFF"/>
                              <w:sz w:val="12"/>
                              <w:szCs w:val="12"/>
                              <w:lang w:val="ru-RU"/>
                            </w:rPr>
                            <w:t xml:space="preserve">572-ФЗ, аккредитация</w:t>
                          </w:r>
                        </w:p>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FFFFFF"/>
                              <w:sz w:val="12"/>
                              <w:szCs w:val="12"/>
                              <w:lang w:val="ru-RU"/>
                            </w:rPr>
                            <w:t xml:space="preserve">Минцифры (КБС);</w:t>
                          </w:r>
                        </w:p>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FFFFFF"/>
                              <w:sz w:val="12"/>
                              <w:szCs w:val="12"/>
                              <w:lang w:val="ru-RU"/>
                            </w:rPr>
                            <w:t xml:space="preserve">статус оператора</w:t>
                          </w:r>
                        </w:p>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FFFFFF"/>
                              <w:sz w:val="12"/>
                              <w:szCs w:val="12"/>
                              <w:lang w:val="ru-RU"/>
                            </w:rPr>
                            <w:t xml:space="preserve">по № 115-ФЗ; ФСБ/ФСТЭК;</w:t>
                          </w:r>
                        </w:p>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FFFFFF"/>
                              <w:sz w:val="12"/>
                              <w:szCs w:val="12"/>
                              <w:lang w:val="ru-RU"/>
                            </w:rPr>
                            <w:t xml:space="preserve">420-ФЗ и 421-ФЗ — штрафы</w:t>
                          </w:r>
                        </w:p>
                      </w:txbxContent>
                    </wps:txbx>
                    <wps:bodyPr rot="0" spcFirstLastPara="0" vertOverflow="visible" horzOverflow="visible" wrap="square" lIns="36000" tIns="36000" rIns="36000" bIns="36000" anchor="ctr" anchorCtr="0" upright="1">
                      <a:noAutofit/>
                    </wps:bodyPr>
                  </wps:wsp>
                  <wps:wsp>
                    <wps:cNvPr id="1603" name="Line1603"/>
                    <wps:cNvCnPr/>
                    <wps:spPr>
                      <a:xfrm>
                        <a:off x="2880000" y="1044000"/>
                        <a:ext cx="1" cy="521999"/>
                      </a:xfrm>
                      <a:prstGeom prst="line">
                        <a:avLst/>
                      </a:prstGeom>
                      <a:ln w="15875">
                        <a:solidFill>
                          <a:srgbClr val="1F4E79"/>
                        </a:solidFill>
                        <a:tailEnd type="triangle" w="med" len="med"/>
                      </a:ln>
                    </wps:spPr>
                    <wps:bodyPr/>
                  </wps:wsp>
                  <wps:wsp>
                    <wps:cNvPr id="1604" name="ThreatSubst1604"/>
                    <wps:cNvSpPr/>
                    <wps:spPr>
                      <a:xfrm>
                        <a:off x="1980000" y="3096000"/>
                        <a:ext cx="1800000" cy="936000"/>
                      </a:xfrm>
                      <a:prstGeom prst="rect">
                        <a:avLst/>
                      </a:prstGeom>
                      <a:solidFill>
                        <a:srgbClr val="2E75B6"/>
                      </a:solidFill>
                      <a:ln w="9525">
                        <a:solidFill>
                          <a:srgbClr val="1F4E79"/>
                        </a:solidFill>
                      </a:ln>
                    </wps:spPr>
                    <wps:txbx>
                      <w:txbxContent>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FFFFFF"/>
                              <w:sz w:val="18"/>
                              <w:szCs w:val="18"/>
                              <w:lang w:val="ru-RU"/>
                            </w:rPr>
                            <w:t xml:space="preserve">Угроза товаров-</w:t>
                          </w:r>
                        </w:p>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FFFFFF"/>
                              <w:sz w:val="18"/>
                              <w:szCs w:val="18"/>
                              <w:lang w:val="ru-RU"/>
                            </w:rPr>
                            <w:t xml:space="preserve">заменителей</w:t>
                          </w:r>
                        </w:p>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FFD966"/>
                              <w:sz w:val="14"/>
                              <w:szCs w:val="14"/>
                              <w:lang w:val="ru-RU"/>
                            </w:rPr>
                            <w:t xml:space="preserve">[СРЕДНЯЯ]</w:t>
                          </w:r>
                        </w:p>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FFFFFF"/>
                              <w:sz w:val="12"/>
                              <w:szCs w:val="12"/>
                              <w:lang w:val="ru-RU"/>
                            </w:rPr>
                            <w:t xml:space="preserve">QR-эквайринг (×16),</w:t>
                          </w:r>
                        </w:p>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FFFFFF"/>
                              <w:sz w:val="12"/>
                              <w:szCs w:val="12"/>
                              <w:lang w:val="ru-RU"/>
                            </w:rPr>
                            <w:t xml:space="preserve">NFC, SMS-OTP,</w:t>
                          </w:r>
                        </w:p>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FFFFFF"/>
                              <w:sz w:val="12"/>
                              <w:szCs w:val="12"/>
                              <w:lang w:val="ru-RU"/>
                            </w:rPr>
                            <w:t xml:space="preserve">голосовая биометрия,</w:t>
                          </w:r>
                        </w:p>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FFFFFF"/>
                              <w:sz w:val="12"/>
                              <w:szCs w:val="12"/>
                              <w:lang w:val="ru-RU"/>
                            </w:rPr>
                            <w:t xml:space="preserve">карты и мобильные ключи</w:t>
                          </w:r>
                        </w:p>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FFFFFF"/>
                              <w:sz w:val="12"/>
                              <w:szCs w:val="12"/>
                              <w:lang w:val="ru-RU"/>
                            </w:rPr>
                            <w:t xml:space="preserve">в СКУД</w:t>
                          </w:r>
                        </w:p>
                      </w:txbxContent>
                    </wps:txbx>
                    <wps:bodyPr rot="0" spcFirstLastPara="0" vertOverflow="visible" horzOverflow="visible" wrap="square" lIns="36000" tIns="36000" rIns="36000" bIns="36000" anchor="ctr" anchorCtr="0" upright="1">
                      <a:noAutofit/>
                    </wps:bodyPr>
                  </wps:wsp>
                  <wps:wsp>
                    <wps:cNvPr id="1605" name="Line1605"/>
                    <wps:cNvCnPr/>
                    <wps:spPr>
                      <a:xfrm flipV="1">
                        <a:off x="2880000" y="2430000"/>
                        <a:ext cx="1" cy="665999"/>
                      </a:xfrm>
                      <a:prstGeom prst="line">
                        <a:avLst/>
                      </a:prstGeom>
                      <a:ln w="15875">
                        <a:solidFill>
                          <a:srgbClr val="1F4E79"/>
                        </a:solidFill>
                        <a:tailEnd type="triangle" w="med" len="med"/>
                      </a:ln>
                    </wps:spPr>
                    <wps:bodyPr/>
                  </wps:wsp>
                  <wps:wsp>
                    <wps:cNvPr id="1606" name="Suppliers1606"/>
                    <wps:cNvSpPr/>
                    <wps:spPr>
                      <a:xfrm>
                        <a:off x="36000" y="1602000"/>
                        <a:ext cx="1800000" cy="936000"/>
                      </a:xfrm>
                      <a:prstGeom prst="rect">
                        <a:avLst/>
                      </a:prstGeom>
                      <a:solidFill>
                        <a:srgbClr val="2E75B6"/>
                      </a:solidFill>
                      <a:ln w="9525">
                        <a:solidFill>
                          <a:srgbClr val="1F4E79"/>
                        </a:solidFill>
                      </a:ln>
                    </wps:spPr>
                    <wps:txbx>
                      <w:txbxContent>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FFFFFF"/>
                              <w:sz w:val="18"/>
                              <w:szCs w:val="18"/>
                              <w:lang w:val="ru-RU"/>
                            </w:rPr>
                            <w:t xml:space="preserve">Рыночная сила</w:t>
                          </w:r>
                        </w:p>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FFFFFF"/>
                              <w:sz w:val="18"/>
                              <w:szCs w:val="18"/>
                              <w:lang w:val="ru-RU"/>
                            </w:rPr>
                            <w:t xml:space="preserve">поставщиков</w:t>
                          </w:r>
                        </w:p>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FFD966"/>
                              <w:sz w:val="14"/>
                              <w:szCs w:val="14"/>
                              <w:lang w:val="ru-RU"/>
                            </w:rPr>
                            <w:t xml:space="preserve">[СРЕДНЯЯ]</w:t>
                          </w:r>
                        </w:p>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FFFFFF"/>
                              <w:sz w:val="12"/>
                              <w:szCs w:val="12"/>
                              <w:lang w:val="ru-RU"/>
                            </w:rPr>
                            <w:t xml:space="preserve">Производители</w:t>
                          </w:r>
                        </w:p>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FFFFFF"/>
                              <w:sz w:val="12"/>
                              <w:szCs w:val="12"/>
                              <w:lang w:val="ru-RU"/>
                            </w:rPr>
                            <w:t xml:space="preserve">биотерминалов;</w:t>
                          </w:r>
                        </w:p>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FFFFFF"/>
                              <w:sz w:val="12"/>
                              <w:szCs w:val="12"/>
                              <w:lang w:val="ru-RU"/>
                            </w:rPr>
                            <w:t xml:space="preserve">АО ЦБТ — монополист</w:t>
                          </w:r>
                        </w:p>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FFFFFF"/>
                              <w:sz w:val="12"/>
                              <w:szCs w:val="12"/>
                              <w:lang w:val="ru-RU"/>
                            </w:rPr>
                            <w:t xml:space="preserve">хранения векторов;</w:t>
                          </w:r>
                        </w:p>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FFFFFF"/>
                              <w:sz w:val="12"/>
                              <w:szCs w:val="12"/>
                              <w:lang w:val="ru-RU"/>
                            </w:rPr>
                            <w:t xml:space="preserve">собственные алгоритмы</w:t>
                          </w:r>
                        </w:p>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FFFFFF"/>
                              <w:sz w:val="12"/>
                              <w:szCs w:val="12"/>
                              <w:lang w:val="ru-RU"/>
                            </w:rPr>
                            <w:t xml:space="preserve">Face2 (99,5%)</w:t>
                          </w:r>
                        </w:p>
                      </w:txbxContent>
                    </wps:txbx>
                    <wps:bodyPr rot="0" spcFirstLastPara="0" vertOverflow="visible" horzOverflow="visible" wrap="square" lIns="36000" tIns="36000" rIns="36000" bIns="36000" anchor="ctr" anchorCtr="0" upright="1">
                      <a:noAutofit/>
                    </wps:bodyPr>
                  </wps:wsp>
                  <wps:wsp>
                    <wps:cNvPr id="1607" name="Line1607"/>
                    <wps:cNvCnPr/>
                    <wps:spPr>
                      <a:xfrm flipV="1">
                        <a:off x="1835999" y="1998000"/>
                        <a:ext cx="54000" cy="72000"/>
                      </a:xfrm>
                      <a:prstGeom prst="line">
                        <a:avLst/>
                      </a:prstGeom>
                      <a:ln w="15875">
                        <a:solidFill>
                          <a:srgbClr val="1F4E79"/>
                        </a:solidFill>
                        <a:tailEnd type="triangle" w="med" len="med"/>
                      </a:ln>
                    </wps:spPr>
                    <wps:bodyPr/>
                  </wps:wsp>
                  <wps:wsp>
                    <wps:cNvPr id="1608" name="Buyers1608"/>
                    <wps:cNvSpPr/>
                    <wps:spPr>
                      <a:xfrm>
                        <a:off x="3924000" y="1602000"/>
                        <a:ext cx="1800000" cy="936000"/>
                      </a:xfrm>
                      <a:prstGeom prst="rect">
                        <a:avLst/>
                      </a:prstGeom>
                      <a:solidFill>
                        <a:srgbClr val="2E75B6"/>
                      </a:solidFill>
                      <a:ln w="9525">
                        <a:solidFill>
                          <a:srgbClr val="1F4E79"/>
                        </a:solidFill>
                      </a:ln>
                    </wps:spPr>
                    <wps:txbx>
                      <w:txbxContent>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FFFFFF"/>
                              <w:sz w:val="18"/>
                              <w:szCs w:val="18"/>
                              <w:lang w:val="ru-RU"/>
                            </w:rPr>
                            <w:t xml:space="preserve">Рыночная сила</w:t>
                          </w:r>
                        </w:p>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FFFFFF"/>
                              <w:sz w:val="18"/>
                              <w:szCs w:val="18"/>
                              <w:lang w:val="ru-RU"/>
                            </w:rPr>
                            <w:t xml:space="preserve">покупателей</w:t>
                          </w:r>
                        </w:p>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FFD966"/>
                              <w:sz w:val="14"/>
                              <w:szCs w:val="14"/>
                              <w:lang w:val="ru-RU"/>
                            </w:rPr>
                            <w:t xml:space="preserve">[СРЕДНЕ-ВЫСОКАЯ]</w:t>
                          </w:r>
                        </w:p>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FFFFFF"/>
                              <w:sz w:val="12"/>
                              <w:szCs w:val="12"/>
                              <w:lang w:val="ru-RU"/>
                            </w:rPr>
                            <w:t xml:space="preserve">Крупные B2B/B2G:</w:t>
                          </w:r>
                        </w:p>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FFFFFF"/>
                              <w:sz w:val="12"/>
                              <w:szCs w:val="12"/>
                              <w:lang w:val="ru-RU"/>
                            </w:rPr>
                            <w:t xml:space="preserve">банки, транспорт,</w:t>
                          </w:r>
                        </w:p>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FFFFFF"/>
                              <w:sz w:val="12"/>
                              <w:szCs w:val="12"/>
                              <w:lang w:val="ru-RU"/>
                            </w:rPr>
                            <w:t xml:space="preserve">ритейл, госучреждения;</w:t>
                          </w:r>
                        </w:p>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FFFFFF"/>
                              <w:sz w:val="12"/>
                              <w:szCs w:val="12"/>
                              <w:lang w:val="ru-RU"/>
                            </w:rPr>
                            <w:t xml:space="preserve">низкие издержки</w:t>
                          </w:r>
                        </w:p>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FFFFFF"/>
                              <w:sz w:val="12"/>
                              <w:szCs w:val="12"/>
                              <w:lang w:val="ru-RU"/>
                            </w:rPr>
                            <w:t xml:space="preserve">переключения</w:t>
                          </w:r>
                        </w:p>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FFFFFF"/>
                              <w:sz w:val="12"/>
                              <w:szCs w:val="12"/>
                              <w:lang w:val="ru-RU"/>
                            </w:rPr>
                            <w:t xml:space="preserve">в техслое</w:t>
                          </w:r>
                        </w:p>
                      </w:txbxContent>
                    </wps:txbx>
                    <wps:bodyPr rot="0" spcFirstLastPara="0" vertOverflow="visible" horzOverflow="visible" wrap="square" lIns="36000" tIns="36000" rIns="36000" bIns="36000" anchor="ctr" anchorCtr="0" upright="1">
                      <a:noAutofit/>
                    </wps:bodyPr>
                  </wps:wsp>
                  <wps:wsp>
                    <wps:cNvPr id="1609" name="Line1609"/>
                    <wps:cNvCnPr/>
                    <wps:spPr>
                      <a:xfrm flipH="1" flipV="1">
                        <a:off x="3870000" y="1998000"/>
                        <a:ext cx="54000" cy="72000"/>
                      </a:xfrm>
                      <a:prstGeom prst="line">
                        <a:avLst/>
                      </a:prstGeom>
                      <a:ln w="15875">
                        <a:solidFill>
                          <a:srgbClr val="1F4E79"/>
                        </a:solidFill>
                        <a:tailEnd type="triangle" w="med" len="med"/>
                      </a:ln>
                    </wps:spPr>
                    <wps:bodyPr/>
                  </wps:wsp>
                </wpg:wgp>
              </a:graphicData>
            </a:graphic>
          </wp:inline>
        </w:drawing>
      </w:r>
    </w:p>
    <w:p>
      <w:pPr>
        <w:keepLines/>
        <w:spacing w:before="60" w:after="20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Рис. 2.2.3. Модель пяти конкурентных сил М. Портера применительно к российскому рынку биометрии (для продукта Face2)</w:t>
      </w:r>
    </w:p>
    <w:p>
      <w:pPr>
        <w:keepNext/>
        <w:keepLines/>
        <w:spacing w:before="12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Таблица 2.2.5</w:t>
      </w:r>
    </w:p>
    <w:p>
      <w:pPr>
        <w:keepNext/>
        <w:keepLines/>
        <w:spacing w:before="0" w:after="6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Анализ пяти конкурентных сил М. Портера на российском рынке биометрии применительно к продукту Face2</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969"/>
        <w:gridCol w:w="1450"/>
        <w:gridCol w:w="3109"/>
        <w:gridCol w:w="3109"/>
      </w:tblGrid>
      <w:tr>
        <w:trPr>
          <w:tblHeader/>
          <w:cantSplit/>
        </w:trPr>
        <w:tc>
          <w:tcPr>
            <w:tcW w:w="196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Сила</w:t>
            </w:r>
          </w:p>
        </w:tc>
        <w:tc>
          <w:tcPr>
            <w:tcW w:w="1450"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Уровень</w:t>
            </w:r>
          </w:p>
        </w:tc>
        <w:tc>
          <w:tcPr>
            <w:tcW w:w="310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Ключевые факторы</w:t>
            </w:r>
          </w:p>
        </w:tc>
        <w:tc>
          <w:tcPr>
            <w:tcW w:w="310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Влияние на Face2</w:t>
            </w:r>
          </w:p>
        </w:tc>
      </w:tr>
      <w:tr>
        <w:trPr>
          <w:cantSplit/>
        </w:trPr>
        <w:tc>
          <w:tcPr>
            <w:tcW w:w="196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Угроза новых участников</w:t>
            </w:r>
          </w:p>
        </w:tc>
        <w:tc>
          <w:tcPr>
            <w:tcW w:w="14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низкий</w:t>
            </w:r>
          </w:p>
        </w:tc>
        <w:tc>
          <w:tcPr>
            <w:tcW w:w="31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Регуляторные барьеры: 572-ФЗ, аккредитация Минцифры по правилам КБС, статус оператора по № 115-ФЗ, сертификация ФСБ и ФСТЭК, реестр отечественного ПО, подзаконный блок Банка России (Указание № 6541-У; МР № 18-МР, № 19-МР) [27; 33; 36; 44; 45; 46]. Ужесточение по 420-ФЗ и 421-ФЗ от 30.11.2024 (штрафы до 1–3% дохода, уголовная ответственность) [27]. Высокая капиталоёмкость алгоритмической базы и многолетняя наработка референсной базы.</w:t>
            </w:r>
          </w:p>
        </w:tc>
        <w:tc>
          <w:tcPr>
            <w:tcW w:w="31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Защищает позицию Face2: набор статусов (аккредитация № 4-А от 15.11.2023, № 101 в перечне по № 115-ФЗ, ФСБ и ФСТЭК) недоступен новым игрокам без многолетней подготовки [27; 36].</w:t>
            </w:r>
          </w:p>
        </w:tc>
      </w:tr>
      <w:tr>
        <w:trPr>
          <w:cantSplit/>
        </w:trPr>
        <w:tc>
          <w:tcPr>
            <w:tcW w:w="196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 Рыночная сила поставщиков</w:t>
            </w:r>
          </w:p>
        </w:tc>
        <w:tc>
          <w:tcPr>
            <w:tcW w:w="14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c>
          <w:tcPr>
            <w:tcW w:w="31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Производители биотерминалов; внешние алгоритмические вендоры; АО «ЦБТ» — монополист хранения векторов в ГИС ЕБС [34; 42]. Тарифы и регламент работы с ЕБС задаются 572-ФЗ [33].</w:t>
            </w:r>
          </w:p>
        </w:tc>
        <w:tc>
          <w:tcPr>
            <w:tcW w:w="31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Смешанная: собственные алгоритмы (99,5%) снимают зависимость от VisionLabs и NtechLab; сохраняется зависимость от партнёра по терминалам (в отличие от OVISION) и от ЦБТ как единственного оператора ЕБС [27; 39; 42].</w:t>
            </w:r>
          </w:p>
        </w:tc>
      </w:tr>
      <w:tr>
        <w:trPr>
          <w:cantSplit/>
        </w:trPr>
        <w:tc>
          <w:tcPr>
            <w:tcW w:w="196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 Рыночная сила покупателей</w:t>
            </w:r>
          </w:p>
        </w:tc>
        <w:tc>
          <w:tcPr>
            <w:tcW w:w="14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средне-высокий</w:t>
            </w:r>
          </w:p>
        </w:tc>
        <w:tc>
          <w:tcPr>
            <w:tcW w:w="31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B2B/B2G заказчики крупны и концентрированы — сильная переговорная позиция. В технологическом слое издержки переключения низкие; в нише «банк + биометрия + ЕБС» — высокие из-за зависимости от регуляторного статуса банка-партнёра.</w:t>
            </w:r>
          </w:p>
        </w:tc>
        <w:tc>
          <w:tcPr>
            <w:tcW w:w="31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технологическом слое Face2 конкурирует с VisionLabs и OVISION по цене и функционалу; в нише «банк + ЕБС» сила покупателей снижается — аналоги предлагает узкий круг банков-операторов [27; 36].</w:t>
            </w:r>
          </w:p>
        </w:tc>
      </w:tr>
      <w:tr>
        <w:trPr>
          <w:cantSplit/>
        </w:trPr>
        <w:tc>
          <w:tcPr>
            <w:tcW w:w="196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 Угроза товаров-заменителей</w:t>
            </w:r>
          </w:p>
        </w:tc>
        <w:tc>
          <w:tcPr>
            <w:tcW w:w="14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c>
          <w:tcPr>
            <w:tcW w:w="31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Заменители: пластиковые карты, NFC, QR-эквайринг, push, SMS-OTP, голосовая биометрия. Во II кв. 2025 QR превысил биометрию по числу операций в 16 раз (≈ 990 млн против ≈ 60 млн), но темпы роста биометрии выше (+50% против +25%) [43]. В СКУД — карточные пропуска и мобильные ключи.</w:t>
            </w:r>
          </w:p>
        </w:tc>
        <w:tc>
          <w:tcPr>
            <w:tcW w:w="31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регулируемых сценариях (открытие счёта, возрастная верификация, транспорт) субституты ограничены законом. В массовом эквайринге QR доминирует по обороту, но не вытесняет биометрию: оба канала растут параллельно [38; 43].</w:t>
            </w:r>
          </w:p>
        </w:tc>
      </w:tr>
      <w:tr>
        <w:trPr>
          <w:cantSplit/>
        </w:trPr>
        <w:tc>
          <w:tcPr>
            <w:tcW w:w="196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 Внутриотраслевая конкуренция</w:t>
            </w:r>
          </w:p>
        </w:tc>
        <w:tc>
          <w:tcPr>
            <w:tcW w:w="14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средне-высокий</w:t>
            </w:r>
          </w:p>
        </w:tc>
        <w:tc>
          <w:tcPr>
            <w:tcW w:w="31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Лидеры по слоям: Сбер в B2C-биоэквайринге (700+ тыс. терминалов, 30 млн зарегистрированных, 116 млрд руб. за 2025 г.); VisionLabs в технологическом слое (1,7 млн камер, 38 стран); OVISION в полном цикле СКУД (OGATE, референсы РЖД, Мосэнергосбыт) [32; 37; 39]. Девятикратный рост платежей и пятикратный рост оборота снижают остроту ценовой конкуренции [38].</w:t>
            </w:r>
          </w:p>
        </w:tc>
        <w:tc>
          <w:tcPr>
            <w:tcW w:w="31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Прямой лобовой конкуренции в нише Face2 мало: банк не пересекается со Сбером по объёму, с VisionLabs по верификации алгоритмов, с OVISION по аппаратному стеку. Конкуренция идёт на узком пересечении — B2B/B2G со сценариями работы с физлицами через ЕБС в банковской экосистеме.</w:t>
            </w:r>
          </w:p>
        </w:tc>
      </w:tr>
    </w:tbl>
    <w:p>
      <w:pPr>
        <w:spacing w:before="0" w:after="20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i/>
          <w:iCs/>
          <w:color w:val="000000"/>
          <w:sz w:val="24"/>
          <w:szCs w:val="24"/>
          <w:lang w:val="ru-RU"/>
        </w:rPr>
        <w:t xml:space="preserve">Источник: </w:t>
      </w:r>
      <w:r>
        <w:rPr>
          <w:rFonts w:ascii="Times New Roman" w:hAnsi="Times New Roman" w:cs="Times New Roman" w:eastAsia="Times New Roman"/>
          <w:color w:val="000000"/>
          <w:sz w:val="24"/>
          <w:szCs w:val="24"/>
          <w:lang w:val="ru-RU"/>
        </w:rPr>
        <w:t xml:space="preserve">составлено автором по данным [1, с. 39; 27; 28, с. 17, 30–31, 33; 32; 33; 34; 36; 37; 38; 39; 42; 43]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Из анализа в таблице 2.2.5 складывается единая структурная картина. Две силы — угроза новых участников и рыночная сила поставщиков (в части алгоритмов) — оказывают на Face2 ослабленное давление: жёсткая регуляторная рамка отсекает несертифицированных игроков от рынка биометрии физических лиц через ЕБС, а собственная алгоритмическая база банка снимает зависимость от внешних технологических вендоров [27; 33; 36]. Две силы — рыночная сила покупателей и угроза товаров-заменителей — действуют умеренно и расщепляются по сегментам: в технологическом слое они высоки, а в нише «банк + ЕБС» снижаются за счёт недоступности эквивалентов у вендоров [38; 43]. Внутриотраслевая конкуренция в обозримом периоде остаётся средне-высокой, но смягчается двумя факторами — многослойностью рынка, при которой лидеры разных слоёв не пересекаются по типовому клиенту, и кратным ростом спроса, который позволяет нескольким игрокам одновременно расширять долю без прямого вытеснения друг друга [32; 37; 38; 39].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Совокупное наблюдение по пяти силам — российский рынок биометрии относится к структурно привлекательным отраслям с высокими барьерами входа и умеренной интенсивностью внутреннего соперничества в разрезе отдельных слоёв. Управленческое следствие для стратегии продвижения Face2 двоякое. Во-первых, анализ подтверждает рациональность опоры на регуляторный капитал и банковскую экосистему как на основу позиционирования: именно эти две позиции одновременно работают барьером входа для новых игроков и фактором снижения силы покупателей в целевом сегменте. Во-вторых, две силы задают пробелы, которые требуют отдельного учёта в стратегии продвижения главы 3: средняя сила поставщиков в части аппаратного стека предполагает либо партнёрское закрепление за производителем терминалов, либо переход к собственному производству; угроза субститутов в массовом эквайринге означает, что прямая лобовая конкуренция с QR-эквайрингом по числу операций бесперспективна, и Face2 должен опираться на сценарии, где QR ограничен законом или неудобен для пользователя. Эти выводы предметно конкретизируются в следующем подразделе на уровне сравнения Face2 с ключевыми игроками рынка.</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Сравнительный анализ Face2 и ключевых конкурентов</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Сравнительный анализ строится по семи параметрам, существенным для выбора биометрического решения корпоративным и розничным заказчиком: тип игрока, продуктовая линейка по форм-факторам и сценариям, формальные регуляторные статусы, независимая верификация точности, географический охват, типовая бизнес-модель и наличие банковской/инфраструктурной экосистемы. Результаты сравнения собраны в таблице 2.2.6.</w:t>
      </w:r>
    </w:p>
    <w:p>
      <w:pPr>
        <w:keepNext/>
        <w:keepLines/>
        <w:spacing w:before="12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Таблица 2.2.6</w:t>
      </w:r>
    </w:p>
    <w:p>
      <w:pPr>
        <w:keepNext/>
        <w:keepLines/>
        <w:spacing w:before="0" w:after="6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Сравнение Face2 и ключевых конкурентов на российском рынке биометрии</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7"/>
        <w:gridCol w:w="2258"/>
        <w:gridCol w:w="1957"/>
        <w:gridCol w:w="2258"/>
        <w:gridCol w:w="1355"/>
      </w:tblGrid>
      <w:tr>
        <w:trPr>
          <w:tblHeader/>
          <w:cantSplit/>
        </w:trPr>
        <w:tc>
          <w:tcPr>
            <w:tcW w:w="1807"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Параметр</w:t>
            </w:r>
          </w:p>
        </w:tc>
        <w:tc>
          <w:tcPr>
            <w:tcW w:w="2258"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Face2 (АК БАРС БАНК)</w:t>
            </w:r>
          </w:p>
        </w:tc>
        <w:tc>
          <w:tcPr>
            <w:tcW w:w="1957"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Сбер</w:t>
            </w:r>
          </w:p>
        </w:tc>
        <w:tc>
          <w:tcPr>
            <w:tcW w:w="2258"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VisionLabs</w:t>
            </w:r>
          </w:p>
        </w:tc>
        <w:tc>
          <w:tcPr>
            <w:tcW w:w="135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OVISION</w:t>
            </w:r>
          </w:p>
        </w:tc>
      </w:tr>
      <w:tr>
        <w:trPr>
          <w:cantSplit/>
        </w:trPr>
        <w:tc>
          <w:tcPr>
            <w:tcW w:w="18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 игрока</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Банк-разработчик</w:t>
            </w:r>
          </w:p>
        </w:tc>
        <w:tc>
          <w:tcPr>
            <w:tcW w:w="19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Банк-разработчик</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Технологический вендор</w:t>
            </w:r>
          </w:p>
        </w:tc>
        <w:tc>
          <w:tcPr>
            <w:tcW w:w="13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Производитель полного цикла</w:t>
            </w:r>
          </w:p>
        </w:tc>
      </w:tr>
      <w:tr>
        <w:trPr>
          <w:cantSplit/>
        </w:trPr>
        <w:tc>
          <w:tcPr>
            <w:tcW w:w="18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Аккредитация Минцифры (КБС)</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Решение № 4-А от 15.11.2023 [27]</w:t>
            </w:r>
          </w:p>
        </w:tc>
        <w:tc>
          <w:tcPr>
            <w:tcW w:w="19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Через дочерние структуры</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 ЦБТ [37]</w:t>
            </w:r>
          </w:p>
        </w:tc>
        <w:tc>
          <w:tcPr>
            <w:tcW w:w="13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 [39]</w:t>
            </w:r>
          </w:p>
        </w:tc>
      </w:tr>
      <w:tr>
        <w:trPr>
          <w:cantSplit/>
        </w:trPr>
        <w:tc>
          <w:tcPr>
            <w:tcW w:w="18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Право регистрации БПд граждан в ЕБС (по № 115-ФЗ)</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101 в перечне [36]</w:t>
            </w:r>
          </w:p>
        </w:tc>
        <w:tc>
          <w:tcPr>
            <w:tcW w:w="19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(B2B-вендор)</w:t>
            </w:r>
          </w:p>
        </w:tc>
        <w:tc>
          <w:tcPr>
            <w:tcW w:w="13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(B2B-вендор)</w:t>
            </w:r>
          </w:p>
        </w:tc>
      </w:tr>
      <w:tr>
        <w:trPr>
          <w:cantSplit/>
        </w:trPr>
        <w:tc>
          <w:tcPr>
            <w:tcW w:w="18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Реестр отечественного ПО</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 [27]</w:t>
            </w:r>
          </w:p>
        </w:tc>
        <w:tc>
          <w:tcPr>
            <w:tcW w:w="19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 [37]</w:t>
            </w:r>
          </w:p>
        </w:tc>
        <w:tc>
          <w:tcPr>
            <w:tcW w:w="13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 [39]</w:t>
            </w:r>
          </w:p>
        </w:tc>
      </w:tr>
      <w:tr>
        <w:trPr>
          <w:cantSplit/>
        </w:trPr>
        <w:tc>
          <w:tcPr>
            <w:tcW w:w="18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Сертификация ФСБ и ФСТЭК</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 [27]</w:t>
            </w:r>
          </w:p>
        </w:tc>
        <w:tc>
          <w:tcPr>
            <w:tcW w:w="19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Через ПАК «ВЛ-БИО» [37]</w:t>
            </w:r>
          </w:p>
        </w:tc>
        <w:tc>
          <w:tcPr>
            <w:tcW w:w="13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 право установки СКЗИ [39]</w:t>
            </w:r>
          </w:p>
        </w:tc>
      </w:tr>
      <w:tr>
        <w:trPr>
          <w:cantSplit/>
        </w:trPr>
        <w:tc>
          <w:tcPr>
            <w:tcW w:w="18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Независимая верификация (NIST FRTE, iBeta, CVPR)</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 заявлена</w:t>
            </w:r>
          </w:p>
        </w:tc>
        <w:tc>
          <w:tcPr>
            <w:tcW w:w="19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 заявлена</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Подтверждена [37]</w:t>
            </w:r>
          </w:p>
        </w:tc>
        <w:tc>
          <w:tcPr>
            <w:tcW w:w="13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 заявлена</w:t>
            </w:r>
          </w:p>
        </w:tc>
      </w:tr>
      <w:tr>
        <w:trPr>
          <w:cantSplit/>
        </w:trPr>
        <w:tc>
          <w:tcPr>
            <w:tcW w:w="18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Заявленная точность</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99,5% [27]</w:t>
            </w:r>
          </w:p>
        </w:tc>
        <w:tc>
          <w:tcPr>
            <w:tcW w:w="19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Косвенно через VisionLabs</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Лидерство в NIST FRTE [37]</w:t>
            </w:r>
          </w:p>
        </w:tc>
        <w:tc>
          <w:tcPr>
            <w:tcW w:w="13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99,9% [39]</w:t>
            </w:r>
          </w:p>
        </w:tc>
      </w:tr>
      <w:tr>
        <w:trPr>
          <w:cantSplit/>
        </w:trPr>
        <w:tc>
          <w:tcPr>
            <w:tcW w:w="18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Время сканирования</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2 с [27]</w:t>
            </w:r>
          </w:p>
        </w:tc>
        <w:tc>
          <w:tcPr>
            <w:tcW w:w="19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 с (цель — 2 с к 2025) [32]</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2,5 с (LUNA)</w:t>
            </w:r>
          </w:p>
        </w:tc>
        <w:tc>
          <w:tcPr>
            <w:tcW w:w="13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0,3 с [39]</w:t>
            </w:r>
          </w:p>
        </w:tc>
      </w:tr>
      <w:tr>
        <w:trPr>
          <w:cantSplit/>
        </w:trPr>
        <w:tc>
          <w:tcPr>
            <w:tcW w:w="18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Собственное производство терминалов</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(партнёрское)</w:t>
            </w:r>
          </w:p>
        </w:tc>
        <w:tc>
          <w:tcPr>
            <w:tcW w:w="19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(модуль ПАК «ВЛ-БИО»)</w:t>
            </w:r>
          </w:p>
        </w:tc>
        <w:tc>
          <w:tcPr>
            <w:tcW w:w="13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 (OGATE One/Mini/Thermo) [39]</w:t>
            </w:r>
          </w:p>
        </w:tc>
      </w:tr>
      <w:tr>
        <w:trPr>
          <w:cantSplit/>
        </w:trPr>
        <w:tc>
          <w:tcPr>
            <w:tcW w:w="18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Продуктовая линейка</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 Face2Pass, Face2Check-in, КБС под ключ — по сценариям банковской вертикали</w:t>
            </w:r>
          </w:p>
        </w:tc>
        <w:tc>
          <w:tcPr>
            <w:tcW w:w="19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СберPay Smile — преимущественно эквайринг</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LUNA Platform/Cars/ID/Pass/Kiosk + Deepfake Detection — по форм-факторам</w:t>
            </w:r>
          </w:p>
        </w:tc>
        <w:tc>
          <w:tcPr>
            <w:tcW w:w="13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OGATE + OGATE Control + КБС OVISION</w:t>
            </w:r>
          </w:p>
        </w:tc>
      </w:tr>
      <w:tr>
        <w:trPr>
          <w:cantSplit/>
        </w:trPr>
        <w:tc>
          <w:tcPr>
            <w:tcW w:w="18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География</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Татарстан + федеральные пилоты (Минцифры, Минтранс, НСПК)</w:t>
            </w:r>
          </w:p>
        </w:tc>
        <w:tc>
          <w:tcPr>
            <w:tcW w:w="19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Вся РФ и новые территории [32]</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38 стран, 9 представительств [37]</w:t>
            </w:r>
          </w:p>
        </w:tc>
        <w:tc>
          <w:tcPr>
            <w:tcW w:w="13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Вся РФ</w:t>
            </w:r>
          </w:p>
        </w:tc>
      </w:tr>
      <w:tr>
        <w:trPr>
          <w:cantSplit/>
        </w:trPr>
        <w:tc>
          <w:tcPr>
            <w:tcW w:w="18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Антифрод (детекция дипфейков)</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публичной линейке нет</w:t>
            </w:r>
          </w:p>
        </w:tc>
        <w:tc>
          <w:tcPr>
            <w:tcW w:w="19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Многоконтурная защита: liveness + AI-фрод + ПИН [32]</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Отдельный продукт Deepfake Detection [37]</w:t>
            </w:r>
          </w:p>
        </w:tc>
        <w:tc>
          <w:tcPr>
            <w:tcW w:w="13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Антиспуфинг и детекция дипфейков [39]</w:t>
            </w:r>
          </w:p>
        </w:tc>
      </w:tr>
      <w:tr>
        <w:trPr>
          <w:cantSplit/>
        </w:trPr>
        <w:tc>
          <w:tcPr>
            <w:tcW w:w="18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Банковская / инфраструктурная экосистема</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АББ, Карта жителя РТ, СБП, мобильное приложение [28, с. 17, 33]</w:t>
            </w:r>
          </w:p>
        </w:tc>
        <w:tc>
          <w:tcPr>
            <w:tcW w:w="19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Сбер, СберPay, СберID</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ЦБТ, ЦРТ, Нетрис, ITV, ВК ИТС, Macroscop [37]</w:t>
            </w:r>
          </w:p>
        </w:tc>
        <w:tc>
          <w:tcPr>
            <w:tcW w:w="13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Без банковской экосистемы</w:t>
            </w:r>
          </w:p>
        </w:tc>
      </w:tr>
    </w:tbl>
    <w:p>
      <w:pPr>
        <w:spacing w:before="0" w:after="20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i/>
          <w:iCs/>
          <w:color w:val="000000"/>
          <w:sz w:val="24"/>
          <w:szCs w:val="24"/>
          <w:lang w:val="ru-RU"/>
        </w:rPr>
        <w:t xml:space="preserve">Источник: </w:t>
      </w:r>
      <w:r>
        <w:rPr>
          <w:rFonts w:ascii="Times New Roman" w:hAnsi="Times New Roman" w:cs="Times New Roman" w:eastAsia="Times New Roman"/>
          <w:color w:val="000000"/>
          <w:sz w:val="24"/>
          <w:szCs w:val="24"/>
          <w:lang w:val="ru-RU"/>
        </w:rPr>
        <w:t xml:space="preserve">составлено автором по данным [27; 28, с. 17, 33; 32; 36; 37; 39]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Сравнение в таблице 2.2.6 фиксирует четыре чётко различимые позиции на рынке. Сбер закрывает массовый B2C-биоэквайринг масштабом и инфраструктурой; конкуренция с ним по размеру парка терминалов и числу пользователей в обозримом горизонте маркетинговыми средствами недостижима. VisionLabs закрывает технологический слой — алгоритмы, платформы, форм-факторы (мобильное, web, киоск, видеопоток) — и сильнее всех конкурентов по независимой верификации точности через NIST FRTE и iBeta. OVISION закрывает рынок полного цикла СКУД — собственное оборудование плюс программное ядро плюс полный набор формальных регуляторных статусов — и силён в государственном сегменте за счёт референсов федерального уровня (РЖД, Мосэнергосбыт, Правительство Тульской области). Face2 не входит в эти три позиции лоб в лоб, а занимает четвёртую — банковский сервисный игрок с правом регистрации биометрических данных граждан в ЕБС через статус по № 115-ФЗ и с продуктовой линейкой, выстроенной не по форм-факторам, а по банковским сценариям.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Конкурентные преимущества и пробелы Face2 распределяются неравномерно. К преимуществам относятся пять позиций. Первая — статус банка-оператора по № 115-ФЗ, дающий право регистрации биометрических векторов граждан в ЕБС: ни VisionLabs, ни OVISION, ни иные технологические вендоры этого права не имеют, и для них единственный путь работы с биометрией физических лиц — через банк-партнёра. Вторая — аккредитация Минцифры как оператора КБС, полученная одной из первых в стране (Решение № 4-А от 15 ноября 2023 года), что после ужесточения ответственности по 420-ФЗ и 421-ФЗ становится особенно ценным барьером входа [27]. Третья — институциональный стаж работы с ЕБС с июля 2018 года и положение первого банка ПФО, подключённого к этой инфраструктуре, что снимает риск восприятия Face2 как «нового и непроверенного» сервиса [40]. Четвёртая — банковская экосистема: 934 тыс. розничных клиентов, 33,9 тыс. корпоративных клиентов, 930 тыс. пользователей мобильного приложения, 450 тыс. держателей Карты жителя Республики Татарстан, рейтинги «A» по национальной шкале и подтверждённый ESG-статус [28, с. 17, 33]. Пятая — продуктовая вертикаль под банковский сценарий: один программный фундамент закрывает оплату, проход и подтверждение возраста внутри одной экосистемы клиента, что отличает Face2 от горизонтальных платформ технологических вендоров.</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Пробелы — четыре. Первый — отсутствие независимой международной верификации точности алгоритмов в формате NIST FRTE, iBeta или CVPR, тогда как VisionLabs строит на ней значимую часть позиционирования [37]. Второй — отсутствие собственного производства биометрических терминалов и, как следствие, частичная зависимость от партнёрского оборудования, тогда как OVISION предлагает полный аппаратный стек одного производителя со всеми формальными статусами (Минпромторг, реестр радиоэлектронной продукции, СКЗИ) [39]. Третий — локальный масштаб: ядро текущей коммерческой базы Face2 — Татарстан и федеральные пилоты, тогда как Сбер работает по всей стране, а VisionLabs — в 38 странах. Четвёртый — отсутствие в публичной продуктовой линейке отдельного решения по детекции дипфейков, которое уже представлено и у VisionLabs (Deepfake Detection), и у OVISION (антиспуфинг и детекция дипфейков), и в виде многоконтурной защиты у Сбера [32; 37; 39].</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Ключевые факторы успеха на российском рынке биометрии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Сравнительная матрица в таблице 2.2.6 и анализ преимуществ и пробелов Face2 фиксируют, по каким параметрам игроки различаются, но не отвечают на вопрос, какие из этих параметров критичны для победы в отрасли, а какие — второстепенны. Этот разрыв снимает понятие ключевых факторов успеха (КФУ) — управляемых ресурсов, компетенций и характеристик продукта, владение которыми обеспечивает устойчивое конкурентное преимущество в данной отрасли и без которых даже технологически сильное решение не выходит на коммерческий контур заказчика [1, с. 39; 9, с. 112]. КФУ выполняют две функции: они задают общий измерительный стандарт для всех игроков отрасли и одновременно формируют список критериев, по которым строится последующая балльная оценка.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Перечень КФУ российского рынка биометрии выводится из трёх источников, проработанных в предыдущих подразделах. Регуляторный и инфраструктурный контур (572-ФЗ, аккредитация Минцифры, статус по № 115-ФЗ, ужесточение ответственности по 420-ФЗ и 421-ФЗ) задаёт обязательный нижний порог формальных статусов: без них работа с биометрией физических лиц закрыта законом [27; 33; 36]. PESTEL-анализ макросреды (таблица 2.2.3) выделяет четыре устойчивых драйвера спроса — рост биометрических платежей, расширение базы пользователей ЕБС, поколенческое принятие технологии и государственный курс на технологический суверенитет — и три устойчивых ограничителя — психологический барьер доверия, регуляторно-репутационный риск и угрозу подделки идентичности через дипфейки [38; 42; 43]. Анализ пяти сил Портера (таблица 2.2.5) переводит эти факторы в структурную рамку: барьеры входа, рыночная сила поставщиков, рыночная сила покупателей, угроза заменителей и внутриотраслевая конкуренция [1, с. 39]. Сравнительный анализ Face2 и ключевых конкурентов (таблица 2.2.6) фиксирует, по каким именно характеристикам игроки реально различаются на рынке. Совмещение трёх источников даёт восемь КФУ, собранных в таблице 2.2.7.</w:t>
      </w:r>
    </w:p>
    <w:p>
      <w:pPr>
        <w:keepNext/>
        <w:keepLines/>
        <w:spacing w:before="12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Таблица 2.2.7</w:t>
      </w:r>
    </w:p>
    <w:p>
      <w:pPr>
        <w:keepNext/>
        <w:keepLines/>
        <w:spacing w:before="0" w:after="6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Ключевые факторы успеха на российском рынке биометрии</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42"/>
        <w:gridCol w:w="2645"/>
        <w:gridCol w:w="3174"/>
        <w:gridCol w:w="3174"/>
      </w:tblGrid>
      <w:tr>
        <w:trPr>
          <w:tblHeader/>
          <w:cantSplit/>
        </w:trPr>
        <w:tc>
          <w:tcPr>
            <w:tcW w:w="642"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w:t>
            </w:r>
          </w:p>
        </w:tc>
        <w:tc>
          <w:tcPr>
            <w:tcW w:w="264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Ключевой фактор успеха</w:t>
            </w:r>
          </w:p>
        </w:tc>
        <w:tc>
          <w:tcPr>
            <w:tcW w:w="3174"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Содержание фактора</w:t>
            </w:r>
          </w:p>
        </w:tc>
        <w:tc>
          <w:tcPr>
            <w:tcW w:w="3174"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Источник вывода</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w:t>
            </w:r>
          </w:p>
        </w:tc>
        <w:tc>
          <w:tcPr>
            <w:tcW w:w="264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Регуляторно-правовой капитал</w:t>
            </w:r>
          </w:p>
        </w:tc>
        <w:tc>
          <w:tcPr>
            <w:tcW w:w="31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Аккредитация Минцифры по правилам КБС, статус оператора по 572-ФЗ, право регистрации БПд граждан в ЕБС по № 115-ФЗ, сертификация ФСБ и ФСТЭК. После 420-ФЗ и 421-ФЗ работа без формальных статусов закрыта законом</w:t>
            </w:r>
          </w:p>
        </w:tc>
        <w:tc>
          <w:tcPr>
            <w:tcW w:w="31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PESTEL (L), пять сил Портера (барьеры входа), сравнительная матрица</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264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Технологическая зрелость алгоритмов</w:t>
            </w:r>
          </w:p>
        </w:tc>
        <w:tc>
          <w:tcPr>
            <w:tcW w:w="31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Точность ≥ 99%, время сканирования ≈ 2 с, устойчивость к нагрузке — обязательный технический минимум для допуска к корпоративному и государственному заказчику</w:t>
            </w:r>
          </w:p>
        </w:tc>
        <w:tc>
          <w:tcPr>
            <w:tcW w:w="31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PESTEL (T), сравнительная матрица</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w:t>
            </w:r>
          </w:p>
        </w:tc>
        <w:tc>
          <w:tcPr>
            <w:tcW w:w="264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Доказательная база точности</w:t>
            </w:r>
          </w:p>
        </w:tc>
        <w:tc>
          <w:tcPr>
            <w:tcW w:w="31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Независимая верификация (NIST FRTE, iBeta, CVPR), снимающая информационную асимметрию между заказчиком и вендором</w:t>
            </w:r>
          </w:p>
        </w:tc>
        <w:tc>
          <w:tcPr>
            <w:tcW w:w="31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Пять сил Портера (сила покупателей), сравнительная матрица</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264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Продуктовая полнота под B2B/B2G</w:t>
            </w:r>
          </w:p>
        </w:tc>
        <w:tc>
          <w:tcPr>
            <w:tcW w:w="31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Готовые сценарии биоэквайринга, контроля доступа, возрастной верификации и КБС под ключ; способность закрыть смежные задачи одним вендором</w:t>
            </w:r>
          </w:p>
        </w:tc>
        <w:tc>
          <w:tcPr>
            <w:tcW w:w="31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Сегментная структура рынка, сравнительная матрица</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264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Географический охват и референсная база</w:t>
            </w:r>
          </w:p>
        </w:tc>
        <w:tc>
          <w:tcPr>
            <w:tcW w:w="31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Присутствие в регионах целевого спроса, проекты федерального уровня и крупные коммерческие внедрения как репутационный фильтр</w:t>
            </w:r>
          </w:p>
        </w:tc>
        <w:tc>
          <w:tcPr>
            <w:tcW w:w="31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PESTEL (S), сравнительная матрица</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w:t>
            </w:r>
          </w:p>
        </w:tc>
        <w:tc>
          <w:tcPr>
            <w:tcW w:w="264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Экосистемная интеграция</w:t>
            </w:r>
          </w:p>
        </w:tc>
        <w:tc>
          <w:tcPr>
            <w:tcW w:w="31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Собственная клиентская база, мобильное приложение, СБП, региональная карта, партнёрства с регулятором, транспортным оператором и НСПК; превращение биометрии в массовый канал</w:t>
            </w:r>
          </w:p>
        </w:tc>
        <w:tc>
          <w:tcPr>
            <w:tcW w:w="31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Пять сил Портера (сила покупателей в нише «банк + ЕБС»), сравнительная матрица</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w:t>
            </w:r>
          </w:p>
        </w:tc>
        <w:tc>
          <w:tcPr>
            <w:tcW w:w="264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Контроль аппаратного стека</w:t>
            </w:r>
          </w:p>
        </w:tc>
        <w:tc>
          <w:tcPr>
            <w:tcW w:w="31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Собственное производство биотерминалов или эксклюзивное партнёрство со всеми регуляторными статусами (Минпромторг, реестр радиоэлектронной продукции, СКЗИ); снижает риск срыва поставок</w:t>
            </w:r>
          </w:p>
        </w:tc>
        <w:tc>
          <w:tcPr>
            <w:tcW w:w="31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Пять сил Портера (сила поставщиков), сравнительная матрица</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w:t>
            </w:r>
          </w:p>
        </w:tc>
        <w:tc>
          <w:tcPr>
            <w:tcW w:w="264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Антифрод-функциональность</w:t>
            </w:r>
          </w:p>
        </w:tc>
        <w:tc>
          <w:tcPr>
            <w:tcW w:w="31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Многоконтурная защита: liveness, антиспуфинг, детекция дипфейков, AI-фрод. После роста ИИ-атак 2024–2025 гг. — обязательное условие для крупного заказчика</w:t>
            </w:r>
          </w:p>
        </w:tc>
        <w:tc>
          <w:tcPr>
            <w:tcW w:w="31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PESTEL (T), пять сил Портера (заменители через подделку), сравнительная матрица</w:t>
            </w:r>
          </w:p>
        </w:tc>
      </w:tr>
    </w:tbl>
    <w:p>
      <w:pPr>
        <w:spacing w:before="0" w:after="20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i/>
          <w:iCs/>
          <w:color w:val="000000"/>
          <w:sz w:val="24"/>
          <w:szCs w:val="24"/>
          <w:lang w:val="ru-RU"/>
        </w:rPr>
        <w:t xml:space="preserve">Источник: </w:t>
      </w:r>
      <w:r>
        <w:rPr>
          <w:rFonts w:ascii="Times New Roman" w:hAnsi="Times New Roman" w:cs="Times New Roman" w:eastAsia="Times New Roman"/>
          <w:color w:val="000000"/>
          <w:sz w:val="24"/>
          <w:szCs w:val="24"/>
          <w:lang w:val="ru-RU"/>
        </w:rPr>
        <w:t xml:space="preserve">составлено автором по данным [1, с. 39; 9, с. 112; 27; 28, с. 17, 33; 32; 33; 36; 37; 38; 39; 42; 43]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Содержательно восемь КФУ распадаются на три группы. Первая — регуляторно-инфраструктурные факторы (КФУ 1 и 6): они определяют сам факт допуска игрока к рынку биометрии физических лиц через ЕБС и доступ к массовому каналу распространения; владение этими факторами одновременно работает барьером входа для конкурентов и фактором снижения силы покупателей. Вторая — продуктово-технологические факторы (КФУ 2, 3, 4 и 8): они формируют функциональное ядро решения и определяют его пригодность для конкретного сценария заказчика; именно по этим факторам строится содержательная конкуренция внутри допущенных к рынку игроков. Третья — ресурсно-операционные факторы (КФУ 5 и 7): они определяют способность игрока масштабировать решение и удерживать издержки; их отсутствие не закрывает доступ к рынку, но ограничивает скорость роста и устойчивость поставок.</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Распределение Face2 по восьми КФУ выглядит следующим образом. Сильные позиции — КФУ 1 и 6 (регуляторно-правовой капитал и банковская экосистема): аккредитация Минцифры, статус оператора по № 115-ФЗ, сертификация ФСБ и ФСТЭК, клиентская база 934 тыс. розничных и 33,9 тыс. корпоративных клиентов, мобильное приложение, СБП, Карта жителя Республики Татарстан и партнёрства с Минцифры, Минтрансом и НСПК [27; 28, с. 17, 30–31, 33]. Средние позиции — КФУ 2 (технологическая зрелость алгоритмов: заявленные 99,5% точности и около 2 секунд времени сканирования соответствуют отраслевому уровню) и КФУ 4 (продуктовая полнота: четыре сценария — Face2Pay, Face2Pass, Face2Check-in и КБС под ключ — закрывают основные банковские и B2G-задачи) [27]. Слабые позиции — КФУ 3 (доказательная база точности: независимая международная верификация публично не заявлена), КФУ 5 (географический охват: ядро коммерческой базы — Татарстан и федеральные пилоты), КФУ 7 (аппаратный стек: собственного производства терминалов нет, используется партнёрское оборудование) и КФУ 8 (антифрод: отдельное решение по детекции дипфейков в публичной продуктовой линейке отсутствует) [27; 32; 37; 39]. Полученное распределение служит фактической базой для балльной экспертной оценки в следующем подразделе: оценки игроков по каждому КФУ переводятся в пятибалльную шкалу, КФУ — в критерии оценки, а их относительная значимость для типового и для целевого заказчика — в весовые коэффициенты.</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Балльная экспертная оценка решений на основе сравнительной матрицы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Перечень КФУ в таблице 2.2.7 фиксирует, что именно влияет на успех на российском рынке биометрии, но не даёт численного итога для управленческого решения. КФУ не равноправны: для типового заказчика биометрии регуляторный статус важнее аппаратного стека, а банковская экосистема — важнее географии присутствия вендора. Балльная экспертная оценка с весовыми коэффициентами учитывает эту разницу и переводит сравнение в формат, пригодный для последующего обоснования выбора целевого сегмента продвижения в главе 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Восемь оценочных пунктов соответствуют восьми КФУ из таблицы 2.2.7 и переведены в шкалу от 1 до 5 баллов. Шкала строится по содержательному принципу: 5 — лидерство, подтверждённое внешними источниками; 4 — устойчивая позиция с публично заявленными подтверждениями; 3 — позиция выше средней без независимой верификации; 2 — отдельные элементы реализованы, но не образуют системы; 1 — параметр публично не подтверждён. Каждому критерию присвоен вес от 0,05 до 0,20 в зависимости от значимости параметра при выборе биометрического решения корпоративным или государственным заказчиком, работающим с физическими лицами в инфраструктуре ЕБС. Сводные результаты собраны в таблице 2.2.8.</w:t>
      </w:r>
    </w:p>
    <w:p>
      <w:pPr>
        <w:keepNext/>
        <w:keepLines/>
        <w:spacing w:before="12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Таблица 2.2.8</w:t>
      </w:r>
    </w:p>
    <w:p>
      <w:pPr>
        <w:keepNext/>
        <w:keepLines/>
        <w:spacing w:before="0" w:after="6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Балльная экспертная оценка Face2 и ключевых конкурентов на российском рынке биометрии</w:t>
      </w:r>
    </w:p>
    <w:tbl>
      <w:tblPr>
        <w:tblW w:w="9633"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36"/>
        <w:gridCol w:w="3920"/>
        <w:gridCol w:w="636"/>
        <w:gridCol w:w="1045"/>
        <w:gridCol w:w="1045"/>
        <w:gridCol w:w="1306"/>
        <w:gridCol w:w="1045"/>
      </w:tblGrid>
      <w:tr>
        <w:trPr>
          <w:tblHeader/>
          <w:cantSplit/>
        </w:trPr>
        <w:tc>
          <w:tcPr>
            <w:tcW w:w="636"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w:t>
            </w:r>
          </w:p>
        </w:tc>
        <w:tc>
          <w:tcPr>
            <w:tcW w:w="3920"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Критерий</w:t>
            </w:r>
          </w:p>
        </w:tc>
        <w:tc>
          <w:tcPr>
            <w:tcW w:w="636"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Вес</w:t>
            </w:r>
          </w:p>
        </w:tc>
        <w:tc>
          <w:tcPr>
            <w:tcW w:w="104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Face2</w:t>
            </w:r>
          </w:p>
        </w:tc>
        <w:tc>
          <w:tcPr>
            <w:tcW w:w="104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Сбер</w:t>
            </w:r>
          </w:p>
        </w:tc>
        <w:tc>
          <w:tcPr>
            <w:tcW w:w="1306"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VisionLabs</w:t>
            </w:r>
          </w:p>
        </w:tc>
        <w:tc>
          <w:tcPr>
            <w:tcW w:w="104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OVISION</w:t>
            </w:r>
          </w:p>
        </w:tc>
      </w:tr>
      <w:tr>
        <w:trPr>
          <w:cantSplit/>
        </w:trPr>
        <w:tc>
          <w:tcPr>
            <w:tcW w:w="6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w:t>
            </w:r>
          </w:p>
        </w:tc>
        <w:tc>
          <w:tcPr>
            <w:tcW w:w="3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Регуляторный статус: аккредитация КБС, статус оператора биометрии, право регистрации в ЕБС</w:t>
            </w:r>
          </w:p>
        </w:tc>
        <w:tc>
          <w:tcPr>
            <w:tcW w:w="6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0,20</w:t>
            </w:r>
          </w:p>
        </w:tc>
        <w:tc>
          <w:tcPr>
            <w:tcW w:w="104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104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130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104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r>
      <w:tr>
        <w:trPr>
          <w:cantSplit/>
        </w:trPr>
        <w:tc>
          <w:tcPr>
            <w:tcW w:w="6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3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Заявленные точность и скорость распознавания</w:t>
            </w:r>
          </w:p>
        </w:tc>
        <w:tc>
          <w:tcPr>
            <w:tcW w:w="6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0,10</w:t>
            </w:r>
          </w:p>
        </w:tc>
        <w:tc>
          <w:tcPr>
            <w:tcW w:w="104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104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130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104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r>
      <w:tr>
        <w:trPr>
          <w:cantSplit/>
        </w:trPr>
        <w:tc>
          <w:tcPr>
            <w:tcW w:w="6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w:t>
            </w:r>
          </w:p>
        </w:tc>
        <w:tc>
          <w:tcPr>
            <w:tcW w:w="3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Независимая верификация точности (NIST FRTE, iBeta, CVPR)</w:t>
            </w:r>
          </w:p>
        </w:tc>
        <w:tc>
          <w:tcPr>
            <w:tcW w:w="6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0,10</w:t>
            </w:r>
          </w:p>
        </w:tc>
        <w:tc>
          <w:tcPr>
            <w:tcW w:w="104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104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130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104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r>
      <w:tr>
        <w:trPr>
          <w:cantSplit/>
        </w:trPr>
        <w:tc>
          <w:tcPr>
            <w:tcW w:w="6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3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Продуктовая линейка под B2B и B2G сценарии</w:t>
            </w:r>
          </w:p>
        </w:tc>
        <w:tc>
          <w:tcPr>
            <w:tcW w:w="6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0,15</w:t>
            </w:r>
          </w:p>
        </w:tc>
        <w:tc>
          <w:tcPr>
            <w:tcW w:w="104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104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w:t>
            </w:r>
          </w:p>
        </w:tc>
        <w:tc>
          <w:tcPr>
            <w:tcW w:w="130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104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r>
      <w:tr>
        <w:trPr>
          <w:cantSplit/>
        </w:trPr>
        <w:tc>
          <w:tcPr>
            <w:tcW w:w="6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3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Географический охват и референсная база</w:t>
            </w:r>
          </w:p>
        </w:tc>
        <w:tc>
          <w:tcPr>
            <w:tcW w:w="6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0,10</w:t>
            </w:r>
          </w:p>
        </w:tc>
        <w:tc>
          <w:tcPr>
            <w:tcW w:w="104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w:t>
            </w:r>
          </w:p>
        </w:tc>
        <w:tc>
          <w:tcPr>
            <w:tcW w:w="104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130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104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r>
      <w:tr>
        <w:trPr>
          <w:cantSplit/>
        </w:trPr>
        <w:tc>
          <w:tcPr>
            <w:tcW w:w="6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w:t>
            </w:r>
          </w:p>
        </w:tc>
        <w:tc>
          <w:tcPr>
            <w:tcW w:w="3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Банковская и инфраструктурная экосистема</w:t>
            </w:r>
          </w:p>
        </w:tc>
        <w:tc>
          <w:tcPr>
            <w:tcW w:w="6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0,15</w:t>
            </w:r>
          </w:p>
        </w:tc>
        <w:tc>
          <w:tcPr>
            <w:tcW w:w="104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104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130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w:t>
            </w:r>
          </w:p>
        </w:tc>
        <w:tc>
          <w:tcPr>
            <w:tcW w:w="104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r>
      <w:tr>
        <w:trPr>
          <w:cantSplit/>
        </w:trPr>
        <w:tc>
          <w:tcPr>
            <w:tcW w:w="6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w:t>
            </w:r>
          </w:p>
        </w:tc>
        <w:tc>
          <w:tcPr>
            <w:tcW w:w="3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Собственный аппаратный стек</w:t>
            </w:r>
          </w:p>
        </w:tc>
        <w:tc>
          <w:tcPr>
            <w:tcW w:w="6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0,05</w:t>
            </w:r>
          </w:p>
        </w:tc>
        <w:tc>
          <w:tcPr>
            <w:tcW w:w="104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104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130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w:t>
            </w:r>
          </w:p>
        </w:tc>
        <w:tc>
          <w:tcPr>
            <w:tcW w:w="104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r>
      <w:tr>
        <w:trPr>
          <w:cantSplit/>
        </w:trPr>
        <w:tc>
          <w:tcPr>
            <w:tcW w:w="6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w:t>
            </w:r>
          </w:p>
        </w:tc>
        <w:tc>
          <w:tcPr>
            <w:tcW w:w="3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Антифрод-функциональность: детекция дипфейков, антиспуфинг</w:t>
            </w:r>
          </w:p>
        </w:tc>
        <w:tc>
          <w:tcPr>
            <w:tcW w:w="6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0,15</w:t>
            </w:r>
          </w:p>
        </w:tc>
        <w:tc>
          <w:tcPr>
            <w:tcW w:w="104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104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130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104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r>
      <w:tr>
        <w:trPr>
          <w:cantSplit/>
        </w:trPr>
        <w:tc>
          <w:tcPr>
            <w:tcW w:w="6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3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**Сумма баллов**</w:t>
            </w:r>
          </w:p>
        </w:tc>
        <w:tc>
          <w:tcPr>
            <w:tcW w:w="6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04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**27**</w:t>
            </w:r>
          </w:p>
        </w:tc>
        <w:tc>
          <w:tcPr>
            <w:tcW w:w="104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**30**</w:t>
            </w:r>
          </w:p>
        </w:tc>
        <w:tc>
          <w:tcPr>
            <w:tcW w:w="130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**35**</w:t>
            </w:r>
          </w:p>
        </w:tc>
        <w:tc>
          <w:tcPr>
            <w:tcW w:w="104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**30**</w:t>
            </w:r>
          </w:p>
        </w:tc>
      </w:tr>
      <w:tr>
        <w:trPr>
          <w:cantSplit/>
        </w:trPr>
        <w:tc>
          <w:tcPr>
            <w:tcW w:w="6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3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**Взвешенный итоговый балл**</w:t>
            </w:r>
          </w:p>
        </w:tc>
        <w:tc>
          <w:tcPr>
            <w:tcW w:w="6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1,00</w:t>
            </w:r>
          </w:p>
        </w:tc>
        <w:tc>
          <w:tcPr>
            <w:tcW w:w="104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**3,65**</w:t>
            </w:r>
          </w:p>
        </w:tc>
        <w:tc>
          <w:tcPr>
            <w:tcW w:w="104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**4,00**</w:t>
            </w:r>
          </w:p>
        </w:tc>
        <w:tc>
          <w:tcPr>
            <w:tcW w:w="130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**4,40**</w:t>
            </w:r>
          </w:p>
        </w:tc>
        <w:tc>
          <w:tcPr>
            <w:tcW w:w="104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**3,65**</w:t>
            </w:r>
          </w:p>
        </w:tc>
      </w:tr>
    </w:tbl>
    <w:p>
      <w:pPr>
        <w:spacing w:before="0" w:after="20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i/>
          <w:iCs/>
          <w:color w:val="000000"/>
          <w:sz w:val="24"/>
          <w:szCs w:val="24"/>
          <w:lang w:val="ru-RU"/>
        </w:rPr>
        <w:t xml:space="preserve">Источник: </w:t>
      </w:r>
      <w:r>
        <w:rPr>
          <w:rFonts w:ascii="Times New Roman" w:hAnsi="Times New Roman" w:cs="Times New Roman" w:eastAsia="Times New Roman"/>
          <w:color w:val="000000"/>
          <w:sz w:val="24"/>
          <w:szCs w:val="24"/>
          <w:lang w:val="ru-RU"/>
        </w:rPr>
        <w:t xml:space="preserve">оценки автора по данным [27; 28, с. 17, 33; 32; 36; 37; 39]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Расчёт даёт три наблюдения. Первое — суммарное лидерство по взвешенному баллу принадлежит VisionLabs за счёт независимой верификации алгоритмов в международных рейтингах и широкой продуктовой линейки по форм-факторам [37]. Второе — Сбер удерживает вторую позицию благодаря масштабу присутствия и многоконтурной антифрод-защите, но проигрывает VisionLabs по широте продуктовых сценариев и формальной верификации точности [32]. Третье — Face2 и OVISION делят третью позицию с равным взвешенным баллом 3,65 при принципиально разных профилях сильных сторон: Face2 набирает максимум по регуляторному статусу и банковской экосистеме (по 5 баллов), OVISION — по собственному аппаратному стеку и заявленным техническим характеристикам (по 5 баллов) [27; 39].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Картина меняется при перенастройке весов под целевой сегмент Face2 — заказчиков B2B и B2G со сценариями работы с физическими лицами через ЕБС внутри банковской экосистемы. В сегментной конфигурации регуляторный статус и банковская экосистема выходят на первый план, а второстепенные для этого сегмента критерии — географический охват, собственный аппаратный стек, заявленные технические характеристики и независимая верификация точности — понижаются до минимального веса 0,05. Балльные оценки игроков по каждому критерию остаются прежними: они отражают объективные характеристики решений по источникам и не зависят от выбранного сегмента. Меняются только веса. Результаты сегментного расчёта собраны в таблице 2.2.9.</w:t>
      </w:r>
    </w:p>
    <w:p>
      <w:pPr>
        <w:keepNext/>
        <w:keepLines/>
        <w:spacing w:before="12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Таблица 2.2.9</w:t>
      </w:r>
    </w:p>
    <w:p>
      <w:pPr>
        <w:keepNext/>
        <w:keepLines/>
        <w:spacing w:before="0" w:after="6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Балльная экспертная оценка под целевой сегмент Face2 — B2B и B2G-заказчики со сценариями работы с физическими лицами через ЕБС в банковской экосистеме</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43"/>
        <w:gridCol w:w="3646"/>
        <w:gridCol w:w="1215"/>
        <w:gridCol w:w="972"/>
        <w:gridCol w:w="972"/>
        <w:gridCol w:w="1215"/>
        <w:gridCol w:w="972"/>
      </w:tblGrid>
      <w:tr>
        <w:trPr>
          <w:tblHeader/>
          <w:cantSplit/>
        </w:trPr>
        <w:tc>
          <w:tcPr>
            <w:tcW w:w="643"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w:t>
            </w:r>
          </w:p>
        </w:tc>
        <w:tc>
          <w:tcPr>
            <w:tcW w:w="3646"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Критерий</w:t>
            </w:r>
          </w:p>
        </w:tc>
        <w:tc>
          <w:tcPr>
            <w:tcW w:w="121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Сегментный вес</w:t>
            </w:r>
          </w:p>
        </w:tc>
        <w:tc>
          <w:tcPr>
            <w:tcW w:w="972"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Face2</w:t>
            </w:r>
          </w:p>
        </w:tc>
        <w:tc>
          <w:tcPr>
            <w:tcW w:w="972"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Сбер</w:t>
            </w:r>
          </w:p>
        </w:tc>
        <w:tc>
          <w:tcPr>
            <w:tcW w:w="121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VisionLabs</w:t>
            </w:r>
          </w:p>
        </w:tc>
        <w:tc>
          <w:tcPr>
            <w:tcW w:w="972"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OVISION</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w:t>
            </w:r>
          </w:p>
        </w:tc>
        <w:tc>
          <w:tcPr>
            <w:tcW w:w="36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Регуляторный статус: аккредитация КБС, статус оператора биометрии, право регистрации в ЕБС</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0,30</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36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Заявленные точность и скорость распознавания</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0,05</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w:t>
            </w:r>
          </w:p>
        </w:tc>
        <w:tc>
          <w:tcPr>
            <w:tcW w:w="36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Независимая верификация точности (NIST FRTE, iBeta, CVPR)</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0,05</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36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Продуктовая линейка под B2B и B2G сценарии</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0,15</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36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Географический охват и референсная база</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0,05</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w:t>
            </w:r>
          </w:p>
        </w:tc>
        <w:tc>
          <w:tcPr>
            <w:tcW w:w="36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Банковская и инфраструктурная экосистема</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0,25</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w:t>
            </w:r>
          </w:p>
        </w:tc>
        <w:tc>
          <w:tcPr>
            <w:tcW w:w="36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Собственный аппаратный стек</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0,05</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w:t>
            </w:r>
          </w:p>
        </w:tc>
        <w:tc>
          <w:tcPr>
            <w:tcW w:w="36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Антифрод-функциональность: детекция дипфейков, антиспуфинг</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0,10</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36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**Взвешенный итоговый балл**</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1,00</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**4,10**</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**4,25**</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**4,10**</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**3,50**</w:t>
            </w:r>
          </w:p>
        </w:tc>
      </w:tr>
    </w:tbl>
    <w:p>
      <w:pPr>
        <w:spacing w:before="0" w:after="20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i/>
          <w:iCs/>
          <w:color w:val="000000"/>
          <w:sz w:val="24"/>
          <w:szCs w:val="24"/>
          <w:lang w:val="ru-RU"/>
        </w:rPr>
        <w:t xml:space="preserve">Источник: </w:t>
      </w:r>
      <w:r>
        <w:rPr>
          <w:rFonts w:ascii="Times New Roman" w:hAnsi="Times New Roman" w:cs="Times New Roman" w:eastAsia="Times New Roman"/>
          <w:color w:val="000000"/>
          <w:sz w:val="24"/>
          <w:szCs w:val="24"/>
          <w:lang w:val="ru-RU"/>
        </w:rPr>
        <w:t xml:space="preserve">оценки автора по данным [27; 28, с. 17, 33; 32; 36; 37; 39]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Лидерство по целевому сегменту удерживает Сбер за счёт федерального охвата и многоконтурной антифрод-защиты [32]. Face2 разделяет вторую позицию с VisionLabs, опережая OVISION на 0,60 балла за счёт регуляторного статуса банка-оператора биометрии и собственной банковской экосистемы [27; 28, с. 17, 33; 36]. Сопоставление таблиц 2.2.8 и 2.2.9 показывает главное смещение: VisionLabs теряет весь свой отрыв относительно второй позиции (с 0,40 до 0,00 балла), Сбер уплотняет лидерство, OVISION уходит дальше от группы лидеров, а Face2 поднимается с разделённой третьей позиции на разделённую вторую. Балльный расчёт подтверждает качественный вывод параграфа: Face2 не претендует на универсальное лидерство, но входит в группу лидеров своего целевого сегмента — B2B и B2G-заказчиков со смешанными сценариями платежей, прохода и подтверждения возраста на биометрии физических лиц через ЕБС.</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Конкурентная позиция Face2 на российском рынке биометрии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Жёсткая регуляторная рамка 572-ФЗ ограничивает круг операторов биометрии до организаций, аккредитованных Минцифры по правилам коммерческой биометрической системы, и до банков, имеющих статус оператора по № 115-ФЗ для регистрации биометрических векторов в ЕБС [33; 27; 36]. Внутри этого ограниченного поля и формируется позиция Face2: доступ к рынку открыт не всем игрокам подряд, а только держателям нужных формальных статусов, и каждый дополнительный статус превращается в барьер входа для новых конкурентов.</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Из проведённого анализа складывается чёткая конкурентная позиция Face2. На массовом B2C-биоэквайринге банк не конкурирует со Сбером по объёму, но имеет нишу для собственной базы клиентов в Татарстане и для пилотов с федеральными партнёрами (Минцифры, Минтранс, НСПК), которые работают как референсы для последующего масштабирования [28, с. 30–31]. Эта группа партнёров образует первую референтную базу федерального уровня: ни VisionLabs, ни OVISION такой связки одновременно с регулятором, транспортным оператором и национальной платёжной инфраструктурой публично не подтверждают [37; 39]. На технологическом слое банк не конкурирует с VisionLabs по верификации алгоритмов через международные рейтинги, но имеет преимущество в виде банковской экосистемы и права работать с биометрией физических лиц через ЕБС, которого у вендоров нет. На рынке полного цикла СКУД банк не конкурирует с OVISION по аппаратному стеку, но конкурирует напрямую в сегменте КБС под ключ — там, где B2B-клиенту нужна не просто биометрическая СКУД, а готовая коммерческая биометрическая система с банковской интеграцией. Это и есть собственный конкурентный сегмент Face2: B2B и B2G-заказчики со сценариями, в которых нужна одновременно работа с физическими лицами через ЕБС, банковская инфраструктура и продуктовая линейка под платежи, проход и подтверждение возраста.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Региональная база Татарстана работает в двух режимах одновременно. С одной стороны, она служит стартовой площадкой для отладки коммерческих сценариев на проектах банка — Карте жителя Республики Татарстан, мобильном приложении АК БАРС Online, СБП и собственной розничной сети [28, с. 17, 33]. С другой — ограничивает географический охват по сравнению со Сбером, который работает по всей стране [32], и с VisionLabs, представленной в 38 странах [37]. Подтверждённый ESG-статус и кредитные рейтинги уровня «A» по национальной шкале добавляют к этой региональной опоре отдельный репутационный слой и снимают часть барьеров доверия в сегменте B2G-заказчиков, для которых устойчивость поставщика биометрии входит в формальные требования закупки [28, с. 17, 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Целевые сегменты внутри этой позиции распределяются следующим образом. Первая группа — банки и МФО, выбирающие технологического партнёра для биоэквайринга и удалённой идентификации; здесь у Face2 преимущество в виде банковской экспертизы и понимания регуляторного контура изнутри [27]. Вторая группа — корпоративные заказчики со смешанным запросом (СКУД плюс платежи плюс подтверждение возраста в корпоративных сервисах); здесь Face2 выигрывает за счёт продуктовой вертикали, а OVISION — за счёт собственного оборудования. Третья группа — государственные и квазигосударственные организации с задачами биометрической идентификации граждан (центры предоставления услуг, транспортные операторы, библиотечные сети, гостиничный сектор); здесь решающим фактором становится статус банка-оператора по № 115-ФЗ и право работы с ЕБС, которые у Face2 есть, а у OVISION и VisionLabs — отсутствуют в полной форме.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Драйверы спроса в этой конфигурации действуют в пользу Face2 одновременно по нескольким направлениям. Регуляторное ужесточение после 420-ФЗ и 421-ФЗ вытесняет с рынка неаккредитованные локальные решения и концентрирует спрос на аккредитованных операторах [27]. Девятикратный годовой рост числа биометрических платежей и пятикратный рост оборота создают эффект повседневности, при котором отдельные сценарии оплаты лицом, прохода и заселения становятся для пользователя привычными — что снижает барьер доверия в новых сегментах [38]. Государственная инфраструктура ЕБС, оператором которой выступает АО «Центр биометрических технологий», централизует базу пользователей: к началу 2026 года в системе зарегистрированы более 10 млн человек, и для всех них дополнительный сервис на базе ЕБС не требует повторной сдачи биометрии [38; 42]. Барьеры спроса при этом сохраняются: психологический (страх утечки и невозможности отозвать сданный биометрический образец), организационный (стоимость интеграции с СКУД и ИТ-инфраструктурой заказчика), регуляторно-репутационный (риск штрафов до 1–3% годового дохода и уголовной ответственности при ошибках обращения с биометрией) [27]. Содержательно эти барьеры были подробно разобраны в параграфе 1.3 в составе пяти групп барьеров принятия биометрических технологий и не повторяются здесь.</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Полученная конкурентная карта формирует управленческую повестку для следующего параграфа. Поскольку Face2 имеет сильную регуляторную и инфраструктурную позицию, но при этом локальный масштаб коммерческого присутствия и недостаточно публичную доказательную базу точности, дальнейший анализ должен сосредоточиться не на технологических доработках, а на маркетинговых инструментах: на том, насколько текущее продвижение продукта соответствует уже занятой банком конкурентной нише, какие каналы коммуникации задействованы, какие реальные сегменты клиентов охвачены и где находятся пробелы в коммуникационной стратегии относительно сильных сторон, выявленных в этом параграфе. Этому посвящён параграф 2.3 — анализ текущего продвижения продукта Face2 и его позиции на рынке.</w:t>
      </w:r>
    </w:p>
    <w:p>
      <w:pPr>
        <w:spacing w:before="0" w:after="0" w:line="240" w:lineRule="auto"/>
        <w:jc w:val="both"/>
        <w:rPr>
          <w:rFonts w:ascii="Times New Roman" w:hAnsi="Times New Roman" w:cs="Times New Roman" w:eastAsia="Times New Roman"/>
          <w:sz w:val="28"/>
          <w:szCs w:val="28"/>
          <w:lang w:val="ru-RU"/>
        </w:rPr>
      </w:pPr>
    </w:p>
    <w:p>
      <w:pPr>
        <w:keepNext/>
        <w:keepLines/>
        <w:spacing w:before="24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2.3. Анализ текущего продвижения продукта и его позиции на рынке</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Постановка задачи и метод анализа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Параграф 2.2 закрылся фиксацией конкурентной позиции Face2 как банковского сервисного игрока с правом регистрации биометрических данных граждан в ЕБС, локальным масштабом коммерческого присутствия и недостаточно публичной доказательной базой точности. Управленческая повестка для настоящего параграфа сформулирована там же: проверить, насколько текущая практика продвижения Face2 соответствует уже занятой банком конкурентной нише, какие каналы коммуникации задействованы, какие сегменты клиентов охвачены и где находятся пробелы. Решение этой задачи строится не на новом теоретическом инструментарии, а на наложении уже введённого инструментария на эмпирику. Если 2.2 описывал, </w:t>
      </w:r>
      <w:r>
        <w:rPr>
          <w:rFonts w:ascii="Times New Roman" w:hAnsi="Times New Roman" w:cs="Times New Roman" w:eastAsia="Times New Roman"/>
          <w:i/>
          <w:iCs/>
          <w:color w:val="000000"/>
          <w:sz w:val="28"/>
          <w:szCs w:val="28"/>
          <w:lang w:val="ru-RU"/>
        </w:rPr>
        <w:t xml:space="preserve">где</w:t>
      </w:r>
      <w:r>
        <w:rPr>
          <w:rFonts w:ascii="Times New Roman" w:hAnsi="Times New Roman" w:cs="Times New Roman" w:eastAsia="Times New Roman"/>
          <w:color w:val="000000"/>
          <w:sz w:val="28"/>
          <w:szCs w:val="28"/>
          <w:lang w:val="ru-RU"/>
        </w:rPr>
        <w:t xml:space="preserve"> стоит Face2 на рынке, то 2.3 описывает, </w:t>
      </w:r>
      <w:r>
        <w:rPr>
          <w:rFonts w:ascii="Times New Roman" w:hAnsi="Times New Roman" w:cs="Times New Roman" w:eastAsia="Times New Roman"/>
          <w:i/>
          <w:iCs/>
          <w:color w:val="000000"/>
          <w:sz w:val="28"/>
          <w:szCs w:val="28"/>
          <w:lang w:val="ru-RU"/>
        </w:rPr>
        <w:t xml:space="preserve">как</w:t>
      </w:r>
      <w:r>
        <w:rPr>
          <w:rFonts w:ascii="Times New Roman" w:hAnsi="Times New Roman" w:cs="Times New Roman" w:eastAsia="Times New Roman"/>
          <w:color w:val="000000"/>
          <w:sz w:val="28"/>
          <w:szCs w:val="28"/>
          <w:lang w:val="ru-RU"/>
        </w:rPr>
        <w:t xml:space="preserve"> он туда обращается.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Метод анализа. Текущее продвижение Face2 рассматривается через четыре аналитические рамки, последовательно введённые в параграфах 1.2 и 1.3. Первая рамка — модель STP — задаёт сегментацию аудитории, выбор приоритетных сегментов и позиционирование. Вторая — расширенный комплекс маркетинга 7P — оценивает все семь элементов маркетинг-микса с особым весом People, Process и Physical evidence для биометрии. Третья — маркетинговая воронка с обязательным этапом «Доверие» — показывает, на каких этапах продвижения Face2 концентрирует усилия. Четвёртая — карта каналов из таблицы 1.2.5 в её биометрической конфигурации из параграфа 1.3 — фиксирует фактическую раскладку каналов. Эмпирическая база параграфа: корпоративные материалы по продукту [27], годовой отчёт банка за 2024 год [28], проектная карточка TAdviser о подключении АББ к ЕБС в 2018 году [40], перечень банков по № 115-ФЗ [36], а также рыночный фон по данным Банка России и деловой прессы [32; 38]. Часть открытых данных по продвижению — соцмедиа-активность под отдельным брендом Face2, программы FINOPOLIS, региональные публикации в «Реальном времени» и «Бизнес-Online» — на момент сборки параграфа недоступна и в текст вошла как описание отсутствия соответствующего контура коммуникации, а не как количественная оценка.</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Сегментация, таргетинг и позиционирование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Продуктовая линейка Face2, описанная в параграфе 2.1, формирует адресный набор сегментов: каждое из четырёх продуктов закрывает собственный тип заказчика и сценарий использования. На уровне коммуникации между заявленным продуктовым сегментом и реальной публичной активностью банка возможен зазор — продукт может быть выведен на рынок продуктово, но не выведен коммуникативно. Сопоставление шести сегментов рынка из таблицы 2.2.2 с тем, как они отыграны в публичных коммуникациях Face2, дано в таблице 2.3.1.</w:t>
      </w:r>
    </w:p>
    <w:p>
      <w:pPr>
        <w:keepNext/>
        <w:keepLines/>
        <w:spacing w:before="12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Таблица 2.3.1</w:t>
      </w:r>
    </w:p>
    <w:p>
      <w:pPr>
        <w:keepNext/>
        <w:keepLines/>
        <w:spacing w:before="0" w:after="6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Сегментная карта продвижения Face2: продуктовая декларация и реальная коммуникативная активность</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5"/>
        <w:gridCol w:w="1845"/>
        <w:gridCol w:w="3075"/>
        <w:gridCol w:w="820"/>
        <w:gridCol w:w="1640"/>
      </w:tblGrid>
      <w:tr>
        <w:trPr>
          <w:tblHeader/>
          <w:cantSplit/>
        </w:trPr>
        <w:tc>
          <w:tcPr>
            <w:tcW w:w="225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Сегмент рынка (по табл. 2.2.2)</w:t>
            </w:r>
          </w:p>
        </w:tc>
        <w:tc>
          <w:tcPr>
            <w:tcW w:w="184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Продукт линейки</w:t>
            </w:r>
          </w:p>
        </w:tc>
        <w:tc>
          <w:tcPr>
            <w:tcW w:w="307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Реальная коммуникативная активность Face2</w:t>
            </w:r>
          </w:p>
        </w:tc>
        <w:tc>
          <w:tcPr>
            <w:tcW w:w="820"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Источник</w:t>
            </w:r>
          </w:p>
        </w:tc>
        <w:tc>
          <w:tcPr>
            <w:tcW w:w="1640"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Тип активности</w:t>
            </w:r>
          </w:p>
        </w:tc>
      </w:tr>
      <w:tr>
        <w:trPr>
          <w:cantSplit/>
        </w:trPr>
        <w:tc>
          <w:tcPr>
            <w:tcW w:w="22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Финансовый сектор: B2C-биоэквайринг</w:t>
            </w:r>
          </w:p>
        </w:tc>
        <w:tc>
          <w:tcPr>
            <w:tcW w:w="184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w:t>
            </w:r>
          </w:p>
        </w:tc>
        <w:tc>
          <w:tcPr>
            <w:tcW w:w="30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Оплата по биометрии в мобильном приложении АБО</w:t>
            </w:r>
          </w:p>
        </w:tc>
        <w:tc>
          <w:tcPr>
            <w:tcW w:w="8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[28, с. 33]</w:t>
            </w:r>
          </w:p>
        </w:tc>
        <w:tc>
          <w:tcPr>
            <w:tcW w:w="16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Внутренний продукт</w:t>
            </w:r>
          </w:p>
        </w:tc>
      </w:tr>
      <w:tr>
        <w:trPr>
          <w:cantSplit/>
        </w:trPr>
        <w:tc>
          <w:tcPr>
            <w:tcW w:w="22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Финансовый сектор: B2B (КБС для банков и МФО)</w:t>
            </w:r>
          </w:p>
        </w:tc>
        <w:tc>
          <w:tcPr>
            <w:tcW w:w="184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КБС под ключ</w:t>
            </w:r>
          </w:p>
        </w:tc>
        <w:tc>
          <w:tcPr>
            <w:tcW w:w="30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Заявлена в линейке; публичных кейсов нет</w:t>
            </w:r>
          </w:p>
        </w:tc>
        <w:tc>
          <w:tcPr>
            <w:tcW w:w="8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[27]</w:t>
            </w:r>
          </w:p>
        </w:tc>
        <w:tc>
          <w:tcPr>
            <w:tcW w:w="16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Декларация</w:t>
            </w:r>
          </w:p>
        </w:tc>
      </w:tr>
      <w:tr>
        <w:trPr>
          <w:cantSplit/>
        </w:trPr>
        <w:tc>
          <w:tcPr>
            <w:tcW w:w="22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Транспорт</w:t>
            </w:r>
          </w:p>
        </w:tc>
        <w:tc>
          <w:tcPr>
            <w:tcW w:w="184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w:t>
            </w:r>
          </w:p>
        </w:tc>
        <w:tc>
          <w:tcPr>
            <w:tcW w:w="30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Биоэквайринг через СБП в Казанском метро (с Минцифры, Минтрансом, ЦБТ, НСПК)</w:t>
            </w:r>
          </w:p>
        </w:tc>
        <w:tc>
          <w:tcPr>
            <w:tcW w:w="8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[28, с. 30–31]</w:t>
            </w:r>
          </w:p>
        </w:tc>
        <w:tc>
          <w:tcPr>
            <w:tcW w:w="16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Действующий пилот</w:t>
            </w:r>
          </w:p>
        </w:tc>
      </w:tr>
      <w:tr>
        <w:trPr>
          <w:cantSplit/>
        </w:trPr>
        <w:tc>
          <w:tcPr>
            <w:tcW w:w="22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Государственная идентификация / B2G</w:t>
            </w:r>
          </w:p>
        </w:tc>
        <w:tc>
          <w:tcPr>
            <w:tcW w:w="184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КБС под ключ</w:t>
            </w:r>
          </w:p>
        </w:tc>
        <w:tc>
          <w:tcPr>
            <w:tcW w:w="30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Карта жителя РТ — 450 131 карта на 01.01.2025; биометрию можно сдать в приложении</w:t>
            </w:r>
          </w:p>
        </w:tc>
        <w:tc>
          <w:tcPr>
            <w:tcW w:w="8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[28, с. 28–29]</w:t>
            </w:r>
          </w:p>
        </w:tc>
        <w:tc>
          <w:tcPr>
            <w:tcW w:w="16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Действующий пилот</w:t>
            </w:r>
          </w:p>
        </w:tc>
      </w:tr>
      <w:tr>
        <w:trPr>
          <w:cantSplit/>
        </w:trPr>
        <w:tc>
          <w:tcPr>
            <w:tcW w:w="22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СКУД: внутренний контур</w:t>
            </w:r>
          </w:p>
        </w:tc>
        <w:tc>
          <w:tcPr>
            <w:tcW w:w="184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Face2Pass + Face2Pass.Terminal</w:t>
            </w:r>
          </w:p>
        </w:tc>
        <w:tc>
          <w:tcPr>
            <w:tcW w:w="30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5 000+ сотрудников АББ; 200 биотерминалов; внешние внедрения 200/500/5 000/15 000 векторов</w:t>
            </w:r>
          </w:p>
        </w:tc>
        <w:tc>
          <w:tcPr>
            <w:tcW w:w="8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[27]</w:t>
            </w:r>
          </w:p>
        </w:tc>
        <w:tc>
          <w:tcPr>
            <w:tcW w:w="16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Производственный кейс</w:t>
            </w:r>
          </w:p>
        </w:tc>
      </w:tr>
      <w:tr>
        <w:trPr>
          <w:cantSplit/>
        </w:trPr>
        <w:tc>
          <w:tcPr>
            <w:tcW w:w="22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СКУД: внешние коммерческие</w:t>
            </w:r>
          </w:p>
        </w:tc>
        <w:tc>
          <w:tcPr>
            <w:tcW w:w="184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Face2Pass</w:t>
            </w:r>
          </w:p>
        </w:tc>
        <w:tc>
          <w:tcPr>
            <w:tcW w:w="30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Возможность заявлена, конкретные кейсы не названы</w:t>
            </w:r>
          </w:p>
        </w:tc>
        <w:tc>
          <w:tcPr>
            <w:tcW w:w="8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[27]</w:t>
            </w:r>
          </w:p>
        </w:tc>
        <w:tc>
          <w:tcPr>
            <w:tcW w:w="16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Декларация</w:t>
            </w:r>
          </w:p>
        </w:tc>
      </w:tr>
      <w:tr>
        <w:trPr>
          <w:cantSplit/>
        </w:trPr>
        <w:tc>
          <w:tcPr>
            <w:tcW w:w="22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Ритейл / возрастная верификация</w:t>
            </w:r>
          </w:p>
        </w:tc>
        <w:tc>
          <w:tcPr>
            <w:tcW w:w="184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Face2Check-in</w:t>
            </w:r>
          </w:p>
        </w:tc>
        <w:tc>
          <w:tcPr>
            <w:tcW w:w="30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Заявлен в 2025 году, кейсов нет</w:t>
            </w:r>
          </w:p>
        </w:tc>
        <w:tc>
          <w:tcPr>
            <w:tcW w:w="8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[27]</w:t>
            </w:r>
          </w:p>
        </w:tc>
        <w:tc>
          <w:tcPr>
            <w:tcW w:w="16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Декларация</w:t>
            </w:r>
          </w:p>
        </w:tc>
      </w:tr>
      <w:tr>
        <w:trPr>
          <w:cantSplit/>
        </w:trPr>
        <w:tc>
          <w:tcPr>
            <w:tcW w:w="22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Гостиничный сектор</w:t>
            </w:r>
          </w:p>
        </w:tc>
        <w:tc>
          <w:tcPr>
            <w:tcW w:w="184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Face2Check-in</w:t>
            </w:r>
          </w:p>
        </w:tc>
        <w:tc>
          <w:tcPr>
            <w:tcW w:w="30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Заявлено заселение без паспорта, кейсов нет</w:t>
            </w:r>
          </w:p>
        </w:tc>
        <w:tc>
          <w:tcPr>
            <w:tcW w:w="8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[27]</w:t>
            </w:r>
          </w:p>
        </w:tc>
        <w:tc>
          <w:tcPr>
            <w:tcW w:w="16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Декларация</w:t>
            </w:r>
          </w:p>
        </w:tc>
      </w:tr>
      <w:tr>
        <w:trPr>
          <w:cantSplit/>
        </w:trPr>
        <w:tc>
          <w:tcPr>
            <w:tcW w:w="22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Социально-культурный</w:t>
            </w:r>
          </w:p>
        </w:tc>
        <w:tc>
          <w:tcPr>
            <w:tcW w:w="184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Face2Pass</w:t>
            </w:r>
          </w:p>
        </w:tc>
        <w:tc>
          <w:tcPr>
            <w:tcW w:w="30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Электронный читательский билет — вход в Нацбиблиотеку РТ по биометрии</w:t>
            </w:r>
          </w:p>
        </w:tc>
        <w:tc>
          <w:tcPr>
            <w:tcW w:w="8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[28, с. 29]</w:t>
            </w:r>
          </w:p>
        </w:tc>
        <w:tc>
          <w:tcPr>
            <w:tcW w:w="16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Действующий пилот</w:t>
            </w:r>
          </w:p>
        </w:tc>
      </w:tr>
      <w:tr>
        <w:trPr>
          <w:cantSplit/>
        </w:trPr>
        <w:tc>
          <w:tcPr>
            <w:tcW w:w="22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Биоэквайринг через СБП на POS</w:t>
            </w:r>
          </w:p>
        </w:tc>
        <w:tc>
          <w:tcPr>
            <w:tcW w:w="184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w:t>
            </w:r>
          </w:p>
        </w:tc>
        <w:tc>
          <w:tcPr>
            <w:tcW w:w="30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Запущен пилот</w:t>
            </w:r>
          </w:p>
        </w:tc>
        <w:tc>
          <w:tcPr>
            <w:tcW w:w="8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[28, с. 31]</w:t>
            </w:r>
          </w:p>
        </w:tc>
        <w:tc>
          <w:tcPr>
            <w:tcW w:w="16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w:t>
            </w:r>
          </w:p>
        </w:tc>
      </w:tr>
    </w:tbl>
    <w:p>
      <w:pPr>
        <w:spacing w:before="0" w:after="20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i/>
          <w:iCs/>
          <w:color w:val="000000"/>
          <w:sz w:val="24"/>
          <w:szCs w:val="24"/>
          <w:lang w:val="ru-RU"/>
        </w:rPr>
        <w:t xml:space="preserve">Источник: </w:t>
      </w:r>
      <w:r>
        <w:rPr>
          <w:rFonts w:ascii="Times New Roman" w:hAnsi="Times New Roman" w:cs="Times New Roman" w:eastAsia="Times New Roman"/>
          <w:color w:val="000000"/>
          <w:sz w:val="24"/>
          <w:szCs w:val="24"/>
          <w:lang w:val="ru-RU"/>
        </w:rPr>
        <w:t xml:space="preserve">составлено автором по данным [27; 28, с. 28–33]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Сопоставление в таблице 2.3.1 показывает, что из шести сегментов рынка коммуникативно активно охвачены четыре — финансовый, транспортный, государственный (через социальную инфраструктуру РТ) и СКУД (через внутренний контур банка). Сегменты «гостиничный» и «возрастная верификация в ритейле» заявлены в продуктовой линейке, но публичные референсные кейсы по ним отсутствуют. Это первый зафиксированный пробел продвижения — сегментный.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Таргетинг продвижения сосредоточен по двум осям. Географическая ось — Республика Татарстан плюс точечные федеральные пилоты в связке с Минцифры РФ, Минтрансом РФ, Центром биометрических технологий и Национальной системой платёжных карт [28, с. 30–31]. По оси типа заказчика основные ресурсы направлены на B2B и B2G, а массовый B2C-сегмент охвачен только через банковскую экосистему в пределах Татарстана: мобильное приложение Ак Барс Онлайн с 930 тыс. активных пользователей и 12 млн транзакций за 2024 год, мобильное приложение «Карта жителя РТ» с более чем 100 тыс. пользователей и портал государственных услуг РТ через СБП с 1,2 млн транзакций за тот же год [28, с. 17, 28–29, 33]. Эта концентрация одновременно использует региональное преимущество (банк опирается на естественное доверие к региональному институту в Татарстане) и ограничивает рыночный охват за пределами региона.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Позиционирование Face2 в открытых коммуникациях опирается на четыре содержательных оси. Регуляторный статус: оператор КБС с аккредитацией Минцифры решением № 4-А от 15 ноября 2023 года, сертификация ФСБ и ФСТЭК, реестр отечественного программного обеспечения [27]. Архитектурная безопасность: хранение биометрических векторов в ГИС ЕБС, криптозащита, опора на государственную инфраструктуру, а не на собственную базу данных [27]. Технологичность: заявленная точность распознавания 99,5%, среднее время сканирования около двух секунд при благоприятных условиях [27]. Противопоставление: «локальные биометрии нарушают 572-ФЗ, не сертифицированы ФСБ и не обеспечивают защиты биометрических данных» [27]. Дополнительная опорная ось — ассоциация с банковской инфраструктурой АББ: рейтинги «A» по национальной шкале, ESG-A, статус оператора по № 115-ФЗ под номером 101 в перечне Банка России на 04 мая 2026 года [28, с. 4; 36]. Содержательно это позиционирование точно соответствует конкурентной нише, выявленной в параграфе 2.2 как пересечение трёх условий — банковской экосистемы, права работать с биометрией физических лиц через ЕБС и продуктовой линейки под платежи, проход и подтверждение возраста.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Однако исходная маркетинговая гипотеза, на которой строилось и продолжает строиться продвижение, зафиксирована в публичном комментарии руководителя проектного офиса инновационного развития АББ Дамира Галиева в TAdviser от 10 июля 2018 года. Тогда банк ожидал «роста интереса клиентов по мере развития сервиса, в первую очередь среди любителей инноваций», а массовый спрос рассчитывал получить «по мере планомерного перевода государственных услуг в систему ЕСИА» [40]. По существу это гипотеза органического спроса: банк не вкладывается в активное формирование рынка, а ждёт, когда регулятор и инфраструктура сформируют его сами. К 2024–2026 годам эта гипотеза рынком уже не подтверждается. Количество биометрических платежей в России за 9 месяцев 2025 года выросло в 9 раз к аналогичному периоду 2024 года, до 145,9 млн операций; денежный оборот — почти в 5 раз, до 112,5 млрд рублей; в ЕБС зарегистрированы более 10 млн пользователей [38]. Это рынок не зреющего, а уже зрелого спроса с активной конкурентной борьбой за долю, и пассивная стратегия органического притяжения проигрывает активной стратегии Сбера, нарастившего парк терминалов до 700 тыс. и оборот до 116 млрд рублей за 2025 год [32]. Несоответствие между фазой рынка и исходной маркетинговой гипотезой банка — фундаментальная характеристика текущего продвижения Face2, к которой возвращают и последующие подразделы.</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Инвентаризация каналов продвижения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Сетка каналов из таблицы 1.2.5 в параграфе 1.3 переконфигурирована для биометрии: вес массовой рекламы снижен, удельный вес образовательно-демонстрационных и экспертных форматов повышен, push в B2B/B2G сочетается с pull в B2C при первичности push. Инвентаризация каналов Face2 по этой сетке дана в таблице 2.3.2.</w:t>
      </w:r>
    </w:p>
    <w:p>
      <w:pPr>
        <w:keepNext/>
        <w:keepLines/>
        <w:spacing w:before="12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Таблица 2.3.2</w:t>
      </w:r>
    </w:p>
    <w:p>
      <w:pPr>
        <w:keepNext/>
        <w:keepLines/>
        <w:spacing w:before="0" w:after="6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Инвентаризация каналов продвижения Face2</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07"/>
        <w:gridCol w:w="2207"/>
        <w:gridCol w:w="2207"/>
        <w:gridCol w:w="809"/>
        <w:gridCol w:w="2207"/>
      </w:tblGrid>
      <w:tr>
        <w:trPr>
          <w:tblHeader/>
          <w:cantSplit/>
        </w:trPr>
        <w:tc>
          <w:tcPr>
            <w:tcW w:w="2207"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Канал из табл. 1.2.5</w:t>
            </w:r>
          </w:p>
        </w:tc>
        <w:tc>
          <w:tcPr>
            <w:tcW w:w="2207"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Реализация у Face2</w:t>
            </w:r>
          </w:p>
        </w:tc>
        <w:tc>
          <w:tcPr>
            <w:tcW w:w="2207"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Метрика / факт</w:t>
            </w:r>
          </w:p>
        </w:tc>
        <w:tc>
          <w:tcPr>
            <w:tcW w:w="80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Источник</w:t>
            </w:r>
          </w:p>
        </w:tc>
        <w:tc>
          <w:tcPr>
            <w:tcW w:w="2207"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Оценка</w:t>
            </w:r>
          </w:p>
        </w:tc>
      </w:tr>
      <w:tr>
        <w:trPr>
          <w:cantSplit/>
        </w:trPr>
        <w:tc>
          <w:tcPr>
            <w:tcW w:w="22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Внутренний контур банка как «послы бренда»</w:t>
            </w:r>
          </w:p>
        </w:tc>
        <w:tc>
          <w:tcPr>
            <w:tcW w:w="22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Сотрудники-пользователи продукта</w:t>
            </w:r>
          </w:p>
        </w:tc>
        <w:tc>
          <w:tcPr>
            <w:tcW w:w="22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5 000+ сотрудников АББ; 200 биотерминалов</w:t>
            </w:r>
          </w:p>
        </w:tc>
        <w:tc>
          <w:tcPr>
            <w:tcW w:w="8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[27]</w:t>
            </w:r>
          </w:p>
        </w:tc>
        <w:tc>
          <w:tcPr>
            <w:tcW w:w="22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сильный</w:t>
            </w:r>
          </w:p>
        </w:tc>
      </w:tr>
      <w:tr>
        <w:trPr>
          <w:cantSplit/>
        </w:trPr>
        <w:tc>
          <w:tcPr>
            <w:tcW w:w="22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Партнёрские каналы федерального уровня</w:t>
            </w:r>
          </w:p>
        </w:tc>
        <w:tc>
          <w:tcPr>
            <w:tcW w:w="22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Связка Минцифры + Минтранс + ЦБТ + НСПК в одном проекте; АО «Социальная карта» по Карте жителя РТ; Ростелеком (подключение к ЕБС в 2018 г.)</w:t>
            </w:r>
          </w:p>
        </w:tc>
        <w:tc>
          <w:tcPr>
            <w:tcW w:w="22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Биоэквайринг в Казанском метро как референс; 450 131 действующая Карта жителя РТ</w:t>
            </w:r>
          </w:p>
        </w:tc>
        <w:tc>
          <w:tcPr>
            <w:tcW w:w="8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[28, с. 28–31; 40]</w:t>
            </w:r>
          </w:p>
        </w:tc>
        <w:tc>
          <w:tcPr>
            <w:tcW w:w="22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сильный</w:t>
            </w:r>
          </w:p>
        </w:tc>
      </w:tr>
      <w:tr>
        <w:trPr>
          <w:cantSplit/>
        </w:trPr>
        <w:tc>
          <w:tcPr>
            <w:tcW w:w="22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Демонстрационные каналы</w:t>
            </w:r>
          </w:p>
        </w:tc>
        <w:tc>
          <w:tcPr>
            <w:tcW w:w="22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Пилоты в Казанском метро, Нацбиблиотеке РТ; биоэквайринг через СБП на POS, оплата в АБО, заселение в гостиницу</w:t>
            </w:r>
          </w:p>
        </w:tc>
        <w:tc>
          <w:tcPr>
            <w:tcW w:w="22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200 биотерминалов в офисах как постоянная демосеть</w:t>
            </w:r>
          </w:p>
        </w:tc>
        <w:tc>
          <w:tcPr>
            <w:tcW w:w="8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[27; 28, с. 29–31, 33]</w:t>
            </w:r>
          </w:p>
        </w:tc>
        <w:tc>
          <w:tcPr>
            <w:tcW w:w="22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сильный</w:t>
            </w:r>
          </w:p>
        </w:tc>
      </w:tr>
      <w:tr>
        <w:trPr>
          <w:cantSplit/>
        </w:trPr>
        <w:tc>
          <w:tcPr>
            <w:tcW w:w="22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Цифровые каналы банка как носитель Face2</w:t>
            </w:r>
          </w:p>
        </w:tc>
        <w:tc>
          <w:tcPr>
            <w:tcW w:w="22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Оплата по биометрии в АБО; сдача биометрии в приложении «Карта жителя РТ»; портал госуслуг РТ через СБП</w:t>
            </w:r>
          </w:p>
        </w:tc>
        <w:tc>
          <w:tcPr>
            <w:tcW w:w="22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930 тыс. активных в АБО, 12 млн транзакций за 2024 г.; 1,2 млн транзакций через СБП на портале госуслуг РТ</w:t>
            </w:r>
          </w:p>
        </w:tc>
        <w:tc>
          <w:tcPr>
            <w:tcW w:w="8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[28, с. 33]</w:t>
            </w:r>
          </w:p>
        </w:tc>
        <w:tc>
          <w:tcPr>
            <w:tcW w:w="22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 — Face2 встроен как функционал, не как самостоятельный бренд</w:t>
            </w:r>
          </w:p>
        </w:tc>
      </w:tr>
      <w:tr>
        <w:trPr>
          <w:cantSplit/>
        </w:trPr>
        <w:tc>
          <w:tcPr>
            <w:tcW w:w="22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Сайт продукта (face2.ru) и сайт банка</w:t>
            </w:r>
          </w:p>
        </w:tc>
        <w:tc>
          <w:tcPr>
            <w:tcW w:w="22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Сайт-визитка с описанием продукта; контакт продаж — Салахов А. А.</w:t>
            </w:r>
          </w:p>
        </w:tc>
        <w:tc>
          <w:tcPr>
            <w:tcW w:w="22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Состав сайта проверяется автором; формы заявки, ROI-калькулятора, витрины кейсов в открытых данных не зафиксировано</w:t>
            </w:r>
          </w:p>
        </w:tc>
        <w:tc>
          <w:tcPr>
            <w:tcW w:w="8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[27]</w:t>
            </w:r>
          </w:p>
        </w:tc>
        <w:tc>
          <w:tcPr>
            <w:tcW w:w="22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r>
      <w:tr>
        <w:trPr>
          <w:cantSplit/>
        </w:trPr>
        <w:tc>
          <w:tcPr>
            <w:tcW w:w="22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Прямые продажи (B2B/B2G)</w:t>
            </w:r>
          </w:p>
        </w:tc>
        <w:tc>
          <w:tcPr>
            <w:tcW w:w="22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Классическая B2B-модель через одного публичного контактного менеджера</w:t>
            </w:r>
          </w:p>
        </w:tc>
        <w:tc>
          <w:tcPr>
            <w:tcW w:w="22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Один публичный контакт продаж</w:t>
            </w:r>
          </w:p>
        </w:tc>
        <w:tc>
          <w:tcPr>
            <w:tcW w:w="8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[27]</w:t>
            </w:r>
          </w:p>
        </w:tc>
        <w:tc>
          <w:tcPr>
            <w:tcW w:w="22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 — эффективен при исходящем поиске, не утилизирует входящий интерес</w:t>
            </w:r>
          </w:p>
        </w:tc>
      </w:tr>
      <w:tr>
        <w:trPr>
          <w:cantSplit/>
        </w:trPr>
        <w:tc>
          <w:tcPr>
            <w:tcW w:w="22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 в деловых СМИ</w:t>
            </w:r>
          </w:p>
        </w:tc>
        <w:tc>
          <w:tcPr>
            <w:tcW w:w="22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Точечные релизы, преимущественно в татарстанских изданиях; в федеральной прессе АББ упомянут без отдельной редпрограммы</w:t>
            </w:r>
          </w:p>
        </w:tc>
        <w:tc>
          <w:tcPr>
            <w:tcW w:w="22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Один полнотекстовый материал федерального уровня — TAdviser (10.07.2018) [40]</w:t>
            </w:r>
          </w:p>
        </w:tc>
        <w:tc>
          <w:tcPr>
            <w:tcW w:w="8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[38; 40]</w:t>
            </w:r>
          </w:p>
        </w:tc>
        <w:tc>
          <w:tcPr>
            <w:tcW w:w="22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r>
      <w:tr>
        <w:trPr>
          <w:cantSplit/>
        </w:trPr>
        <w:tc>
          <w:tcPr>
            <w:tcW w:w="22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Отраслевые мероприятия (FINOPOLIS, конференции по биометрии)</w:t>
            </w:r>
          </w:p>
        </w:tc>
        <w:tc>
          <w:tcPr>
            <w:tcW w:w="22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Участие в форумах заявлено, программа выступлений по Face2 не верифицирована</w:t>
            </w:r>
          </w:p>
        </w:tc>
        <w:tc>
          <w:tcPr>
            <w:tcW w:w="22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Уточняется автором при финальной вёрстке</w:t>
            </w:r>
          </w:p>
        </w:tc>
        <w:tc>
          <w:tcPr>
            <w:tcW w:w="8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22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r>
      <w:tr>
        <w:trPr>
          <w:cantSplit/>
        </w:trPr>
        <w:tc>
          <w:tcPr>
            <w:tcW w:w="22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Соцсети под отдельным брендом Face2</w:t>
            </w:r>
          </w:p>
        </w:tc>
        <w:tc>
          <w:tcPr>
            <w:tcW w:w="22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Отдельных сообществ под брендом не зафиксировано; продукт идёт «внутри» аккаунтов АББ</w:t>
            </w:r>
          </w:p>
        </w:tc>
        <w:tc>
          <w:tcPr>
            <w:tcW w:w="22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Соцсети АББ описаны как канал работы с обращениями розничных клиентов в целом</w:t>
            </w:r>
          </w:p>
        </w:tc>
        <w:tc>
          <w:tcPr>
            <w:tcW w:w="8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[28, с. 33]</w:t>
            </w:r>
          </w:p>
        </w:tc>
        <w:tc>
          <w:tcPr>
            <w:tcW w:w="22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слабый</w:t>
            </w:r>
          </w:p>
        </w:tc>
      </w:tr>
      <w:tr>
        <w:trPr>
          <w:cantSplit/>
        </w:trPr>
        <w:tc>
          <w:tcPr>
            <w:tcW w:w="22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Контент-маркетинг и экспертная база</w:t>
            </w:r>
          </w:p>
        </w:tc>
        <w:tc>
          <w:tcPr>
            <w:tcW w:w="22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Разъяснения 572-ФЗ и схемы ГИС ЕБС → КБС → продукт точечно в корпматериалах; систематической рубрики нет</w:t>
            </w:r>
          </w:p>
        </w:tc>
        <w:tc>
          <w:tcPr>
            <w:tcW w:w="22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Для сравнения: VisionLabs ведёт блог на Habr [37], OVISION публикует кейсы РЖД, Мосэнергосбыта, Правительства Тульской области [39]</w:t>
            </w:r>
          </w:p>
        </w:tc>
        <w:tc>
          <w:tcPr>
            <w:tcW w:w="8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[27; 37; 39]</w:t>
            </w:r>
          </w:p>
        </w:tc>
        <w:tc>
          <w:tcPr>
            <w:tcW w:w="22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слабый</w:t>
            </w:r>
          </w:p>
        </w:tc>
      </w:tr>
    </w:tbl>
    <w:p>
      <w:pPr>
        <w:spacing w:before="0" w:after="20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i/>
          <w:iCs/>
          <w:color w:val="000000"/>
          <w:sz w:val="24"/>
          <w:szCs w:val="24"/>
          <w:lang w:val="ru-RU"/>
        </w:rPr>
        <w:t xml:space="preserve">Источник: </w:t>
      </w:r>
      <w:r>
        <w:rPr>
          <w:rFonts w:ascii="Times New Roman" w:hAnsi="Times New Roman" w:cs="Times New Roman" w:eastAsia="Times New Roman"/>
          <w:color w:val="000000"/>
          <w:sz w:val="24"/>
          <w:szCs w:val="24"/>
          <w:lang w:val="ru-RU"/>
        </w:rPr>
        <w:t xml:space="preserve">составлено автором по данным [27; 28, с. 28–33; 37; 38; 39; 40]</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Раскладка показывает, что у Face2 три канала развиты сильно, четыре — на среднем уровне, два — слабо или отсутствуют. В первой группе — внутренний контур банка (5 000+ сотрудников × 200 биотерминалов как естественный «полигон» отладки клиентского опыта и одновременно сообщество ранних последователей); партнёрские каналы федерального уровня (одновременная связка с Минцифры, Минтрансом, ЦБТ и НСПК в одном проекте не имеет публично подтверждённых аналогов на рынке — ни VisionLabs, ни OVISION такой комбинации не подтверждают [37; 39]); демонстрационные каналы внутри Татарстана как постоянно действующие точки потребительского контакта с продуктом. Это сильный push-контур.</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Во второй группе — корпоративный сайт продукта и сайт банка, прямые продажи через одного контактного менеджера, точечные публикации в деловых СМИ и неоформленное участие в отраслевых форумах. Эти каналы работают, но их интенсивность значительно ниже, чем у конкурентов. Канал прямых продаж работает по классической B2B-модели через одного контактного менеджера [27], что эффективно при активном исходящем поиске клиентов, но не утилизирует входящий интерес массовой аудитории. Сайт face2.ru представляет продукт, но автоматическая лидогенерация (форма заявки, ROI-калькулятор, чат-бот) и публичная витрина коммерческих кейсов в открытых данных не зафиксированы.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третьей группе — отсутствие отдельного бренда Face2 в социальных сетях и фрагментарность экспертного контента. В открытых данных годового отчёта АББ за 2024 год работа с социальными сетями описана как канал работы с обращениями розничных клиентов в целом по банку [28, с. 33], но систематических активностей под брендом Face2 — отдельного Telegram-канала, тематического раздела в YouTube, регулярных публикаций под единым хэштегом — публично не зафиксировано. Сравнительная база: VisionLabs ведёт корпоративный блог на Habr с регулярными техническими публикациями [37]; OVISION публикует кейсы внедрений в РЖД, Мосэнергосбыте, Правительстве Тульской области [39]; Сбер транслирует свою биометрию в массовых СМИ как «оплата улыбкой» с понятным потребительским названием [32]. У Face2 этот слой отсутствует.</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Главный вывод инвентаризации каналов: коммуникационная архитектура Face2 асимметрична — push-каналы (B2B/B2G, партнёрства, пилоты) работают сильно, pull-каналы (массовые СМИ за пределами Татарстана, отдельный бренд в социальных сетях, экспертный контент) фрагментарны. Эта асимметрия зеркально соответствует выводу параграфа 2.2 о локальном масштабе коммерческого присутствия: маркетинговая активность банка отражает географическую структуру его операций, а не потенциал рынка.</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Реализация комплекса маркетинга 7P</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Конфигурация 7P для биометрии, выведенная в параграфе 1.3, предполагает непропорционально высокий вес элементов People, Process и Physical evidence — именно они закрывают психологический и регуляторно-репутационный барьеры сильнее, чем элементы Promotion и Price в их классической форме. Сопоставление этой конфигурации с реальной практикой Face2 дано в таблице 2.3.3.</w:t>
      </w:r>
    </w:p>
    <w:p>
      <w:pPr>
        <w:keepNext/>
        <w:keepLines/>
        <w:spacing w:before="12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Таблица 2.3.3</w:t>
      </w:r>
    </w:p>
    <w:p>
      <w:pPr>
        <w:keepNext/>
        <w:keepLines/>
        <w:spacing w:before="0" w:after="6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Реализация комплекса маркетинга 7P в продвижении Face2</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88"/>
        <w:gridCol w:w="2628"/>
        <w:gridCol w:w="2628"/>
        <w:gridCol w:w="963"/>
        <w:gridCol w:w="2628"/>
      </w:tblGrid>
      <w:tr>
        <w:trPr>
          <w:tblHeader/>
          <w:cantSplit/>
        </w:trPr>
        <w:tc>
          <w:tcPr>
            <w:tcW w:w="788"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Элемент 7P</w:t>
            </w:r>
          </w:p>
        </w:tc>
        <w:tc>
          <w:tcPr>
            <w:tcW w:w="2628"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Что должно быть для биометрии (по 1.3)</w:t>
            </w:r>
          </w:p>
        </w:tc>
        <w:tc>
          <w:tcPr>
            <w:tcW w:w="2628"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Реализация у Face2</w:t>
            </w:r>
          </w:p>
        </w:tc>
        <w:tc>
          <w:tcPr>
            <w:tcW w:w="963"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Источник</w:t>
            </w:r>
          </w:p>
        </w:tc>
        <w:tc>
          <w:tcPr>
            <w:tcW w:w="2628"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Оценка / пробел</w:t>
            </w:r>
          </w:p>
        </w:tc>
      </w:tr>
      <w:tr>
        <w:trPr>
          <w:cantSplit/>
        </w:trPr>
        <w:tc>
          <w:tcPr>
            <w:tcW w:w="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Product</w:t>
            </w:r>
          </w:p>
        </w:tc>
        <w:tc>
          <w:tcPr>
            <w:tcW w:w="262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Продуктовая вертикаль под банковский сценарий</w:t>
            </w:r>
          </w:p>
        </w:tc>
        <w:tc>
          <w:tcPr>
            <w:tcW w:w="262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 Face2Pass + Face2Pass.Terminal, Face2Check-in, КБС под ключ; видеоаналитика (драки, упавшие люди, оружие, автономера, подсчёт людей)</w:t>
            </w:r>
          </w:p>
        </w:tc>
        <w:tc>
          <w:tcPr>
            <w:tcW w:w="96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[27]</w:t>
            </w:r>
          </w:p>
        </w:tc>
        <w:tc>
          <w:tcPr>
            <w:tcW w:w="262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сильно; пробел — нет публичного решения по детекции дипфейков, тогда как у конкурентов антифрод вынесен в коммуникацию [32; 37; 39]</w:t>
            </w:r>
          </w:p>
        </w:tc>
      </w:tr>
      <w:tr>
        <w:trPr>
          <w:cantSplit/>
        </w:trPr>
        <w:tc>
          <w:tcPr>
            <w:tcW w:w="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Price</w:t>
            </w:r>
          </w:p>
        </w:tc>
        <w:tc>
          <w:tcPr>
            <w:tcW w:w="262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Прозрачные коммерческие условия для B2B</w:t>
            </w:r>
          </w:p>
        </w:tc>
        <w:tc>
          <w:tcPr>
            <w:tcW w:w="262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Цена не раскрывается; ROI-калькулятор отсутствует</w:t>
            </w:r>
          </w:p>
        </w:tc>
        <w:tc>
          <w:tcPr>
            <w:tcW w:w="96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[27]</w:t>
            </w:r>
          </w:p>
        </w:tc>
        <w:tc>
          <w:tcPr>
            <w:tcW w:w="262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слабо — каждое B2B-обращение начинается с нуля</w:t>
            </w:r>
          </w:p>
        </w:tc>
      </w:tr>
      <w:tr>
        <w:trPr>
          <w:cantSplit/>
        </w:trPr>
        <w:tc>
          <w:tcPr>
            <w:tcW w:w="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Place</w:t>
            </w:r>
          </w:p>
        </w:tc>
        <w:tc>
          <w:tcPr>
            <w:tcW w:w="262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География + интеграция в инфраструктуру заказчика</w:t>
            </w:r>
          </w:p>
        </w:tc>
        <w:tc>
          <w:tcPr>
            <w:tcW w:w="262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Татарстан + федеральные пилоты</w:t>
            </w:r>
          </w:p>
        </w:tc>
        <w:tc>
          <w:tcPr>
            <w:tcW w:w="96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[28, с. 28–33]</w:t>
            </w:r>
          </w:p>
        </w:tc>
        <w:tc>
          <w:tcPr>
            <w:tcW w:w="262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средне — публичной витрины кейсов вне РТ нет</w:t>
            </w:r>
          </w:p>
        </w:tc>
      </w:tr>
      <w:tr>
        <w:trPr>
          <w:cantSplit/>
        </w:trPr>
        <w:tc>
          <w:tcPr>
            <w:tcW w:w="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Promotion</w:t>
            </w:r>
          </w:p>
        </w:tc>
        <w:tc>
          <w:tcPr>
            <w:tcW w:w="262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Образовательный контент, экспертные публикации, демонстрации</w:t>
            </w:r>
          </w:p>
        </w:tc>
        <w:tc>
          <w:tcPr>
            <w:tcW w:w="262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Пилоты, отдельные релизы, демозоны в офисах</w:t>
            </w:r>
          </w:p>
        </w:tc>
        <w:tc>
          <w:tcPr>
            <w:tcW w:w="96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[27; 28, с. 30–31]</w:t>
            </w:r>
          </w:p>
        </w:tc>
        <w:tc>
          <w:tcPr>
            <w:tcW w:w="262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средне — нет регулярного контент-конвейера и редпрограммы</w:t>
            </w:r>
          </w:p>
        </w:tc>
      </w:tr>
      <w:tr>
        <w:trPr>
          <w:cantSplit/>
        </w:trPr>
        <w:tc>
          <w:tcPr>
            <w:tcW w:w="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People</w:t>
            </w:r>
          </w:p>
        </w:tc>
        <w:tc>
          <w:tcPr>
            <w:tcW w:w="262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Публичные эксперты</w:t>
            </w:r>
          </w:p>
        </w:tc>
        <w:tc>
          <w:tcPr>
            <w:tcW w:w="262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Один публичный контакт продаж (Салахов А. А.) [27]; в TAdviser 2018 г. — Д. Галиев, рук. проектного офиса инновационного развития АББ [40]</w:t>
            </w:r>
          </w:p>
        </w:tc>
        <w:tc>
          <w:tcPr>
            <w:tcW w:w="96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[27; 40]</w:t>
            </w:r>
          </w:p>
        </w:tc>
        <w:tc>
          <w:tcPr>
            <w:tcW w:w="262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слабо — нет линейки спикеров (CISO, юрист по 572-ФЗ, продакт, разработка)</w:t>
            </w:r>
          </w:p>
        </w:tc>
      </w:tr>
      <w:tr>
        <w:trPr>
          <w:cantSplit/>
        </w:trPr>
        <w:tc>
          <w:tcPr>
            <w:tcW w:w="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Process</w:t>
            </w:r>
          </w:p>
        </w:tc>
        <w:tc>
          <w:tcPr>
            <w:tcW w:w="262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Простой пользовательский путь</w:t>
            </w:r>
          </w:p>
        </w:tc>
        <w:tc>
          <w:tcPr>
            <w:tcW w:w="262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Четыре шага: «Госуслуги Биометрия» → сдача упрощённой биометрии → согласие на использование вектора КБС АББ → проход / оплата</w:t>
            </w:r>
          </w:p>
        </w:tc>
        <w:tc>
          <w:tcPr>
            <w:tcW w:w="96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[27]</w:t>
            </w:r>
          </w:p>
        </w:tc>
        <w:tc>
          <w:tcPr>
            <w:tcW w:w="262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сильно содержательно, но узко по охвату — путь подробен в корпматериалах, не упакован для массового читателя</w:t>
            </w:r>
          </w:p>
        </w:tc>
      </w:tr>
      <w:tr>
        <w:trPr>
          <w:cantSplit/>
        </w:trPr>
        <w:tc>
          <w:tcPr>
            <w:tcW w:w="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Physical evidence</w:t>
            </w:r>
          </w:p>
        </w:tc>
        <w:tc>
          <w:tcPr>
            <w:tcW w:w="262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Сертификаты, рейтинги, кейсы, независимая верификация</w:t>
            </w:r>
          </w:p>
        </w:tc>
        <w:tc>
          <w:tcPr>
            <w:tcW w:w="262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КБС, аккредитация Минцифры (Решение № 4-А от 15.11.2023), ФСБ, ФСТЭК, реестр отечественного ПО, статус оператора по № 115-ФЗ (№ 101 в перечне Банка России), стаж в ЕБС с 10.07.2018, рейтинги «A», ESG-A</w:t>
            </w:r>
          </w:p>
        </w:tc>
        <w:tc>
          <w:tcPr>
            <w:tcW w:w="96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[27; 28, с. 4; 36; 40]</w:t>
            </w:r>
          </w:p>
        </w:tc>
        <w:tc>
          <w:tcPr>
            <w:tcW w:w="262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сильно по формальным признакам; пробел — нет независимой международной верификации точности (NIST FRTE, iBeta, CVPR), которой пользуется VisionLabs [37]</w:t>
            </w:r>
          </w:p>
        </w:tc>
      </w:tr>
    </w:tbl>
    <w:p>
      <w:pPr>
        <w:spacing w:before="0" w:after="20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i/>
          <w:iCs/>
          <w:color w:val="000000"/>
          <w:sz w:val="24"/>
          <w:szCs w:val="24"/>
          <w:lang w:val="ru-RU"/>
        </w:rPr>
        <w:t xml:space="preserve">Источник: </w:t>
      </w:r>
      <w:r>
        <w:rPr>
          <w:rFonts w:ascii="Times New Roman" w:hAnsi="Times New Roman" w:cs="Times New Roman" w:eastAsia="Times New Roman"/>
          <w:color w:val="000000"/>
          <w:sz w:val="24"/>
          <w:szCs w:val="24"/>
          <w:lang w:val="ru-RU"/>
        </w:rPr>
        <w:t xml:space="preserve">составлено автором по данным [27; 28, с. 4, 28–33; 32; 36; 37; 39; 40]</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Сопоставление в таблице 2.3.3 показывает, что Physical evidence — самый сильный элемент комплекса маркетинга Face2 по всем формальным признакам. Полный набор регуляторных статусов (КБС, ФСБ, ФСТЭК, реестр отечественного ПО, оператор биометрии под № 101 в перечне Банка России по № 115-ФЗ [36], шестилетний стаж в ЕБС с 10 июля 2018 года [40]) выводит Face2 в группу из менее чем двухсот банков страны, имеющих все необходимые формальные статусы для работы с биометрией физических лиц. Тем не менее этот регуляторный капитал транслируется в коммуникации преимущественно языком, понятным специалистам по информационной безопасности и юристам, а не массовой аудитории, и поэтому не конвертируется в массовое сообщение «доверие». Это контентный пробел, второй после сегментного.</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Элемент People в Face2 представлен одним публичным контактом продаж [27] и точечно — упоминанием руководителя проектного офиса инновационного развития АББ в публикации TAdviser 2018 года [40]. Линейка экспертных спикеров — главный CISO банка, юрист по 572-ФЗ, продакт-менеджер биометрии, представитель команды разработки — публично не оформлена. У VisionLabs, напротив, корпоративный блог на Habr ведут несколько технических экспертов, и каждое публичное выступление топ-менеджмента работает как Physical evidence для следующего корпоративного клиента [37]. Это пробел People — третий.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Элемент Process у Face2 проработан содержательно, но узко: четырёхшаговый пользовательский путь подключения (установка приложения «Госуслуги Биометрия» → сдача упрощённой биометрии → согласие на использование вектора КБС АББ → вход в офис или оплата) описан в корпоративных материалах [27], но не упакован в массовое объяснение для внешнего читателя сайта или СМИ. Заказчик В2В получает требования к инфраструктуре (турникет, совместимый с биотерминалами, интернет-канал не менее 10 Мбит/с с непрерывностью не менее 95%, доступ к базовой СКУД-системе [27]), но не получает наглядного бизнес-кейса с расчётом окупаемости.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Элемент Promotion реализуется через точечные релизы и отдельные пилотные запуски без регулярного контент-конвейера. Элемент Price — наименее проработанный — публично не раскрывается совсем. Продуктовая линейка (Product) выглядит сильно по охвату сценариев, за единственным существенным исключением: в открытой линейке Face2 нет отдельного решения по детекции дипфейков, тогда как у VisionLabs существует продукт Deepfake Detection, у OVISION антиспуфинг и детекция дипфейков встроены в СКУД-комплекты, у Сбера действует многоконтурная защита: liveness + AI-фрод + ПИН [32; 37; 39]. Это четвёртый зафиксированный пробел — доказательный (вместе с отсутствием независимой международной верификации точности, отдельно отмеченным в параграфе 2.2).</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Маркетинговая воронка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Эталонная воронка биометрии в банковском секторе, выведенная в параграфе 1.3, имеет специфическую форму: между этапами «Интерес» и «Пробное использование» встроен длинный этап «Доверие», и именно на нём концентрируется основная часть коммуникационных усилий до этапа массового принятия. Сопоставление этой эталонной воронки с фактической раскладкой активностей Face2 дано в таблице 2.3.4.</w:t>
      </w:r>
    </w:p>
    <w:p>
      <w:pPr>
        <w:keepNext/>
        <w:keepLines/>
        <w:spacing w:before="12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Таблица 2.3.4</w:t>
      </w:r>
    </w:p>
    <w:p>
      <w:pPr>
        <w:keepNext/>
        <w:keepLines/>
        <w:spacing w:before="0" w:after="6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Воронка продвижения Face2 — плотность активностей по этапам</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971"/>
        <w:gridCol w:w="3285"/>
        <w:gridCol w:w="1095"/>
        <w:gridCol w:w="3285"/>
      </w:tblGrid>
      <w:tr>
        <w:trPr>
          <w:tblHeader/>
          <w:cantSplit/>
        </w:trPr>
        <w:tc>
          <w:tcPr>
            <w:tcW w:w="1971"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Этап воронки (по табл. 1.2.4 и 1.3)</w:t>
            </w:r>
          </w:p>
        </w:tc>
        <w:tc>
          <w:tcPr>
            <w:tcW w:w="328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Что есть у Face2</w:t>
            </w:r>
          </w:p>
        </w:tc>
        <w:tc>
          <w:tcPr>
            <w:tcW w:w="109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Источник</w:t>
            </w:r>
          </w:p>
        </w:tc>
        <w:tc>
          <w:tcPr>
            <w:tcW w:w="328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Плотность активностей</w:t>
            </w:r>
          </w:p>
        </w:tc>
      </w:tr>
      <w:tr>
        <w:trPr>
          <w:cantSplit/>
        </w:trPr>
        <w:tc>
          <w:tcPr>
            <w:tcW w:w="197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Осведомлённость</w:t>
            </w:r>
          </w:p>
        </w:tc>
        <w:tc>
          <w:tcPr>
            <w:tcW w:w="32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точечные пресс-релизы; пилот в Казанском метрополитене с участием четырёх федеральных партнёров; упоминания в материале «Ведомостей» о биометрии 2026 года</w:t>
            </w:r>
          </w:p>
        </w:tc>
        <w:tc>
          <w:tcPr>
            <w:tcW w:w="109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[28, с. 30–31]; [38]</w:t>
            </w:r>
          </w:p>
        </w:tc>
        <w:tc>
          <w:tcPr>
            <w:tcW w:w="32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 — есть, но без редакционной программы</w:t>
            </w:r>
          </w:p>
        </w:tc>
      </w:tr>
      <w:tr>
        <w:trPr>
          <w:cantSplit/>
        </w:trPr>
        <w:tc>
          <w:tcPr>
            <w:tcW w:w="197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Интерес</w:t>
            </w:r>
          </w:p>
        </w:tc>
        <w:tc>
          <w:tcPr>
            <w:tcW w:w="32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сайт face2.ru; описание продукта в корпоративных материалах банка</w:t>
            </w:r>
          </w:p>
        </w:tc>
        <w:tc>
          <w:tcPr>
            <w:tcW w:w="109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[27]</w:t>
            </w:r>
          </w:p>
        </w:tc>
        <w:tc>
          <w:tcPr>
            <w:tcW w:w="32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 — без CTA-механики</w:t>
            </w:r>
          </w:p>
        </w:tc>
      </w:tr>
      <w:tr>
        <w:trPr>
          <w:cantSplit/>
        </w:trPr>
        <w:tc>
          <w:tcPr>
            <w:tcW w:w="197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Доверие (ключевой этап для биометрии)</w:t>
            </w:r>
          </w:p>
        </w:tc>
        <w:tc>
          <w:tcPr>
            <w:tcW w:w="32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КБС, статус оператора по № 115-ФЗ под № 101, аккредитации ФСБ и ФСТЭК, схема «ГИС ЕБС → КБС → продукт», стаж работы с ЕБС с 10.07.2018</w:t>
            </w:r>
          </w:p>
        </w:tc>
        <w:tc>
          <w:tcPr>
            <w:tcW w:w="109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[27; 36; 40]</w:t>
            </w:r>
          </w:p>
        </w:tc>
        <w:tc>
          <w:tcPr>
            <w:tcW w:w="32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высокая по содержанию, низкая по охвату — доказательная база подаётся языком специалистов</w:t>
            </w:r>
          </w:p>
        </w:tc>
      </w:tr>
      <w:tr>
        <w:trPr>
          <w:cantSplit/>
        </w:trPr>
        <w:tc>
          <w:tcPr>
            <w:tcW w:w="197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Пробное использование</w:t>
            </w:r>
          </w:p>
        </w:tc>
        <w:tc>
          <w:tcPr>
            <w:tcW w:w="32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внутренний контур (5 000+ сотрудников); 200 биотерминалов в офисах; публичные пилоты в метро, Национальной библиотеке РТ, биоэквайринг через АБО</w:t>
            </w:r>
          </w:p>
        </w:tc>
        <w:tc>
          <w:tcPr>
            <w:tcW w:w="109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[27; 28, с. 28–33]</w:t>
            </w:r>
          </w:p>
        </w:tc>
        <w:tc>
          <w:tcPr>
            <w:tcW w:w="32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высокая для B2B и для жителей РТ; нулевая за пределами РТ</w:t>
            </w:r>
          </w:p>
        </w:tc>
      </w:tr>
      <w:tr>
        <w:trPr>
          <w:cantSplit/>
        </w:trPr>
        <w:tc>
          <w:tcPr>
            <w:tcW w:w="197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Принятие</w:t>
            </w:r>
          </w:p>
        </w:tc>
        <w:tc>
          <w:tcPr>
            <w:tcW w:w="32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внешние коммерческие внедрения масштабом 200/500/5 000/15 000 биометрических векторов на инсталляцию</w:t>
            </w:r>
          </w:p>
        </w:tc>
        <w:tc>
          <w:tcPr>
            <w:tcW w:w="109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[27]</w:t>
            </w:r>
          </w:p>
        </w:tc>
        <w:tc>
          <w:tcPr>
            <w:tcW w:w="32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 — есть, но публичные референсы не оформлены в кейс-стади</w:t>
            </w:r>
          </w:p>
        </w:tc>
      </w:tr>
      <w:tr>
        <w:trPr>
          <w:cantSplit/>
        </w:trPr>
        <w:tc>
          <w:tcPr>
            <w:tcW w:w="197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Лояльность</w:t>
            </w:r>
          </w:p>
        </w:tc>
        <w:tc>
          <w:tcPr>
            <w:tcW w:w="32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системной программы работы с референс-клиентами Face2 (отзывы, NPS, кейсы, повторные продажи дополнительных модулей) в открытых источниках не зафиксировано</w:t>
            </w:r>
          </w:p>
        </w:tc>
        <w:tc>
          <w:tcPr>
            <w:tcW w:w="109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32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низкая</w:t>
            </w:r>
          </w:p>
        </w:tc>
      </w:tr>
    </w:tbl>
    <w:p>
      <w:pPr>
        <w:spacing w:before="0" w:after="20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i/>
          <w:iCs/>
          <w:color w:val="000000"/>
          <w:sz w:val="24"/>
          <w:szCs w:val="24"/>
          <w:lang w:val="ru-RU"/>
        </w:rPr>
        <w:t xml:space="preserve">Источник: </w:t>
      </w:r>
      <w:r>
        <w:rPr>
          <w:rFonts w:ascii="Times New Roman" w:hAnsi="Times New Roman" w:cs="Times New Roman" w:eastAsia="Times New Roman"/>
          <w:color w:val="000000"/>
          <w:sz w:val="24"/>
          <w:szCs w:val="24"/>
          <w:lang w:val="ru-RU"/>
        </w:rPr>
        <w:t xml:space="preserve">составлено автором по данным [27; 28, с. 28–33; 36; 38; 40]</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Раскладка по этапам воронки в таблице 2.3.4 показывает асимметрию противоположного характера, чем у эталонной модели. У эталонной воронки этап «Доверие» расширен по сравнению с традиционным товаром, но расширен равномерно — чтобы перевести в пробное использование как можно большую долю аудитории, проявившей интерес. У Face2 этап «Доверие» содержательно сильный, но узкий: его пропускная способность ограничена тем, что доказательная база подаётся языком, понятным специалистам, и не достигает массового пользователя. Этап «Пробное использование» сильный для B2B и для жителей Татарстана (внутренняя инсталляция, демозоны, региональные пилоты), но фактически нулевой для всех остальных регионов — получить пользовательский опыт Face2 за пределами РТ практически негде. Этапы «Осведомлённость» и «Лояльность» работают слабо: первый — из-за фрагментарности pull-каналов, второй — из-за отсутствия системной программы работы с референс-клиентами, NPS и кейс-стади. Графически распределение активностей Face2 по этапам воронки в сопоставлении с эталонной формой представлено на рисунке 2.3.1.</w:t>
      </w:r>
    </w:p>
    <w:p>
      <w:pPr>
        <w:keepNext/>
        <w:keepLines/>
        <w:spacing w:before="12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i/>
          <w:iCs/>
          <w:color w:val="000000"/>
          <w:sz w:val="24"/>
          <w:szCs w:val="24"/>
          <w:lang w:val="ru-RU"/>
        </w:rPr>
        <w:t xml:space="preserve">Источник: </w:t>
      </w:r>
      <w:r>
        <w:rPr>
          <w:rFonts w:ascii="Times New Roman" w:hAnsi="Times New Roman" w:cs="Times New Roman" w:eastAsia="Times New Roman"/>
          <w:color w:val="000000"/>
          <w:sz w:val="24"/>
          <w:szCs w:val="24"/>
          <w:lang w:val="ru-RU"/>
        </w:rPr>
        <w:t xml:space="preserve">составлено автором по данным [27; 28, с. 28–33; 36; 40]</w:t>
      </w:r>
    </w:p>
    <w:p>
      <w:pPr>
        <w:keepNext/>
        <w:keepLines/>
        <w:spacing w:before="120" w:after="60" w:line="240" w:lineRule="auto"/>
        <w:jc w:val="center"/>
        <w:rPr>
          <w:rFonts w:ascii="Times New Roman" w:hAnsi="Times New Roman" w:cs="Times New Roman" w:eastAsia="Times New Roman"/>
          <w:sz w:val="28"/>
          <w:szCs w:val="28"/>
          <w:lang w:val="ru-RU"/>
        </w:rPr>
      </w:pPr>
      <w:r>
        <w:drawing>
          <wp:inline distT="0" distB="0" distL="0" distR="0">
            <wp:extent cx="5760000" cy="3023999"/>
            <wp:effectExtent l="0" t="0" r="0" b="0"/>
            <wp:docPr id="1007" name="Drawing1007"/>
            <wp:cNvGraphicFramePr/>
            <a:graphic>
              <a:graphicData uri="http://schemas.microsoft.com/office/word/2010/wordprocessingGroup">
                <wpg:wgp>
                  <wpg:cNvGrpSpPr/>
                  <wpg:grpSpPr>
                    <a:xfrm>
                      <a:off x="0" y="0"/>
                      <a:ext cx="5760000" cy="3023999"/>
                      <a:chOff x="0" y="0"/>
                      <a:chExt cx="5760000" cy="3023999"/>
                    </a:xfrm>
                  </wpg:grpSpPr>
                  <wps:wsp>
                    <wps:cNvPr id="1701" name="Col1Hdr1701"/>
                    <wps:cNvSpPr txBox="1"/>
                    <wps:spPr>
                      <a:xfrm>
                        <a:off x="0" y="0"/>
                        <a:ext cx="1440000" cy="251999"/>
                      </a:xfrm>
                      <a:prstGeom prst="rect">
                        <a:avLst/>
                      </a:prstGeom>
                      <a:noFill/>
                      <a:ln>
                        <a:noFill/>
                      </a:ln>
                    </wps:spPr>
                    <wps:txbx>
                      <w:txbxContent>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1F4E79"/>
                              <w:sz w:val="18"/>
                              <w:szCs w:val="18"/>
                              <w:lang w:val="ru-RU"/>
                            </w:rPr>
                            <w:t xml:space="preserve">Этап воронки</w:t>
                          </w:r>
                        </w:p>
                      </w:txbxContent>
                    </wps:txbx>
                    <wps:bodyPr rot="0" spcFirstLastPara="0" vertOverflow="visible" horzOverflow="visible" wrap="square" lIns="36000" tIns="36000" rIns="36000" bIns="36000" anchor="ctr" anchorCtr="0" upright="1">
                      <a:noAutofit/>
                    </wps:bodyPr>
                  </wps:wsp>
                  <wps:wsp>
                    <wps:cNvPr id="1702" name="Col2Hdr1702"/>
                    <wps:cNvSpPr txBox="1"/>
                    <wps:spPr>
                      <a:xfrm>
                        <a:off x="1620000" y="0"/>
                        <a:ext cx="1980000" cy="251999"/>
                      </a:xfrm>
                      <a:prstGeom prst="rect">
                        <a:avLst/>
                      </a:prstGeom>
                      <a:noFill/>
                      <a:ln>
                        <a:noFill/>
                      </a:ln>
                    </wps:spPr>
                    <wps:txbx>
                      <w:txbxContent>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b/>
                              <w:bCs/>
                              <w:color w:val="1F4E79"/>
                              <w:sz w:val="18"/>
                              <w:szCs w:val="18"/>
                              <w:lang w:val="ru-RU"/>
                            </w:rPr>
                            <w:t xml:space="preserve">Эталонная воронка</w:t>
                          </w:r>
                        </w:p>
                      </w:txbxContent>
                    </wps:txbx>
                    <wps:bodyPr rot="0" spcFirstLastPara="0" vertOverflow="visible" horzOverflow="visible" wrap="square" lIns="36000" tIns="36000" rIns="36000" bIns="36000" anchor="ctr" anchorCtr="0" upright="1">
                      <a:noAutofit/>
                    </wps:bodyPr>
                  </wps:wsp>
                  <wps:wsp>
                    <wps:cNvPr id="1703" name="Col3Hdr1703"/>
                    <wps:cNvSpPr txBox="1"/>
                    <wps:spPr>
                      <a:xfrm>
                        <a:off x="3671999" y="0"/>
                        <a:ext cx="1980000" cy="251999"/>
                      </a:xfrm>
                      <a:prstGeom prst="rect">
                        <a:avLst/>
                      </a:prstGeom>
                      <a:noFill/>
                      <a:ln>
                        <a:noFill/>
                      </a:ln>
                    </wps:spPr>
                    <wps:txbx>
                      <w:txbxContent>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b/>
                              <w:bCs/>
                              <w:color w:val="1F4E79"/>
                              <w:sz w:val="18"/>
                              <w:szCs w:val="18"/>
                              <w:lang w:val="ru-RU"/>
                            </w:rPr>
                            <w:t xml:space="preserve">Воронка Face2 (факт)</w:t>
                          </w:r>
                        </w:p>
                      </w:txbxContent>
                    </wps:txbx>
                    <wps:bodyPr rot="0" spcFirstLastPara="0" vertOverflow="visible" horzOverflow="visible" wrap="square" lIns="36000" tIns="36000" rIns="36000" bIns="36000" anchor="ctr" anchorCtr="0" upright="1">
                      <a:noAutofit/>
                    </wps:bodyPr>
                  </wps:wsp>
                  <wps:wsp>
                    <wps:cNvPr id="1704" name="Line1704"/>
                    <wps:cNvCnPr/>
                    <wps:spPr>
                      <a:xfrm>
                        <a:off x="0" y="270000"/>
                        <a:ext cx="5760000" cy="1"/>
                      </a:xfrm>
                      <a:prstGeom prst="line">
                        <a:avLst/>
                      </a:prstGeom>
                      <a:ln w="6350">
                        <a:solidFill>
                          <a:srgbClr val="7F7F7F"/>
                        </a:solidFill>
                      </a:ln>
                    </wps:spPr>
                    <wps:bodyPr/>
                  </wps:wsp>
                  <wps:wsp>
                    <wps:cNvPr id="1705" name="Stage01705"/>
                    <wps:cNvSpPr txBox="1"/>
                    <wps:spPr>
                      <a:xfrm>
                        <a:off x="0" y="396000"/>
                        <a:ext cx="1440000" cy="198000"/>
                      </a:xfrm>
                      <a:prstGeom prst="rect">
                        <a:avLst/>
                      </a:prstGeom>
                      <a:noFill/>
                      <a:ln>
                        <a:noFill/>
                      </a:ln>
                    </wps:spPr>
                    <wps:txbx>
                      <w:txbxContent>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18"/>
                              <w:szCs w:val="18"/>
                              <w:lang w:val="ru-RU"/>
                            </w:rPr>
                            <w:t xml:space="preserve">Осведомлённость</w:t>
                          </w:r>
                        </w:p>
                      </w:txbxContent>
                    </wps:txbx>
                    <wps:bodyPr rot="0" spcFirstLastPara="0" vertOverflow="visible" horzOverflow="visible" wrap="square" lIns="36000" tIns="36000" rIns="36000" bIns="36000" anchor="ctr" anchorCtr="0" upright="1">
                      <a:noAutofit/>
                    </wps:bodyPr>
                  </wps:wsp>
                  <wps:wsp>
                    <wps:cNvPr id="1706" name="Et01706"/>
                    <wps:cNvSpPr/>
                    <wps:spPr>
                      <a:xfrm>
                        <a:off x="1620000" y="396000"/>
                        <a:ext cx="1049400" cy="198000"/>
                      </a:xfrm>
                      <a:prstGeom prst="rect">
                        <a:avLst/>
                      </a:prstGeom>
                      <a:solidFill>
                        <a:srgbClr val="70AD47"/>
                      </a:solidFill>
                      <a:ln w="0">
                        <a:solidFill>
                          <a:srgbClr val="70AD47"/>
                        </a:solidFill>
                      </a:ln>
                    </wps:spPr>
                    <wps:bodyPr/>
                  </wps:wsp>
                  <wps:wsp>
                    <wps:cNvPr id="1707" name="F2m01707"/>
                    <wps:cNvSpPr/>
                    <wps:spPr>
                      <a:xfrm>
                        <a:off x="3671999" y="396000"/>
                        <a:ext cx="286200" cy="198000"/>
                      </a:xfrm>
                      <a:prstGeom prst="rect">
                        <a:avLst/>
                      </a:prstGeom>
                      <a:solidFill>
                        <a:srgbClr val="2E75B6"/>
                      </a:solidFill>
                      <a:ln w="0">
                        <a:solidFill>
                          <a:srgbClr val="2E75B6"/>
                        </a:solidFill>
                      </a:ln>
                    </wps:spPr>
                    <wps:bodyPr/>
                  </wps:wsp>
                  <wps:wsp>
                    <wps:cNvPr id="1708" name="Stage11708"/>
                    <wps:cNvSpPr txBox="1"/>
                    <wps:spPr>
                      <a:xfrm>
                        <a:off x="0" y="827999"/>
                        <a:ext cx="1440000" cy="198000"/>
                      </a:xfrm>
                      <a:prstGeom prst="rect">
                        <a:avLst/>
                      </a:prstGeom>
                      <a:noFill/>
                      <a:ln>
                        <a:noFill/>
                      </a:ln>
                    </wps:spPr>
                    <wps:txbx>
                      <w:txbxContent>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18"/>
                              <w:szCs w:val="18"/>
                              <w:lang w:val="ru-RU"/>
                            </w:rPr>
                            <w:t xml:space="preserve">Интерес</w:t>
                          </w:r>
                        </w:p>
                      </w:txbxContent>
                    </wps:txbx>
                    <wps:bodyPr rot="0" spcFirstLastPara="0" vertOverflow="visible" horzOverflow="visible" wrap="square" lIns="36000" tIns="36000" rIns="36000" bIns="36000" anchor="ctr" anchorCtr="0" upright="1">
                      <a:noAutofit/>
                    </wps:bodyPr>
                  </wps:wsp>
                  <wps:wsp>
                    <wps:cNvPr id="1709" name="Et11709"/>
                    <wps:cNvSpPr/>
                    <wps:spPr>
                      <a:xfrm>
                        <a:off x="1620000" y="827999"/>
                        <a:ext cx="858599" cy="198000"/>
                      </a:xfrm>
                      <a:prstGeom prst="rect">
                        <a:avLst/>
                      </a:prstGeom>
                      <a:solidFill>
                        <a:srgbClr val="70AD47"/>
                      </a:solidFill>
                      <a:ln w="0">
                        <a:solidFill>
                          <a:srgbClr val="70AD47"/>
                        </a:solidFill>
                      </a:ln>
                    </wps:spPr>
                    <wps:bodyPr/>
                  </wps:wsp>
                  <wps:wsp>
                    <wps:cNvPr id="1710" name="F2m11710"/>
                    <wps:cNvSpPr/>
                    <wps:spPr>
                      <a:xfrm>
                        <a:off x="3671999" y="827999"/>
                        <a:ext cx="190800" cy="198000"/>
                      </a:xfrm>
                      <a:prstGeom prst="rect">
                        <a:avLst/>
                      </a:prstGeom>
                      <a:solidFill>
                        <a:srgbClr val="2E75B6"/>
                      </a:solidFill>
                      <a:ln w="0">
                        <a:solidFill>
                          <a:srgbClr val="2E75B6"/>
                        </a:solidFill>
                      </a:ln>
                    </wps:spPr>
                    <wps:bodyPr/>
                  </wps:wsp>
                  <wps:wsp>
                    <wps:cNvPr id="1711" name="Stage21711"/>
                    <wps:cNvSpPr txBox="1"/>
                    <wps:spPr>
                      <a:xfrm>
                        <a:off x="0" y="1260000"/>
                        <a:ext cx="1440000" cy="198000"/>
                      </a:xfrm>
                      <a:prstGeom prst="rect">
                        <a:avLst/>
                      </a:prstGeom>
                      <a:noFill/>
                      <a:ln>
                        <a:noFill/>
                      </a:ln>
                    </wps:spPr>
                    <wps:txbx>
                      <w:txbxContent>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18"/>
                              <w:szCs w:val="18"/>
                              <w:lang w:val="ru-RU"/>
                            </w:rPr>
                            <w:t xml:space="preserve">Доверие (ядро)</w:t>
                          </w:r>
                        </w:p>
                      </w:txbxContent>
                    </wps:txbx>
                    <wps:bodyPr rot="0" spcFirstLastPara="0" vertOverflow="visible" horzOverflow="visible" wrap="square" lIns="36000" tIns="36000" rIns="36000" bIns="36000" anchor="ctr" anchorCtr="0" upright="1">
                      <a:noAutofit/>
                    </wps:bodyPr>
                  </wps:wsp>
                  <wps:wsp>
                    <wps:cNvPr id="1712" name="Et21712"/>
                    <wps:cNvSpPr/>
                    <wps:spPr>
                      <a:xfrm>
                        <a:off x="1620000" y="1260000"/>
                        <a:ext cx="1621800" cy="198000"/>
                      </a:xfrm>
                      <a:prstGeom prst="rect">
                        <a:avLst/>
                      </a:prstGeom>
                      <a:solidFill>
                        <a:srgbClr val="70AD47"/>
                      </a:solidFill>
                      <a:ln w="0">
                        <a:solidFill>
                          <a:srgbClr val="70AD47"/>
                        </a:solidFill>
                      </a:ln>
                    </wps:spPr>
                    <wps:bodyPr/>
                  </wps:wsp>
                  <wps:wsp>
                    <wps:cNvPr id="1713" name="F2m21713"/>
                    <wps:cNvSpPr/>
                    <wps:spPr>
                      <a:xfrm>
                        <a:off x="3671999" y="1260000"/>
                        <a:ext cx="1621800" cy="198000"/>
                      </a:xfrm>
                      <a:prstGeom prst="rect">
                        <a:avLst/>
                      </a:prstGeom>
                      <a:solidFill>
                        <a:srgbClr val="2E75B6"/>
                      </a:solidFill>
                      <a:ln w="0">
                        <a:solidFill>
                          <a:srgbClr val="2E75B6"/>
                        </a:solidFill>
                      </a:ln>
                    </wps:spPr>
                    <wps:bodyPr/>
                  </wps:wsp>
                  <wps:wsp>
                    <wps:cNvPr id="1714" name="F2e21714"/>
                    <wps:cNvSpPr/>
                    <wps:spPr>
                      <a:xfrm>
                        <a:off x="3671999" y="1475999"/>
                        <a:ext cx="381600" cy="138600"/>
                      </a:xfrm>
                      <a:prstGeom prst="rect">
                        <a:avLst/>
                      </a:prstGeom>
                      <a:solidFill>
                        <a:srgbClr val="ED7D31"/>
                      </a:solidFill>
                      <a:ln w="0">
                        <a:solidFill>
                          <a:srgbClr val="ED7D31"/>
                        </a:solidFill>
                      </a:ln>
                    </wps:spPr>
                    <wps:bodyPr/>
                  </wps:wsp>
                  <wps:wsp>
                    <wps:cNvPr id="1715" name="F2elbl21715"/>
                    <wps:cNvSpPr txBox="1"/>
                    <wps:spPr>
                      <a:xfrm>
                        <a:off x="4089600" y="1458000"/>
                        <a:ext cx="1080000" cy="138600"/>
                      </a:xfrm>
                      <a:prstGeom prst="rect">
                        <a:avLst/>
                      </a:prstGeom>
                      <a:noFill/>
                      <a:ln>
                        <a:noFill/>
                      </a:ln>
                    </wps:spPr>
                    <wps:txbx>
                      <w:txbxContent>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i/>
                              <w:iCs/>
                              <w:color w:val="ED7D31"/>
                              <w:sz w:val="14"/>
                              <w:szCs w:val="14"/>
                              <w:lang w:val="ru-RU"/>
                            </w:rPr>
                            <w:t xml:space="preserve">(массовый охват)</w:t>
                          </w:r>
                        </w:p>
                      </w:txbxContent>
                    </wps:txbx>
                    <wps:bodyPr rot="0" spcFirstLastPara="0" vertOverflow="visible" horzOverflow="visible" wrap="square" lIns="36000" tIns="36000" rIns="36000" bIns="36000" anchor="ctr" anchorCtr="0" upright="1">
                      <a:noAutofit/>
                    </wps:bodyPr>
                  </wps:wsp>
                  <wps:wsp>
                    <wps:cNvPr id="1716" name="F2mlbl21716"/>
                    <wps:cNvSpPr txBox="1"/>
                    <wps:spPr>
                      <a:xfrm>
                        <a:off x="5329799" y="1242000"/>
                        <a:ext cx="1080000" cy="198000"/>
                      </a:xfrm>
                      <a:prstGeom prst="rect">
                        <a:avLst/>
                      </a:prstGeom>
                      <a:noFill/>
                      <a:ln>
                        <a:noFill/>
                      </a:ln>
                    </wps:spPr>
                    <wps:txbx>
                      <w:txbxContent>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i/>
                              <w:iCs/>
                              <w:color w:val="2E75B6"/>
                              <w:sz w:val="14"/>
                              <w:szCs w:val="14"/>
                              <w:lang w:val="ru-RU"/>
                            </w:rPr>
                            <w:t xml:space="preserve">(содержательно)</w:t>
                          </w:r>
                        </w:p>
                      </w:txbxContent>
                    </wps:txbx>
                    <wps:bodyPr rot="0" spcFirstLastPara="0" vertOverflow="visible" horzOverflow="visible" wrap="square" lIns="36000" tIns="36000" rIns="36000" bIns="36000" anchor="ctr" anchorCtr="0" upright="1">
                      <a:noAutofit/>
                    </wps:bodyPr>
                  </wps:wsp>
                  <wps:wsp>
                    <wps:cNvPr id="1717" name="Stage31717"/>
                    <wps:cNvSpPr txBox="1"/>
                    <wps:spPr>
                      <a:xfrm>
                        <a:off x="0" y="1691999"/>
                        <a:ext cx="1440000" cy="198000"/>
                      </a:xfrm>
                      <a:prstGeom prst="rect">
                        <a:avLst/>
                      </a:prstGeom>
                      <a:noFill/>
                      <a:ln>
                        <a:noFill/>
                      </a:ln>
                    </wps:spPr>
                    <wps:txbx>
                      <w:txbxContent>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18"/>
                              <w:szCs w:val="18"/>
                              <w:lang w:val="ru-RU"/>
                            </w:rPr>
                            <w:t xml:space="preserve">Пробное использование</w:t>
                          </w:r>
                        </w:p>
                      </w:txbxContent>
                    </wps:txbx>
                    <wps:bodyPr rot="0" spcFirstLastPara="0" vertOverflow="visible" horzOverflow="visible" wrap="square" lIns="36000" tIns="36000" rIns="36000" bIns="36000" anchor="ctr" anchorCtr="0" upright="1">
                      <a:noAutofit/>
                    </wps:bodyPr>
                  </wps:wsp>
                  <wps:wsp>
                    <wps:cNvPr id="1718" name="Et31718"/>
                    <wps:cNvSpPr/>
                    <wps:spPr>
                      <a:xfrm>
                        <a:off x="1620000" y="1691999"/>
                        <a:ext cx="1049400" cy="198000"/>
                      </a:xfrm>
                      <a:prstGeom prst="rect">
                        <a:avLst/>
                      </a:prstGeom>
                      <a:solidFill>
                        <a:srgbClr val="70AD47"/>
                      </a:solidFill>
                      <a:ln w="0">
                        <a:solidFill>
                          <a:srgbClr val="70AD47"/>
                        </a:solidFill>
                      </a:ln>
                    </wps:spPr>
                    <wps:bodyPr/>
                  </wps:wsp>
                  <wps:wsp>
                    <wps:cNvPr id="1719" name="F2m31719"/>
                    <wps:cNvSpPr/>
                    <wps:spPr>
                      <a:xfrm>
                        <a:off x="3671999" y="1691999"/>
                        <a:ext cx="1049400" cy="198000"/>
                      </a:xfrm>
                      <a:prstGeom prst="rect">
                        <a:avLst/>
                      </a:prstGeom>
                      <a:solidFill>
                        <a:srgbClr val="2E75B6"/>
                      </a:solidFill>
                      <a:ln w="0">
                        <a:solidFill>
                          <a:srgbClr val="2E75B6"/>
                        </a:solidFill>
                      </a:ln>
                    </wps:spPr>
                    <wps:bodyPr/>
                  </wps:wsp>
                  <wps:wsp>
                    <wps:cNvPr id="1720" name="F2e31720"/>
                    <wps:cNvSpPr/>
                    <wps:spPr>
                      <a:xfrm>
                        <a:off x="3671999" y="1907999"/>
                        <a:ext cx="95400" cy="138600"/>
                      </a:xfrm>
                      <a:prstGeom prst="rect">
                        <a:avLst/>
                      </a:prstGeom>
                      <a:solidFill>
                        <a:srgbClr val="ED7D31"/>
                      </a:solidFill>
                      <a:ln w="0">
                        <a:solidFill>
                          <a:srgbClr val="ED7D31"/>
                        </a:solidFill>
                      </a:ln>
                    </wps:spPr>
                    <wps:bodyPr/>
                  </wps:wsp>
                  <wps:wsp>
                    <wps:cNvPr id="1721" name="F2elbl31721"/>
                    <wps:cNvSpPr txBox="1"/>
                    <wps:spPr>
                      <a:xfrm>
                        <a:off x="3803400" y="1889999"/>
                        <a:ext cx="1080000" cy="138600"/>
                      </a:xfrm>
                      <a:prstGeom prst="rect">
                        <a:avLst/>
                      </a:prstGeom>
                      <a:noFill/>
                      <a:ln>
                        <a:noFill/>
                      </a:ln>
                    </wps:spPr>
                    <wps:txbx>
                      <w:txbxContent>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i/>
                              <w:iCs/>
                              <w:color w:val="ED7D31"/>
                              <w:sz w:val="14"/>
                              <w:szCs w:val="14"/>
                              <w:lang w:val="ru-RU"/>
                            </w:rPr>
                            <w:t xml:space="preserve">(вне РТ)</w:t>
                          </w:r>
                        </w:p>
                      </w:txbxContent>
                    </wps:txbx>
                    <wps:bodyPr rot="0" spcFirstLastPara="0" vertOverflow="visible" horzOverflow="visible" wrap="square" lIns="36000" tIns="36000" rIns="36000" bIns="36000" anchor="ctr" anchorCtr="0" upright="1">
                      <a:noAutofit/>
                    </wps:bodyPr>
                  </wps:wsp>
                  <wps:wsp>
                    <wps:cNvPr id="1722" name="Stage41722"/>
                    <wps:cNvSpPr txBox="1"/>
                    <wps:spPr>
                      <a:xfrm>
                        <a:off x="0" y="2124000"/>
                        <a:ext cx="1440000" cy="198000"/>
                      </a:xfrm>
                      <a:prstGeom prst="rect">
                        <a:avLst/>
                      </a:prstGeom>
                      <a:noFill/>
                      <a:ln>
                        <a:noFill/>
                      </a:ln>
                    </wps:spPr>
                    <wps:txbx>
                      <w:txbxContent>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18"/>
                              <w:szCs w:val="18"/>
                              <w:lang w:val="ru-RU"/>
                            </w:rPr>
                            <w:t xml:space="preserve">Принятие</w:t>
                          </w:r>
                        </w:p>
                      </w:txbxContent>
                    </wps:txbx>
                    <wps:bodyPr rot="0" spcFirstLastPara="0" vertOverflow="visible" horzOverflow="visible" wrap="square" lIns="36000" tIns="36000" rIns="36000" bIns="36000" anchor="ctr" anchorCtr="0" upright="1">
                      <a:noAutofit/>
                    </wps:bodyPr>
                  </wps:wsp>
                  <wps:wsp>
                    <wps:cNvPr id="1723" name="Et41723"/>
                    <wps:cNvSpPr/>
                    <wps:spPr>
                      <a:xfrm>
                        <a:off x="1620000" y="2124000"/>
                        <a:ext cx="858599" cy="198000"/>
                      </a:xfrm>
                      <a:prstGeom prst="rect">
                        <a:avLst/>
                      </a:prstGeom>
                      <a:solidFill>
                        <a:srgbClr val="70AD47"/>
                      </a:solidFill>
                      <a:ln w="0">
                        <a:solidFill>
                          <a:srgbClr val="70AD47"/>
                        </a:solidFill>
                      </a:ln>
                    </wps:spPr>
                    <wps:bodyPr/>
                  </wps:wsp>
                  <wps:wsp>
                    <wps:cNvPr id="1724" name="F2m41724"/>
                    <wps:cNvSpPr/>
                    <wps:spPr>
                      <a:xfrm>
                        <a:off x="3671999" y="2124000"/>
                        <a:ext cx="572400" cy="198000"/>
                      </a:xfrm>
                      <a:prstGeom prst="rect">
                        <a:avLst/>
                      </a:prstGeom>
                      <a:solidFill>
                        <a:srgbClr val="2E75B6"/>
                      </a:solidFill>
                      <a:ln w="0">
                        <a:solidFill>
                          <a:srgbClr val="2E75B6"/>
                        </a:solidFill>
                      </a:ln>
                    </wps:spPr>
                    <wps:bodyPr/>
                  </wps:wsp>
                  <wps:wsp>
                    <wps:cNvPr id="1725" name="Stage51725"/>
                    <wps:cNvSpPr txBox="1"/>
                    <wps:spPr>
                      <a:xfrm>
                        <a:off x="0" y="2556000"/>
                        <a:ext cx="1440000" cy="198000"/>
                      </a:xfrm>
                      <a:prstGeom prst="rect">
                        <a:avLst/>
                      </a:prstGeom>
                      <a:noFill/>
                      <a:ln>
                        <a:noFill/>
                      </a:ln>
                    </wps:spPr>
                    <wps:txbx>
                      <w:txbxContent>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18"/>
                              <w:szCs w:val="18"/>
                              <w:lang w:val="ru-RU"/>
                            </w:rPr>
                            <w:t xml:space="preserve">Лояльность</w:t>
                          </w:r>
                        </w:p>
                      </w:txbxContent>
                    </wps:txbx>
                    <wps:bodyPr rot="0" spcFirstLastPara="0" vertOverflow="visible" horzOverflow="visible" wrap="square" lIns="36000" tIns="36000" rIns="36000" bIns="36000" anchor="ctr" anchorCtr="0" upright="1">
                      <a:noAutofit/>
                    </wps:bodyPr>
                  </wps:wsp>
                  <wps:wsp>
                    <wps:cNvPr id="1726" name="Et51726"/>
                    <wps:cNvSpPr/>
                    <wps:spPr>
                      <a:xfrm>
                        <a:off x="1620000" y="2556000"/>
                        <a:ext cx="572400" cy="198000"/>
                      </a:xfrm>
                      <a:prstGeom prst="rect">
                        <a:avLst/>
                      </a:prstGeom>
                      <a:solidFill>
                        <a:srgbClr val="70AD47"/>
                      </a:solidFill>
                      <a:ln w="0">
                        <a:solidFill>
                          <a:srgbClr val="70AD47"/>
                        </a:solidFill>
                      </a:ln>
                    </wps:spPr>
                    <wps:bodyPr/>
                  </wps:wsp>
                  <wps:wsp>
                    <wps:cNvPr id="1727" name="F2m51727"/>
                    <wps:cNvSpPr/>
                    <wps:spPr>
                      <a:xfrm>
                        <a:off x="3671999" y="2556000"/>
                        <a:ext cx="95400" cy="198000"/>
                      </a:xfrm>
                      <a:prstGeom prst="rect">
                        <a:avLst/>
                      </a:prstGeom>
                      <a:solidFill>
                        <a:srgbClr val="2E75B6"/>
                      </a:solidFill>
                      <a:ln w="0">
                        <a:solidFill>
                          <a:srgbClr val="2E75B6"/>
                        </a:solidFill>
                      </a:ln>
                    </wps:spPr>
                    <wps:bodyPr/>
                  </wps:wsp>
                </wpg:wgp>
              </a:graphicData>
            </a:graphic>
          </wp:inline>
        </w:drawing>
      </w:r>
    </w:p>
    <w:p>
      <w:pPr>
        <w:keepLines/>
        <w:spacing w:before="60" w:after="20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Рис. 2.3.1. Воронка продвижения Face2 в сопоставлении с эталонной воронкой биометрического продукта в банковском секторе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Содержательно фигура на рисунке 2.3.1 показывает, что у Face2 архитектурно перегружен центральный этап «Доверие» по содержательной составляющей и недогружены полюса (Осведомлённость, Лояльность) и массовый охват самого ядра. Это совпадает со структурой коммерческого присутствия из параграфа 2.2: банк глубоко работает в немногих сегментах и в одном регионе вместо широкого покрытия рынка. Маркетинг здесь не «отстаёт» от продукта, а воспроизводит структуру коммерческой работы один в один. Чтобы изменить распределение продаж, нужно сначала изменить архитектуру воронки.</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Соответствие текущего продвижения конкурентной нише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Параграф 2.2 завершился фиксацией пяти конкурентных преимуществ Face2 и четырёх пробелов. Каждое из них трансформируется в ресурс или в проблему продвижения. Сопоставление этих позиций с тем, как они отыграны в коммуникации, дано в таблице 2.3.5.</w:t>
      </w:r>
    </w:p>
    <w:p>
      <w:pPr>
        <w:keepNext/>
        <w:keepLines/>
        <w:spacing w:before="12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Таблица 2.3.5</w:t>
      </w:r>
    </w:p>
    <w:p>
      <w:pPr>
        <w:keepNext/>
        <w:keepLines/>
        <w:spacing w:before="0" w:after="6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Конкурентные преимущества и пробелы Face2 (из параграфа 2.2) и их использование в текущем продвижении</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536"/>
        <w:gridCol w:w="1268"/>
        <w:gridCol w:w="2367"/>
        <w:gridCol w:w="929"/>
        <w:gridCol w:w="2536"/>
      </w:tblGrid>
      <w:tr>
        <w:trPr>
          <w:tblHeader/>
          <w:cantSplit/>
        </w:trPr>
        <w:tc>
          <w:tcPr>
            <w:tcW w:w="2536"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Позиция (по 2.2)</w:t>
            </w:r>
          </w:p>
        </w:tc>
        <w:tc>
          <w:tcPr>
            <w:tcW w:w="1268"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Использование в продвижении</w:t>
            </w:r>
          </w:p>
        </w:tc>
        <w:tc>
          <w:tcPr>
            <w:tcW w:w="2367"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Где / каким образом</w:t>
            </w:r>
          </w:p>
        </w:tc>
        <w:tc>
          <w:tcPr>
            <w:tcW w:w="92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Источник</w:t>
            </w:r>
          </w:p>
        </w:tc>
        <w:tc>
          <w:tcPr>
            <w:tcW w:w="2536"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Оценка</w:t>
            </w:r>
          </w:p>
        </w:tc>
      </w:tr>
      <w:tr>
        <w:trPr>
          <w:cantSplit/>
        </w:trPr>
        <w:tc>
          <w:tcPr>
            <w:tcW w:w="25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Преимущество: право регистрации БПд по № 115-ФЗ (АББ № 101)</w:t>
            </w:r>
          </w:p>
        </w:tc>
        <w:tc>
          <w:tcPr>
            <w:tcW w:w="126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частичное</w:t>
            </w:r>
          </w:p>
        </w:tc>
        <w:tc>
          <w:tcPr>
            <w:tcW w:w="236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B2B-материалах, не в массовых каналах</w:t>
            </w:r>
          </w:p>
        </w:tc>
        <w:tc>
          <w:tcPr>
            <w:tcW w:w="9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[36]</w:t>
            </w:r>
          </w:p>
        </w:tc>
        <w:tc>
          <w:tcPr>
            <w:tcW w:w="25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сильный B2B-аргумент, недоиспользован для массовой аудитории</w:t>
            </w:r>
          </w:p>
        </w:tc>
      </w:tr>
      <w:tr>
        <w:trPr>
          <w:cantSplit/>
        </w:trPr>
        <w:tc>
          <w:tcPr>
            <w:tcW w:w="25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Преимущество: аккредитация КБС (Решение № 4-А от 15.11.2023)</w:t>
            </w:r>
          </w:p>
        </w:tc>
        <w:tc>
          <w:tcPr>
            <w:tcW w:w="126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полное</w:t>
            </w:r>
          </w:p>
        </w:tc>
        <w:tc>
          <w:tcPr>
            <w:tcW w:w="236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сайт face2.ru, продуктовые материалы</w:t>
            </w:r>
          </w:p>
        </w:tc>
        <w:tc>
          <w:tcPr>
            <w:tcW w:w="9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[27]</w:t>
            </w:r>
          </w:p>
        </w:tc>
        <w:tc>
          <w:tcPr>
            <w:tcW w:w="25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полную меру</w:t>
            </w:r>
          </w:p>
        </w:tc>
      </w:tr>
      <w:tr>
        <w:trPr>
          <w:cantSplit/>
        </w:trPr>
        <w:tc>
          <w:tcPr>
            <w:tcW w:w="25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Преимущество: стаж в ЕБС с 10.07.2018, первый банк ПФО</w:t>
            </w:r>
          </w:p>
        </w:tc>
        <w:tc>
          <w:tcPr>
            <w:tcW w:w="126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минимальное</w:t>
            </w:r>
          </w:p>
        </w:tc>
        <w:tc>
          <w:tcPr>
            <w:tcW w:w="236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TAdviser 2018; в текущих коммуникациях не воспроизводится</w:t>
            </w:r>
          </w:p>
        </w:tc>
        <w:tc>
          <w:tcPr>
            <w:tcW w:w="9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[40]</w:t>
            </w:r>
          </w:p>
        </w:tc>
        <w:tc>
          <w:tcPr>
            <w:tcW w:w="25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сильно недоиспользовано — готовый сторителлинг против барьера «новизна и непроверенность»</w:t>
            </w:r>
          </w:p>
        </w:tc>
      </w:tr>
      <w:tr>
        <w:trPr>
          <w:cantSplit/>
        </w:trPr>
        <w:tc>
          <w:tcPr>
            <w:tcW w:w="25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Преимущество: банковская экосистема (934 тыс. розничных, 930 тыс. в АБО, 450 тыс. Карт жителя РТ, 12 млн транзакций в АБО за 2024)</w:t>
            </w:r>
          </w:p>
        </w:tc>
        <w:tc>
          <w:tcPr>
            <w:tcW w:w="126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частичное</w:t>
            </w:r>
          </w:p>
        </w:tc>
        <w:tc>
          <w:tcPr>
            <w:tcW w:w="236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через АБО и Карту жителя РТ — только в РТ</w:t>
            </w:r>
          </w:p>
        </w:tc>
        <w:tc>
          <w:tcPr>
            <w:tcW w:w="9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[28, с. 17, 28–29, 33]</w:t>
            </w:r>
          </w:p>
        </w:tc>
        <w:tc>
          <w:tcPr>
            <w:tcW w:w="25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работает в РТ, не используется как канал распространения вне РТ</w:t>
            </w:r>
          </w:p>
        </w:tc>
      </w:tr>
      <w:tr>
        <w:trPr>
          <w:cantSplit/>
        </w:trPr>
        <w:tc>
          <w:tcPr>
            <w:tcW w:w="25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Преимущество: продуктовая вертикаль под банковский сценарий</w:t>
            </w:r>
          </w:p>
        </w:tc>
        <w:tc>
          <w:tcPr>
            <w:tcW w:w="126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полное</w:t>
            </w:r>
          </w:p>
        </w:tc>
        <w:tc>
          <w:tcPr>
            <w:tcW w:w="236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продуктовая линейка, описания на face2.ru</w:t>
            </w:r>
          </w:p>
        </w:tc>
        <w:tc>
          <w:tcPr>
            <w:tcW w:w="9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[27]</w:t>
            </w:r>
          </w:p>
        </w:tc>
        <w:tc>
          <w:tcPr>
            <w:tcW w:w="25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полную меру</w:t>
            </w:r>
          </w:p>
        </w:tc>
      </w:tr>
      <w:tr>
        <w:trPr>
          <w:cantSplit/>
        </w:trPr>
        <w:tc>
          <w:tcPr>
            <w:tcW w:w="25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Пробел: нет независимой верификации (NIST FRTE, iBeta, CVPR)</w:t>
            </w:r>
          </w:p>
        </w:tc>
        <w:tc>
          <w:tcPr>
            <w:tcW w:w="126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компенсация не предпринимается</w:t>
            </w:r>
          </w:p>
        </w:tc>
        <w:tc>
          <w:tcPr>
            <w:tcW w:w="236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9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25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пробел открыт</w:t>
            </w:r>
          </w:p>
        </w:tc>
      </w:tr>
      <w:tr>
        <w:trPr>
          <w:cantSplit/>
        </w:trPr>
        <w:tc>
          <w:tcPr>
            <w:tcW w:w="25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Пробел: нет собственного производства терминалов</w:t>
            </w:r>
          </w:p>
        </w:tc>
        <w:tc>
          <w:tcPr>
            <w:tcW w:w="126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компенсация работает</w:t>
            </w:r>
          </w:p>
        </w:tc>
        <w:tc>
          <w:tcPr>
            <w:tcW w:w="236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партнёрское оборудование</w:t>
            </w:r>
          </w:p>
        </w:tc>
        <w:tc>
          <w:tcPr>
            <w:tcW w:w="9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[27]</w:t>
            </w:r>
          </w:p>
        </w:tc>
        <w:tc>
          <w:tcPr>
            <w:tcW w:w="25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пробел компенсирован, но не закрыт</w:t>
            </w:r>
          </w:p>
        </w:tc>
      </w:tr>
      <w:tr>
        <w:trPr>
          <w:cantSplit/>
        </w:trPr>
        <w:tc>
          <w:tcPr>
            <w:tcW w:w="25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Пробел: локальный масштаб (Татарстан + федеральные пилоты)</w:t>
            </w:r>
          </w:p>
        </w:tc>
        <w:tc>
          <w:tcPr>
            <w:tcW w:w="126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компенсация не предпринимается</w:t>
            </w:r>
          </w:p>
        </w:tc>
        <w:tc>
          <w:tcPr>
            <w:tcW w:w="236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9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25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пробел открыт</w:t>
            </w:r>
          </w:p>
        </w:tc>
      </w:tr>
      <w:tr>
        <w:trPr>
          <w:cantSplit/>
        </w:trPr>
        <w:tc>
          <w:tcPr>
            <w:tcW w:w="25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Пробел: нет отдельного решения по детекции дипфейков</w:t>
            </w:r>
          </w:p>
        </w:tc>
        <w:tc>
          <w:tcPr>
            <w:tcW w:w="126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компенсация не предпринимается</w:t>
            </w:r>
          </w:p>
        </w:tc>
        <w:tc>
          <w:tcPr>
            <w:tcW w:w="236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9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25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пробел открыт</w:t>
            </w:r>
          </w:p>
        </w:tc>
      </w:tr>
    </w:tbl>
    <w:p>
      <w:pPr>
        <w:spacing w:before="0" w:after="20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i/>
          <w:iCs/>
          <w:color w:val="000000"/>
          <w:sz w:val="24"/>
          <w:szCs w:val="24"/>
          <w:lang w:val="ru-RU"/>
        </w:rPr>
        <w:t xml:space="preserve">Источник: </w:t>
      </w:r>
      <w:r>
        <w:rPr>
          <w:rFonts w:ascii="Times New Roman" w:hAnsi="Times New Roman" w:cs="Times New Roman" w:eastAsia="Times New Roman"/>
          <w:color w:val="000000"/>
          <w:sz w:val="24"/>
          <w:szCs w:val="24"/>
          <w:lang w:val="ru-RU"/>
        </w:rPr>
        <w:t xml:space="preserve">составлено автором по данным [27; 28, с. 17, 28–29, 33; 36; 40]</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Сопоставление в таблице 2.3.5 показывает, что из пяти конкурентных преимуществ Face2 в полную меру используются в коммуникации только два — аккредитация КБС и продуктовая вертикаль. Право регистрации БПд граждан по № 115-ФЗ и банковская экосистема используются частично — в B2B-материалах и через интеграцию в Ак Барс Онлайн, но не разворачиваются в массовых каналах. Институциональный стаж в ЕБС с 2018 года, отдельно зафиксированный в публикации TAdviser [40] и являющийся редчайшим активом продвижения для биометрии (Face2 в этом отношении старше Face2-бренда, поскольку технологическая платформа обкатывалась банком ещё за четыре года до запуска коммерческой системы), используется минимально — он не оформлен ни как сторителлинг, ни как Physical evidence для массовой аудитории.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Из четырёх пробелов параграфа 2.2 банк предпринимает действия только по одному — пробел собственного производства терминалов компенсируется работой с партнёрским оборудованием [27]. Остальные три пробела — отсутствие независимой международной верификации точности, локальный масштаб и отсутствие в линейке отдельного решения по детекции дипфейков — остаются открытыми. Все они одновременно являются и техническими, и маркетинговыми пробелами: отсутствие верификации можно частично компенсировать публикацией статистики FAR/FRR из реальных внедрений, отсутствие масштаба — выходом на федеральные деловые СМИ через регулярную редакционную программу, отсутствие антидипфейк-функциональности — позиционированием через банковский контур многоконтурной защиты и партнёрством с разработчиком профильного решения. Ни одно из этих компенсирующих коммуникационных действий в открытом контуре не реализовано.</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Главный вывод подраздела: в текущей конфигурации продвижение Face2 структурно «недотягивает» до конкурентной позиции, выявленной в параграфе 2.2. Регуляторный и инфраструктурный фундамент продукта сильнее, чем то, как продукт подаётся рынку.</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SWOT-анализ продвижения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Сводная характеристика продвижения Face2 в формате SWOT дана в таблице 2.3.6. SWOT строится строго в маркетинговой плоскости — общая характеристика продукта и банка собрана в параграфе 2.1, рыночный контекст и конкурентные позиции — в параграфе 2.2, и здесь они не повторяются. Зона интереса — только то, что относится к коммуникационному контуру и его инструментам.</w:t>
      </w:r>
    </w:p>
    <w:p>
      <w:pPr>
        <w:keepNext/>
        <w:keepLines/>
        <w:spacing w:before="12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Таблица 2.3.6</w:t>
      </w:r>
    </w:p>
    <w:p>
      <w:pPr>
        <w:keepNext/>
        <w:keepLines/>
        <w:spacing w:before="0" w:after="6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SWOT-анализ продвижения Face2</w:t>
      </w:r>
    </w:p>
    <w:tbl>
      <w:tblPr>
        <w:tblW w:w="963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819"/>
        <w:gridCol w:w="4819"/>
      </w:tblGrid>
      <w:tr>
        <w:trPr>
          <w:tblHeader/>
          <w:cantSplit/>
        </w:trPr>
        <w:tc>
          <w:tcPr>
            <w:tcW w:w="481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S — сильные стороны продвижения</w:t>
            </w:r>
          </w:p>
        </w:tc>
        <w:tc>
          <w:tcPr>
            <w:tcW w:w="481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W — слабые стороны продвижения</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Полный пул Physical evidence: КБС, ФСБ, ФСТЭК, реестр ПО, № 115-ФЗ (№ 101) [27; 36]</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Локальный охват СМИ — концентрация в Татарстане</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Партнёрства федерального уровня в одном проекте: Минцифры, Минтранс, ЦБТ, НСПК [28, с. 30–31]</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отдельного бренда Face2 в соцсетях [28, с. 33]</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Внутренняя демозона: 5 000+ сотрудников × 200 биотерминалов [27]</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регулярного контент-конвейера и редпрограммы</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Карта жителя РТ как канал через социальную инфраструктуру (450 тыс. карт, биометрия в приложении) [28, с. 28–29]</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независимой верификации точности (NIST FRTE, iBeta, CVPR)</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Стаж в ЕБС с 10.07.2018 — готовый сторителлинг [40]</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Публичные тарифы, ROI-калькулятор, конверсионная механика на сайте отсутствуют</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Рейтинги «A» и ESG-A банка как Physical evidence второго уровня [28, с. 4]</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Минимальная публичная экспертная команда (один контакт продаж) [27]</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Необновлённая исходная маркетинговая гипотеза 2018 г. об органическом спросе [40]</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 — возможности рынка**</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**T — угрозы продвижения**</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Девятикратный рост числа биометрических платежей (9 мес. 2025 / 9 мес. 2024) [38]</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Доминирование Сбера в B2C-биоэквайринге: 700 тыс. терминалов, 30 млн зарегистрированных, 116 млрд руб. за 2025 г. [32]</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420-ФЗ и 421-ФЗ — растёт ценность аккредитованных операторов [27]</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Отрыв VisionLabs по NIST FRTE и работа в 38 странах [37]</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10+ млн пользователей в ЕБС к началу 2026 г. — клиентская база без повторной сдачи [38]</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OVISION — полный цикл СКУД с собственным аппаратом и федеральными референсами (РЖД, Мосэнергосбыт, Тульская обл.) [39]</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массовой коммерциализации: средний чек ≈ 770 руб., рост по числу транзакций [38]</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Репутационный риск утечек у любого аккредитованного оператора — удар по доверию ко всему классу</w:t>
            </w:r>
          </w:p>
        </w:tc>
      </w:tr>
    </w:tbl>
    <w:p>
      <w:pPr>
        <w:spacing w:before="0" w:after="20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i/>
          <w:iCs/>
          <w:color w:val="000000"/>
          <w:sz w:val="24"/>
          <w:szCs w:val="24"/>
          <w:lang w:val="ru-RU"/>
        </w:rPr>
        <w:t xml:space="preserve">Источник: </w:t>
      </w:r>
      <w:r>
        <w:rPr>
          <w:rFonts w:ascii="Times New Roman" w:hAnsi="Times New Roman" w:cs="Times New Roman" w:eastAsia="Times New Roman"/>
          <w:color w:val="000000"/>
          <w:sz w:val="24"/>
          <w:szCs w:val="24"/>
          <w:lang w:val="ru-RU"/>
        </w:rPr>
        <w:t xml:space="preserve">составлено автором по данным [27; 28, с. 4, 28–33; 32; 36; 37; 38; 39; 40]</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Сильные стороны продвижения сосредоточены в инфраструктурном и партнёрском слоях. Полный пул Physical evidence (полный набор регуляторных статусов, шестилетний стаж в ЕБС, рейтинги «A» и ESG-A банка), беспрецедентная для рынка референсная база партнёрств федерального уровня в одном проекте, внутренняя демозона как естественный «полигон» отладки клиентского опыта, встроенность в Карту жителя Республики Татарстан — каждое из этих преимуществ по отдельности встречается у разных конкурентов, но именно их совокупность характерна только для Face2 на текущем рынке.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Слабые стороны симметричны сильным: всё, что сильно в push-контуре, слабо в pull-контуре. Локальный географический охват СМИ, отсутствие отдельного бренда в социальных сетях, отсутствие регулярного контент-конвейера, отсутствие независимой верификации точности, отсутствие публикуемых тарифов и конверсионной механики на сайте, минимальная публичная экспертная команда — это не отдельные проблемы, а единый кластер недозагрузки массовых маркетинговых инструментов. К нему добавляется фундаментальная слабость — необновлённость исходной маркетинговой гипотезы 2018 года об органическом спросе в условиях рынка, прошедшего точку массовой коммерциализации.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Возможности рынка работают в пользу Face2 одновременно по трём направлениям. Девятикратный годовой рост числа биометрических платежей и пятикратный рост оборота создают эффект повседневности, при котором сценарии оплаты лицом, прохода и заселения становятся для пользователя привычными — это снижает барьер доверия в новых сегментах [38]. Ужесточение ответственности за неправомерное обращение с биометрией после 420-ФЗ и 421-ФЗ повышает ценность аккредитованных операторов как класса и одновременно увеличивает регуляторные риски для не имеющих аккредитации игроков [27]. Накопление 10 млн+ пользователей в ЕБС к началу 2026 года формирует готовую клиентскую базу, не требующую повторной сдачи биометрии, и удешевляет для Face2 каждый последующий маркетинговый рубль [38].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Угрозы продвижения распределены по трём осям: масштабная — Сбер с 700 тыс. терминалов, 30 млн зарегистрированных и 116 млрд рублей оборота за 2025 год доминирует в B2C-биоэквайринге [32]; технологическая — VisionLabs удерживает отрыв по независимой верификации точности через NIST FRTE и работает в 38 странах [37]; продуктовая — OVISION закрывает рынок полного цикла СКУД с собственным аппаратом и федеральными референсами [39]. Дополнительная общая угроза — репутационные риски утечек у любого аккредитованного оператора биометрии, способные ударить по доверию ко всему классу одновременно.</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Структурный вывод SWOT: продвижение Face2 находится в диспозиции, при которой сильные стороны не масштабируются, а слабые стороны сосредоточены в той части маркетингового инструментария, где у банка уже есть необходимые ресурсы (банковская экосистема, рейтинги, региональные данные). Это вопрос конфигурации, а не дополнительных вложений — основа для управленческой повестки главы 3.</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Сводный перечень пробелов продвижения и переход к главе 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Восемь пробелов продвижения, последовательно зафиксированных в предыдущих подразделах настоящего параграфа, агрегированы в таблицу 2.3.7. Эта таблица одновременно завершает анализ текущего состояния и формирует управленческую повестку для главы 3 — каждый пробел переходит в задачу разработки стратегии продвижения.</w:t>
      </w:r>
    </w:p>
    <w:p>
      <w:pPr>
        <w:keepNext/>
        <w:keepLines/>
        <w:spacing w:before="12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Таблица 2.3.7</w:t>
      </w:r>
    </w:p>
    <w:p>
      <w:pPr>
        <w:keepNext/>
        <w:keepLines/>
        <w:spacing w:before="0" w:after="6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Сводный перечень пробелов продвижения Face2 как управленческая повестка для главы 3</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43"/>
        <w:gridCol w:w="1724"/>
        <w:gridCol w:w="3696"/>
        <w:gridCol w:w="1724"/>
        <w:gridCol w:w="1848"/>
      </w:tblGrid>
      <w:tr>
        <w:trPr>
          <w:tblHeader/>
          <w:cantSplit/>
        </w:trPr>
        <w:tc>
          <w:tcPr>
            <w:tcW w:w="643"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w:t>
            </w:r>
          </w:p>
        </w:tc>
        <w:tc>
          <w:tcPr>
            <w:tcW w:w="1724"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Пробел</w:t>
            </w:r>
          </w:p>
        </w:tc>
        <w:tc>
          <w:tcPr>
            <w:tcW w:w="3696"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Содержание</w:t>
            </w:r>
          </w:p>
        </w:tc>
        <w:tc>
          <w:tcPr>
            <w:tcW w:w="1724"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Группа пробелов</w:t>
            </w:r>
          </w:p>
        </w:tc>
        <w:tc>
          <w:tcPr>
            <w:tcW w:w="1848"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Где зафиксирован</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w:t>
            </w:r>
          </w:p>
        </w:tc>
        <w:tc>
          <w:tcPr>
            <w:tcW w:w="17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Канальный</w:t>
            </w:r>
          </w:p>
        </w:tc>
        <w:tc>
          <w:tcPr>
            <w:tcW w:w="369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Push-каналы (B2B/B2G, партнёрства, пилоты) сильны; pull-каналы (массовые СМИ вне РТ, отдельный бренд в соцсетях) фрагментарны</w:t>
            </w:r>
          </w:p>
        </w:tc>
        <w:tc>
          <w:tcPr>
            <w:tcW w:w="17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w:t>
            </w:r>
          </w:p>
        </w:tc>
        <w:tc>
          <w:tcPr>
            <w:tcW w:w="18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Инвентаризация каналов</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17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Контентный</w:t>
            </w:r>
          </w:p>
        </w:tc>
        <w:tc>
          <w:tcPr>
            <w:tcW w:w="369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Регуляторный капитал (КБС, аккредитации, № 115-ФЗ, стаж с 2018 г.) не переведён в массовое сообщение «доверие»</w:t>
            </w:r>
          </w:p>
        </w:tc>
        <w:tc>
          <w:tcPr>
            <w:tcW w:w="17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w:t>
            </w:r>
          </w:p>
        </w:tc>
        <w:tc>
          <w:tcPr>
            <w:tcW w:w="18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7P; Соответствие нише</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w:t>
            </w:r>
          </w:p>
        </w:tc>
        <w:tc>
          <w:tcPr>
            <w:tcW w:w="17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Сегментный</w:t>
            </w:r>
          </w:p>
        </w:tc>
        <w:tc>
          <w:tcPr>
            <w:tcW w:w="369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«Гостеприимство» и «возрастная верификация в ритейле» заявлены продуктово, публичных кейсов нет</w:t>
            </w:r>
          </w:p>
        </w:tc>
        <w:tc>
          <w:tcPr>
            <w:tcW w:w="17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w:t>
            </w:r>
          </w:p>
        </w:tc>
        <w:tc>
          <w:tcPr>
            <w:tcW w:w="18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Сегментация</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17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Доказательный</w:t>
            </w:r>
          </w:p>
        </w:tc>
        <w:tc>
          <w:tcPr>
            <w:tcW w:w="369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независимой международной верификации точности (NIST FRTE, iBeta, CVPR)</w:t>
            </w:r>
          </w:p>
        </w:tc>
        <w:tc>
          <w:tcPr>
            <w:tcW w:w="17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w:t>
            </w:r>
          </w:p>
        </w:tc>
        <w:tc>
          <w:tcPr>
            <w:tcW w:w="18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7P; Соответствие нише</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17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People</w:t>
            </w:r>
          </w:p>
        </w:tc>
        <w:tc>
          <w:tcPr>
            <w:tcW w:w="369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публичной линейки спикеров (CISO, юрист по 572-ФЗ, продакт-менеджер); один публичный контакт продаж</w:t>
            </w:r>
          </w:p>
        </w:tc>
        <w:tc>
          <w:tcPr>
            <w:tcW w:w="17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w:t>
            </w:r>
          </w:p>
        </w:tc>
        <w:tc>
          <w:tcPr>
            <w:tcW w:w="18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7P</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w:t>
            </w:r>
          </w:p>
        </w:tc>
        <w:tc>
          <w:tcPr>
            <w:tcW w:w="17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Конверсионный</w:t>
            </w:r>
          </w:p>
        </w:tc>
        <w:tc>
          <w:tcPr>
            <w:tcW w:w="369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На face2.ru нет CTA-механики (заявка на пилот, демо-доступ, ROI-калькулятор), автоматическая воронка не оформлена</w:t>
            </w:r>
          </w:p>
        </w:tc>
        <w:tc>
          <w:tcPr>
            <w:tcW w:w="17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Инфраструктура воронки</w:t>
            </w:r>
          </w:p>
        </w:tc>
        <w:tc>
          <w:tcPr>
            <w:tcW w:w="18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Инвентаризация каналов; 7P</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w:t>
            </w:r>
          </w:p>
        </w:tc>
        <w:tc>
          <w:tcPr>
            <w:tcW w:w="17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Лояльностный / референсный</w:t>
            </w:r>
          </w:p>
        </w:tc>
        <w:tc>
          <w:tcPr>
            <w:tcW w:w="369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системной работы с референс-клиентами: отзывы, кейсы, NPS, повторные продажи модулей</w:t>
            </w:r>
          </w:p>
        </w:tc>
        <w:tc>
          <w:tcPr>
            <w:tcW w:w="17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Инфраструктура воронки</w:t>
            </w:r>
          </w:p>
        </w:tc>
        <w:tc>
          <w:tcPr>
            <w:tcW w:w="18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Маркетинговая воронка</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w:t>
            </w:r>
          </w:p>
        </w:tc>
        <w:tc>
          <w:tcPr>
            <w:tcW w:w="17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Географический</w:t>
            </w:r>
          </w:p>
        </w:tc>
        <w:tc>
          <w:tcPr>
            <w:tcW w:w="369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Коммерческое присутствие сконцентрировано в РТ; банковская экосистема (АБО — 930 тыс.) и Карта жителя РТ как ресурсы распространения вне РТ не задействованы</w:t>
            </w:r>
          </w:p>
        </w:tc>
        <w:tc>
          <w:tcPr>
            <w:tcW w:w="17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w:t>
            </w:r>
          </w:p>
        </w:tc>
        <w:tc>
          <w:tcPr>
            <w:tcW w:w="18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Сегментация; Соответствие нише</w:t>
            </w:r>
          </w:p>
        </w:tc>
      </w:tr>
    </w:tbl>
    <w:p>
      <w:pPr>
        <w:spacing w:before="0" w:after="20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i/>
          <w:iCs/>
          <w:color w:val="000000"/>
          <w:sz w:val="24"/>
          <w:szCs w:val="24"/>
          <w:lang w:val="ru-RU"/>
        </w:rPr>
        <w:t xml:space="preserve">Источник: </w:t>
      </w:r>
      <w:r>
        <w:rPr>
          <w:rFonts w:ascii="Times New Roman" w:hAnsi="Times New Roman" w:cs="Times New Roman" w:eastAsia="Times New Roman"/>
          <w:color w:val="000000"/>
          <w:sz w:val="24"/>
          <w:szCs w:val="24"/>
          <w:lang w:val="ru-RU"/>
        </w:rPr>
        <w:t xml:space="preserve">составлено автором по результатам предыдущих подразделов настоящего параграфа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Восемь пробелов в таблице 2.3.7 не являются независимыми. Они образуют связанный кластер вокруг одной общей характеристики — преимущественно push-ориентированного продвижения банковского сервисного игрока с локальной коммерческой базой, опирающегося на устаревшую гипотезу органического спроса. Канальный пробел (1), географический пробел (8) и сегментный пробел (3) — это пробелы охвата. Контентный пробел (2), доказательный пробел (4) и People-пробел (5) — это пробелы аргументации. Конверсионный пробел (6) и лояльностный пробел (7) — это пробелы инфраструктуры воронки. Управленческая повестка главы 3 распадается на три параллельных направления — расширение охвата, усиление аргументации, достройка инфраструктуры воронки.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Связь с уже занятой конкурентной нишей определяет приоритеты. Регуляторное преимущество, банковская экосистема и шестилетний стаж в ЕБС — те ресурсы, которые в продвижении не нужно создавать, а нужно только активизировать. Это означает, что разрабатываемая стратегия продвижения Face2 не должна строиться в логике догоняющего марша к Сберу или верификационного состязания с VisionLabs — обе эти траектории требуют ресурсов, которых у банка нет в нужных объёмах. Стратегия должна строиться в логике конвертации уже накопленного институционального и инфраструктурного капитала в массовое сообщение и в массовый канал, при сохранении сильной B2B-составляющей и без размывания регуляторного позиционирования.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Эта рамка задаёт переход к главе 3. В параграфе 3.1 управленческая повестка восьми пробелов переводится в цели и задачи стратегии продвижения, формируется приоритизация целевых сегментов и обновляется позиционирование. В параграфе 3.2 на этой основе разрабатывается комплекс маркетинговых мероприятий — стратегические направления, отраслевые офферы для приоритетных сегментов, каналы продвижения, контентная и PR-стратегия, дорожная карта реализации. В параграфе 3.3 предложенная стратегия проверяется на эффективность через KPI, экономический эффект, оценку рисков и организационный план внедрения.</w:t>
      </w:r>
    </w:p>
    <w:p>
      <w:pPr>
        <w:spacing w:before="0" w:after="0" w:line="240" w:lineRule="auto"/>
        <w:jc w:val="both"/>
        <w:rPr>
          <w:rFonts w:ascii="Times New Roman" w:hAnsi="Times New Roman" w:cs="Times New Roman" w:eastAsia="Times New Roman"/>
          <w:sz w:val="28"/>
          <w:szCs w:val="28"/>
          <w:lang w:val="ru-RU"/>
        </w:rPr>
      </w:pPr>
    </w:p>
    <w:p>
      <w:pPr>
        <w:keepNext/>
        <w:keepLines/>
        <w:spacing w:before="24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ВЫВОД ПО ГЛАВЕ 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Глава 2 описала Ак Барс Банк как разработчика Face2 — крупный региональный банк с активами 1,16 трлн рублей, рейтингами «A» по национальной шкале и собственной биометрической вертикалью с аккредитацией Минцифры по правилам КБС, сертификацией ФСБ и ФСТЭК, внутренней инсталляцией на 5 000+ сотрудников и пилотами с Минцифры, Минтрансом и НСПК [25, с. 1–3; 27; 28, с. 30–31]. Российский рынок биометрии прошёл точку массовой коммерциализации — 145,9 млн платежей и 112,5 млрд рублей оборота за девять месяцев 2025 года, свыше 10 млн пользователей ЕБС — и работает в жёсткой регуляторной рамке 572-ФЗ, ограничивающей круг операторов аккредитованными игроками [33; 38; 43]. Балльная экспертная оценка под целевой сегмент B2B и B2G со сценариями работы с физическими лицами через ЕБС вывела Face2 на разделённую вторую позицию (4,10) после Сбера (4,25), а собственный конкурентный сегмент банка — пересечение банковской экосистемы, права работы с биометрией физических лиц через ЕБС и продуктовой линейки под платежи, проход и подтверждение возраста — у ключевых конкурентов отсутствует [27; 32; 36; 37; 39]. Анализ текущего продвижения через STP, 7P, маркетинговую воронку с этапом «Доверие» и карту каналов выявил структурную асимметрию: push-каналы развиты сильно, pull-каналы фрагментарны, что собирается в восемь связанных пробелов — канальный, контентный, сегментный, доказательный, People, конверсионный, лояльностный и географический [27; 28, с. 28–33; 36; 40]. Эта расстановка задаёт управленческую повестку для главы 3 — спроектировать стратегию продвижения, опирающуюся на сильные стороны Face2 (регуляторный капитал, банковская экосистема, стаж в ЕБС с 2018 года) и закрывающую выявленные пробелы по трём направлениям: расширение охвата, усиление аргументации и достройка инфраструктуры воронки.</w:t>
      </w:r>
    </w:p>
    <w:p>
      <w:pPr>
        <w:spacing w:before="0" w:after="0" w:line="240" w:lineRule="auto"/>
        <w:jc w:val="both"/>
        <w:rPr>
          <w:rFonts w:ascii="Times New Roman" w:hAnsi="Times New Roman" w:cs="Times New Roman" w:eastAsia="Times New Roman"/>
          <w:sz w:val="28"/>
          <w:szCs w:val="28"/>
          <w:lang w:val="ru-RU"/>
        </w:rPr>
      </w:pPr>
    </w:p>
    <w:sectPr>
      <w:pgSz w:w="11906" w:h="16838"/>
      <w:pgMar w:top="1134" w:right="567" w:bottom="1134" w:left="1701" w:header="720" w:footer="720" w:gutter="0"/>
      <w:cols w:space="708"/>
      <w:docGrid w:linePitch="360"/>
    </w:sectPr>
  </w:body>
</w:document>
</file>

<file path=word/fontTable.xml><?xml version="1.0" encoding="utf-8"?>
<w:fonts xmlns:w="http://schemas.openxmlformats.org/wordprocessingml/2006/main">
  <w:font w:name="Times New Roman">
    <w:panose1 w:val="02020603050405020304"/>
    <w:charset w:val="CC"/>
    <w:family w:val="roman"/>
    <w:pitch w:val="variable"/>
  </w:font>
</w:fonts>
</file>

<file path=word/numbering.xml><?xml version="1.0" encoding="utf-8"?>
<w:numbering xmlns:w="http://schemas.openxmlformats.org/wordprocessingml/2006/main"/>
</file>

<file path=word/settings.xml><?xml version="1.0" encoding="utf-8"?>
<w:settings xmlns:w="http://schemas.openxmlformats.org/wordprocessingml/2006/main">
  <w:zoom w:percent="100"/>
  <w:defaultTabStop w:val="708"/>
  <w:characterSpacingControl w:val="doNotCompress"/>
  <w:compat>
    <w:compatSetting w:name="compatibilityMode" w:uri="http://schemas.microsoft.com/office/word" w:val="15"/>
  </w:compat>
  <w:themeFontLang w:val="ru-RU"/>
</w:settings>
</file>

<file path=word/styles.xml><?xml version="1.0" encoding="utf-8"?>
<w:styles xmlns:w="http://schemas.openxmlformats.org/wordprocessingml/2006/main">
  <w:docDefaults>
    <w:rPrDefault>
      <w:rPr>
        <w:rFonts w:ascii="Times New Roman" w:hAnsi="Times New Roman" w:cs="Times New Roman" w:eastAsia="Times New Roman"/>
        <w:sz w:val="28"/>
        <w:szCs w:val="28"/>
        <w:lang w:val="ru-RU" w:eastAsia="ru-RU" w:bidi="ar-SA"/>
      </w:rPr>
    </w:rPrDefault>
    <w:pPrDefault>
      <w:pPr>
        <w:spacing w:before="0" w:after="0" w:line="360" w:lineRule="auto"/>
        <w:jc w:val="both"/>
      </w:pPr>
    </w:pPrDefault>
  </w:docDefaults>
  <w:style w:type="paragraph" w:default="1" w:styleId="Normal">
    <w:name w:val="Normal"/>
    <w:qFormat/>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fontTable" Target="fontTable.xml"/>
  <Relationship Id="rId4" Type="http://schemas.openxmlformats.org/officeDocument/2006/relationships/numbering" Target="numbering.xml"/>
</Relationships>
</file>

<file path=docProps/app.xml><?xml version="1.0" encoding="utf-8"?>
<Properties xmlns="http://schemas.openxmlformats.org/officeDocument/2006/extended-properties" xmlns:vt="http://schemas.openxmlformats.org/officeDocument/2006/docPropsVTypes">
  <Application>VKR-builder</Application>
</Properties>
</file>

<file path=docProps/core.xml><?xml version="1.0" encoding="utf-8"?>
<cp:coreProperties xmlns:cp="http://schemas.openxmlformats.org/package/2006/metadata/core-properties" xmlns:dc="http://purl.org/dc/elements/1.1/" xmlns:dcterms="http://purl.org/dc/terms/" xmlns:xsi="http://www.w3.org/2001/XMLSchema-instance">
  <dc:title>Глава 2 ВКР — оформление</dc:title>
  <dc:creator>Автор</dc:creator>
  <cp:lastModifiedBy>Автор</cp:lastModifiedBy>
</cp:coreProperties>
</file>