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COMP2005 Winter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4 Iteration 2 plan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Group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03030"/>
                <w:sz w:val="24"/>
                <w:szCs w:val="24"/>
                <w:shd w:fill="fefefe" w:val="clear"/>
                <w:rtl w:val="0"/>
              </w:rPr>
              <w:t xml:space="preserve">Batten, Zachary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03030"/>
                <w:sz w:val="24"/>
                <w:szCs w:val="24"/>
                <w:shd w:fill="fefefe" w:val="clear"/>
                <w:rtl w:val="0"/>
              </w:rPr>
              <w:t xml:space="preserve">Guo, Rongrong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03030"/>
                <w:sz w:val="24"/>
                <w:szCs w:val="24"/>
                <w:shd w:fill="fefefe" w:val="clear"/>
                <w:rtl w:val="0"/>
              </w:rPr>
              <w:t xml:space="preserve">Manjira, Amandeep Singh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03030"/>
                <w:sz w:val="24"/>
                <w:szCs w:val="24"/>
                <w:shd w:fill="fefefe" w:val="clear"/>
                <w:rtl w:val="0"/>
              </w:rPr>
              <w:t xml:space="preserve">Pishva, Seyed Nima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03030"/>
                <w:sz w:val="24"/>
                <w:szCs w:val="24"/>
                <w:shd w:fill="fefefe" w:val="clear"/>
                <w:rtl w:val="0"/>
              </w:rPr>
              <w:t xml:space="preserve">Rabbe, Fysal 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625"/>
        <w:gridCol w:w="1785"/>
        <w:gridCol w:w="1425"/>
        <w:gridCol w:w="1350"/>
        <w:gridCol w:w="1605"/>
        <w:tblGridChange w:id="0">
          <w:tblGrid>
            <w:gridCol w:w="570"/>
            <w:gridCol w:w="2625"/>
            <w:gridCol w:w="1785"/>
            <w:gridCol w:w="1425"/>
            <w:gridCol w:w="135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Member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Review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Complete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Depends on 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"Choose Display Options"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1, 2, 4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"Choose Player Settings"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Sequence Diagram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1, 2, 4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Sequence Diagram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 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Revised use case descs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Weekend meeting after the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 meeting after the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Await Feedback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Revised use case descs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Weekend meeting after the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 meeting after the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Await Feedback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Revised Domain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1, 4, 5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Weekend meeting after the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 meeting after the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Await Feedback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2nd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3rd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Everyone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will be involved in the working of the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Minor release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of our application. </w:t>
      </w:r>
      <w:r w:rsidDel="00000000" w:rsidR="00000000" w:rsidRPr="00000000">
        <w:rPr>
          <w:sz w:val="24"/>
          <w:szCs w:val="24"/>
          <w:rtl w:val="0"/>
        </w:rPr>
        <w:t xml:space="preserve">The workload will be more clear after we all discuss the class diagram during our iteration 2 meeting 1 and have a meeting with the Prof. to get a clear vision on how to stay on target and if possible ahead.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the end of each week, we have a review meeting on the overall progress of the week and all the members are responsible for it.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