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52"/>
        </w:rPr>
        <w:t>Payment Gateway: Architecture &amp; Build Guide</w:t>
      </w:r>
    </w:p>
    <w:p>
      <w:pPr>
        <w:spacing w:before="0" w:after="280"/>
      </w:pPr>
      <w:r>
        <w:rPr>
          <w:rFonts w:ascii="Calibri" w:hAnsi="Calibri"/>
          <w:i/>
          <w:color w:val="0F766E"/>
          <w:sz w:val="26"/>
        </w:rPr>
        <w:t>From Domain Knowledge to Production Deployment (Extended Edition)</w:t>
      </w:r>
    </w:p>
    <w:p>
      <w:r>
        <w:rPr>
          <w:b/>
        </w:rPr>
        <w:t>For the FicMart Backend Engineer Project &amp; Production Systems Design</w:t>
      </w:r>
    </w:p>
    <w:p>
      <w:r>
        <w:t>This guide is your engineering companion for building a resilient, PCI-aware, production-ready payment gateway from scratch. Every section outlines WHAT to build and WHY it works, with concrete technical specifications, state machines, database schemas, and architectural trade-offs. The extended edition includes advanced enterprise capabilities: partial capture/refund pipelines, append-only event sourcing ledgers, circuit breakers, dead letter queues (DLQs), automated webhook dispatching, ISO 4217 multi-currency support, and automated chaos resilience testing.</w:t>
      </w: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50" w:type="dxa"/>
              <w:right w:w="150" w:type="dxa"/>
            </w:tcMar>
            <w:tcBorders>
              <w:left w:val="single" w:sz="24" w:space="0" w:color="3B82F6"/>
              <w:top w:val="none"/>
              <w:right w:val="none"/>
              <w:bottom w:val="none"/>
            </w:tcBorders>
          </w:tcPr>
          <w:p>
            <w:pPr>
              <w:spacing w:before="40" w:after="40"/>
            </w:pPr>
            <w:r>
              <w:rPr>
                <w:b/>
                <w:color w:val="1E3A8A"/>
                <w:sz w:val="19"/>
              </w:rPr>
              <w:t xml:space="preserve">📌 IMPORTANT NOTE: </w:t>
            </w:r>
            <w:r>
              <w:rPr>
                <w:color w:val="1E293B"/>
                <w:sz w:val="19"/>
              </w:rPr>
              <w:t>Do not skip Phase 1 even if you are an experienced software engineer. Payment systems have distinct failure modes, legal constraints, and distributed state challenges that do not exist in standard web APIs. Estimated completion time: 3 to 5 weeks.</w:t>
            </w:r>
          </w:p>
        </w:tc>
      </w:tr>
    </w:tbl>
    <w:p/>
    <w:p>
      <w:pPr>
        <w:keepNext/>
        <w:spacing w:before="280" w:after="80"/>
      </w:pPr>
      <w:r>
        <w:rPr>
          <w:rFonts w:ascii="Calibri" w:hAnsi="Calibri"/>
          <w:b/>
          <w:color w:val="0F766E"/>
          <w:sz w:val="25"/>
        </w:rPr>
        <w:t>Overview of Build Phases</w:t>
      </w:r>
    </w:p>
    <w:tbl>
      <w:tblPr>
        <w:tblW w:type="auto" w:w="0"/>
        <w:jc w:val="center"/>
        <w:tblLook w:firstColumn="1" w:firstRow="1" w:lastColumn="0" w:lastRow="0" w:noHBand="0" w:noVBand="1" w:val="04A0"/>
      </w:tblPr>
      <w:tblGrid>
        <w:gridCol w:w="4680"/>
        <w:gridCol w:w="4680"/>
      </w:tblGrid>
      <w:tr>
        <w:trPr>
          <w:cantSplit/>
          <w:tblHeader/>
        </w:trPr>
        <w:tc>
          <w:tcPr>
            <w:tcW w:type="dxa" w:w="4680"/>
            <w:shd w:fill="1E3A8A"/>
            <w:tcMar>
              <w:top w:w="140" w:type="dxa"/>
              <w:bottom w:w="140" w:type="dxa"/>
              <w:left w:w="180" w:type="dxa"/>
              <w:right w:w="180" w:type="dxa"/>
            </w:tcMar>
          </w:tcPr>
          <w:p>
            <w:pPr>
              <w:spacing w:before="40" w:after="40"/>
            </w:pPr>
            <w:r>
              <w:rPr>
                <w:b/>
                <w:color w:val="FFFFFF"/>
                <w:sz w:val="19"/>
              </w:rPr>
              <w:t>Phase</w:t>
            </w:r>
          </w:p>
        </w:tc>
        <w:tc>
          <w:tcPr>
            <w:tcW w:type="dxa" w:w="4680"/>
            <w:shd w:fill="1E3A8A"/>
            <w:tcMar>
              <w:top w:w="140" w:type="dxa"/>
              <w:bottom w:w="140" w:type="dxa"/>
              <w:left w:w="180" w:type="dxa"/>
              <w:right w:w="180" w:type="dxa"/>
            </w:tcMar>
          </w:tcPr>
          <w:p>
            <w:pPr>
              <w:spacing w:before="40" w:after="40"/>
            </w:pPr>
            <w:r>
              <w:rPr>
                <w:b/>
                <w:color w:val="FFFFFF"/>
                <w:sz w:val="19"/>
              </w:rPr>
              <w:t>Scope &amp; Components Built</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Phase 1 — Foundation</w:t>
            </w:r>
          </w:p>
        </w:tc>
        <w:tc>
          <w:tcPr>
            <w:tcW w:type="dxa" w:w="4680"/>
            <w:shd w:fill="F8FAFC"/>
            <w:tcMar>
              <w:top w:w="100" w:type="dxa"/>
              <w:bottom w:w="100" w:type="dxa"/>
              <w:left w:w="180" w:type="dxa"/>
              <w:right w:w="180" w:type="dxa"/>
            </w:tcMar>
          </w:tcPr>
          <w:p>
            <w:pPr>
              <w:spacing w:before="40" w:after="40"/>
            </w:pPr>
            <w:r>
              <w:rPr>
                <w:color w:val="1E293B"/>
                <w:sz w:val="19"/>
              </w:rPr>
              <w:t>Domain knowledge: 4-party model, authorize-capture pattern, distributed state, ACID locking, and ISO 4217 multi-currency minor units.</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Phase 2 — Core Gateway</w:t>
            </w:r>
          </w:p>
        </w:tc>
        <w:tc>
          <w:tcPr>
            <w:tcW w:type="dxa" w:w="4680"/>
            <w:shd w:fill="FFFFFF"/>
            <w:tcMar>
              <w:top w:w="100" w:type="dxa"/>
              <w:bottom w:w="100" w:type="dxa"/>
              <w:left w:w="180" w:type="dxa"/>
              <w:right w:w="180" w:type="dxa"/>
            </w:tcMar>
          </w:tcPr>
          <w:p>
            <w:pPr>
              <w:spacing w:before="40" w:after="40"/>
            </w:pPr>
            <w:r>
              <w:rPr>
                <w:color w:val="1E293B"/>
                <w:sz w:val="19"/>
              </w:rPr>
              <w:t>Layered architecture, PostgreSQL schemas (payments, idempotency, event sourcing audit ledger), partial captures/refunds, and REST API.</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Phase 3 — Resilience &amp; Security</w:t>
            </w:r>
          </w:p>
        </w:tc>
        <w:tc>
          <w:tcPr>
            <w:tcW w:type="dxa" w:w="4680"/>
            <w:shd w:fill="F8FAFC"/>
            <w:tcMar>
              <w:top w:w="100" w:type="dxa"/>
              <w:bottom w:w="100" w:type="dxa"/>
              <w:left w:w="180" w:type="dxa"/>
              <w:right w:w="180" w:type="dxa"/>
            </w:tcMar>
          </w:tcPr>
          <w:p>
            <w:pPr>
              <w:spacing w:before="40" w:after="40"/>
            </w:pPr>
            <w:r>
              <w:rPr>
                <w:color w:val="1E293B"/>
                <w:sz w:val="19"/>
              </w:rPr>
              <w:t>Deterministic bank keys, retry backoff with jitter, conditional atomic locking, reconciliation sweeper, circuit breakers, DLQs, webhooks, and PCI redaction.</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Phase 4 — Testing &amp; Chaos</w:t>
            </w:r>
          </w:p>
        </w:tc>
        <w:tc>
          <w:tcPr>
            <w:tcW w:type="dxa" w:w="4680"/>
            <w:shd w:fill="FFFFFF"/>
            <w:tcMar>
              <w:top w:w="100" w:type="dxa"/>
              <w:bottom w:w="100" w:type="dxa"/>
              <w:left w:w="180" w:type="dxa"/>
              <w:right w:w="180" w:type="dxa"/>
            </w:tcMar>
          </w:tcPr>
          <w:p>
            <w:pPr>
              <w:spacing w:before="40" w:after="40"/>
            </w:pPr>
            <w:r>
              <w:rPr>
                <w:color w:val="1E293B"/>
                <w:sz w:val="19"/>
              </w:rPr>
              <w:t>Unit test suites, integration tests with PostgreSQL, live mock bank E2E test suite, and automated fault-injection/chaos testing.</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Phase 5 — DevOps &amp; Observability</w:t>
            </w:r>
          </w:p>
        </w:tc>
        <w:tc>
          <w:tcPr>
            <w:tcW w:type="dxa" w:w="4680"/>
            <w:shd w:fill="F8FAFC"/>
            <w:tcMar>
              <w:top w:w="100" w:type="dxa"/>
              <w:bottom w:w="100" w:type="dxa"/>
              <w:left w:w="180" w:type="dxa"/>
              <w:right w:w="180" w:type="dxa"/>
            </w:tcMar>
          </w:tcPr>
          <w:p>
            <w:pPr>
              <w:spacing w:before="40" w:after="40"/>
            </w:pPr>
            <w:r>
              <w:rPr>
                <w:color w:val="1E293B"/>
                <w:sz w:val="19"/>
              </w:rPr>
              <w:t>Multi-stage Docker, migrations tooling, JSON structured logging, health checks, GitHub Actions CI/CD, Prometheus metrics, and OpenTelemetry tracing.</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Phase 6 — TRADEOFFS.md</w:t>
            </w:r>
          </w:p>
        </w:tc>
        <w:tc>
          <w:tcPr>
            <w:tcW w:type="dxa" w:w="4680"/>
            <w:shd w:fill="FFFFFF"/>
            <w:tcMar>
              <w:top w:w="100" w:type="dxa"/>
              <w:bottom w:w="100" w:type="dxa"/>
              <w:left w:w="180" w:type="dxa"/>
              <w:right w:w="180" w:type="dxa"/>
            </w:tcMar>
          </w:tcPr>
          <w:p>
            <w:pPr>
              <w:spacing w:before="40" w:after="40"/>
            </w:pPr>
            <w:r>
              <w:rPr>
                <w:color w:val="1E293B"/>
                <w:sz w:val="19"/>
              </w:rPr>
              <w:t>Comprehensive architectural defense covering concurrency, event sourcing vs in-place mutations, failure recovery, and 10k TPS scalability.</w:t>
            </w:r>
          </w:p>
        </w:tc>
      </w:tr>
    </w:tbl>
    <w:p/>
    <w:p>
      <w:pPr>
        <w:keepNext/>
        <w:spacing w:before="360" w:after="120"/>
      </w:pPr>
      <w:r>
        <w:rPr>
          <w:rFonts w:ascii="Calibri" w:hAnsi="Calibri"/>
          <w:b/>
          <w:color w:val="1E3A8A"/>
          <w:sz w:val="32"/>
        </w:rPr>
        <w:t>Phase 1 — Domain Knowledge &amp; Fundamentals</w:t>
      </w:r>
    </w:p>
    <w:p>
      <w:r>
        <w:t>Before writing code, you must master the mechanics of financial transactions. Payment gateways sit between merchants and banking rails, where network unreliability and race conditions can result in actual financial loss.</w:t>
      </w:r>
    </w:p>
    <w:p>
      <w:pPr>
        <w:keepNext/>
        <w:spacing w:before="280" w:after="80"/>
      </w:pPr>
      <w:r>
        <w:rPr>
          <w:rFonts w:ascii="Calibri" w:hAnsi="Calibri"/>
          <w:b/>
          <w:color w:val="0F766E"/>
          <w:sz w:val="25"/>
        </w:rPr>
        <w:t>1.1 How Card Payments Work in the Real World</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40" w:type="dxa"/>
              <w:bottom w:w="140" w:type="dxa"/>
              <w:left w:w="180" w:type="dxa"/>
              <w:right w:w="180" w:type="dxa"/>
            </w:tcMar>
          </w:tcPr>
          <w:p>
            <w:pPr>
              <w:spacing w:before="40" w:after="40"/>
            </w:pPr>
            <w:r>
              <w:rPr>
                <w:b/>
                <w:color w:val="FFFFFF"/>
                <w:sz w:val="19"/>
              </w:rPr>
              <w:t>Party</w:t>
            </w:r>
          </w:p>
        </w:tc>
        <w:tc>
          <w:tcPr>
            <w:tcW w:type="dxa" w:w="3120"/>
            <w:shd w:fill="1E3A8A"/>
            <w:tcMar>
              <w:top w:w="140" w:type="dxa"/>
              <w:bottom w:w="140" w:type="dxa"/>
              <w:left w:w="180" w:type="dxa"/>
              <w:right w:w="180" w:type="dxa"/>
            </w:tcMar>
          </w:tcPr>
          <w:p>
            <w:pPr>
              <w:spacing w:before="40" w:after="40"/>
            </w:pPr>
            <w:r>
              <w:rPr>
                <w:b/>
                <w:color w:val="FFFFFF"/>
                <w:sz w:val="19"/>
              </w:rPr>
              <w:t>Real World Role</w:t>
            </w:r>
          </w:p>
        </w:tc>
        <w:tc>
          <w:tcPr>
            <w:tcW w:type="dxa" w:w="3120"/>
            <w:shd w:fill="1E3A8A"/>
            <w:tcMar>
              <w:top w:w="140" w:type="dxa"/>
              <w:bottom w:w="140" w:type="dxa"/>
              <w:left w:w="180" w:type="dxa"/>
              <w:right w:w="180" w:type="dxa"/>
            </w:tcMar>
          </w:tcPr>
          <w:p>
            <w:pPr>
              <w:spacing w:before="40" w:after="40"/>
            </w:pPr>
            <w:r>
              <w:rPr>
                <w:b/>
                <w:color w:val="FFFFFF"/>
                <w:sz w:val="19"/>
              </w:rPr>
              <w:t>In This Project</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Cardholder</w:t>
            </w:r>
          </w:p>
        </w:tc>
        <w:tc>
          <w:tcPr>
            <w:tcW w:type="dxa" w:w="3120"/>
            <w:shd w:fill="F8FAFC"/>
            <w:tcMar>
              <w:top w:w="100" w:type="dxa"/>
              <w:bottom w:w="100" w:type="dxa"/>
              <w:left w:w="180" w:type="dxa"/>
              <w:right w:w="180" w:type="dxa"/>
            </w:tcMar>
          </w:tcPr>
          <w:p>
            <w:pPr>
              <w:spacing w:before="40" w:after="40"/>
            </w:pPr>
            <w:r>
              <w:rPr>
                <w:color w:val="1E293B"/>
                <w:sz w:val="19"/>
              </w:rPr>
              <w:t>The customer owning the debit/credit card.</w:t>
            </w:r>
          </w:p>
        </w:tc>
        <w:tc>
          <w:tcPr>
            <w:tcW w:type="dxa" w:w="3120"/>
            <w:shd w:fill="F8FAFC"/>
            <w:tcMar>
              <w:top w:w="100" w:type="dxa"/>
              <w:bottom w:w="100" w:type="dxa"/>
              <w:left w:w="180" w:type="dxa"/>
              <w:right w:w="180" w:type="dxa"/>
            </w:tcMar>
          </w:tcPr>
          <w:p>
            <w:pPr>
              <w:spacing w:before="40" w:after="40"/>
            </w:pPr>
            <w:r>
              <w:rPr>
                <w:color w:val="1E293B"/>
                <w:sz w:val="19"/>
              </w:rPr>
              <w:t>Simulated by test card numbers.</w:t>
            </w:r>
          </w:p>
        </w:tc>
      </w:tr>
      <w:tr>
        <w:trPr>
          <w:cantSplit/>
        </w:trPr>
        <w:tc>
          <w:tcPr>
            <w:tcW w:type="dxa" w:w="3120"/>
            <w:shd w:fill="FFFFFF"/>
            <w:tcMar>
              <w:top w:w="100" w:type="dxa"/>
              <w:bottom w:w="100" w:type="dxa"/>
              <w:left w:w="180" w:type="dxa"/>
              <w:right w:w="180" w:type="dxa"/>
            </w:tcMar>
          </w:tcPr>
          <w:p>
            <w:pPr>
              <w:spacing w:before="40" w:after="40"/>
            </w:pPr>
            <w:r>
              <w:rPr>
                <w:color w:val="1E293B"/>
                <w:sz w:val="19"/>
              </w:rPr>
              <w:t>Issuing Bank</w:t>
            </w:r>
          </w:p>
        </w:tc>
        <w:tc>
          <w:tcPr>
            <w:tcW w:type="dxa" w:w="3120"/>
            <w:shd w:fill="FFFFFF"/>
            <w:tcMar>
              <w:top w:w="100" w:type="dxa"/>
              <w:bottom w:w="100" w:type="dxa"/>
              <w:left w:w="180" w:type="dxa"/>
              <w:right w:w="180" w:type="dxa"/>
            </w:tcMar>
          </w:tcPr>
          <w:p>
            <w:pPr>
              <w:spacing w:before="40" w:after="40"/>
            </w:pPr>
            <w:r>
              <w:rPr>
                <w:color w:val="1E293B"/>
                <w:sz w:val="19"/>
              </w:rPr>
              <w:t>The customer's financial institution that holds funds/credit.</w:t>
            </w:r>
          </w:p>
        </w:tc>
        <w:tc>
          <w:tcPr>
            <w:tcW w:type="dxa" w:w="3120"/>
            <w:shd w:fill="FFFFFF"/>
            <w:tcMar>
              <w:top w:w="100" w:type="dxa"/>
              <w:bottom w:w="100" w:type="dxa"/>
              <w:left w:w="180" w:type="dxa"/>
              <w:right w:w="180" w:type="dxa"/>
            </w:tcMar>
          </w:tcPr>
          <w:p>
            <w:pPr>
              <w:spacing w:before="40" w:after="40"/>
            </w:pPr>
            <w:r>
              <w:rPr>
                <w:color w:val="1E293B"/>
                <w:sz w:val="19"/>
              </w:rPr>
              <w:t>The mock bank server.</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Acquiring Bank</w:t>
            </w:r>
          </w:p>
        </w:tc>
        <w:tc>
          <w:tcPr>
            <w:tcW w:type="dxa" w:w="3120"/>
            <w:shd w:fill="F8FAFC"/>
            <w:tcMar>
              <w:top w:w="100" w:type="dxa"/>
              <w:bottom w:w="100" w:type="dxa"/>
              <w:left w:w="180" w:type="dxa"/>
              <w:right w:w="180" w:type="dxa"/>
            </w:tcMar>
          </w:tcPr>
          <w:p>
            <w:pPr>
              <w:spacing w:before="40" w:after="40"/>
            </w:pPr>
            <w:r>
              <w:rPr>
                <w:color w:val="1E293B"/>
                <w:sz w:val="19"/>
              </w:rPr>
              <w:t>The merchant's bank account receiving collected settlement.</w:t>
            </w:r>
          </w:p>
        </w:tc>
        <w:tc>
          <w:tcPr>
            <w:tcW w:type="dxa" w:w="3120"/>
            <w:shd w:fill="F8FAFC"/>
            <w:tcMar>
              <w:top w:w="100" w:type="dxa"/>
              <w:bottom w:w="100" w:type="dxa"/>
              <w:left w:w="180" w:type="dxa"/>
              <w:right w:w="180" w:type="dxa"/>
            </w:tcMar>
          </w:tcPr>
          <w:p>
            <w:pPr>
              <w:spacing w:before="40" w:after="40"/>
            </w:pPr>
            <w:r>
              <w:rPr>
                <w:color w:val="1E293B"/>
                <w:sz w:val="19"/>
              </w:rPr>
              <w:t>The mock bank server.</w:t>
            </w:r>
          </w:p>
        </w:tc>
      </w:tr>
      <w:tr>
        <w:trPr>
          <w:cantSplit/>
        </w:trPr>
        <w:tc>
          <w:tcPr>
            <w:tcW w:type="dxa" w:w="3120"/>
            <w:shd w:fill="FFFFFF"/>
            <w:tcMar>
              <w:top w:w="100" w:type="dxa"/>
              <w:bottom w:w="100" w:type="dxa"/>
              <w:left w:w="180" w:type="dxa"/>
              <w:right w:w="180" w:type="dxa"/>
            </w:tcMar>
          </w:tcPr>
          <w:p>
            <w:pPr>
              <w:spacing w:before="40" w:after="40"/>
            </w:pPr>
            <w:r>
              <w:rPr>
                <w:color w:val="1E293B"/>
                <w:sz w:val="19"/>
              </w:rPr>
              <w:t>Card Network</w:t>
            </w:r>
          </w:p>
        </w:tc>
        <w:tc>
          <w:tcPr>
            <w:tcW w:type="dxa" w:w="3120"/>
            <w:shd w:fill="FFFFFF"/>
            <w:tcMar>
              <w:top w:w="100" w:type="dxa"/>
              <w:bottom w:w="100" w:type="dxa"/>
              <w:left w:w="180" w:type="dxa"/>
              <w:right w:w="180" w:type="dxa"/>
            </w:tcMar>
          </w:tcPr>
          <w:p>
            <w:pPr>
              <w:spacing w:before="40" w:after="40"/>
            </w:pPr>
            <w:r>
              <w:rPr>
                <w:color w:val="1E293B"/>
                <w:sz w:val="19"/>
              </w:rPr>
              <w:t>Visa / Mastercard / Amex routing financial messages between banks.</w:t>
            </w:r>
          </w:p>
        </w:tc>
        <w:tc>
          <w:tcPr>
            <w:tcW w:type="dxa" w:w="3120"/>
            <w:shd w:fill="FFFFFF"/>
            <w:tcMar>
              <w:top w:w="100" w:type="dxa"/>
              <w:bottom w:w="100" w:type="dxa"/>
              <w:left w:w="180" w:type="dxa"/>
              <w:right w:w="180" w:type="dxa"/>
            </w:tcMar>
          </w:tcPr>
          <w:p>
            <w:pPr>
              <w:spacing w:before="40" w:after="40"/>
            </w:pPr>
            <w:r>
              <w:rPr>
                <w:color w:val="1E293B"/>
                <w:sz w:val="19"/>
              </w:rPr>
              <w:t>Handled internally by mock bank.</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Payment Gateway</w:t>
            </w:r>
          </w:p>
        </w:tc>
        <w:tc>
          <w:tcPr>
            <w:tcW w:type="dxa" w:w="3120"/>
            <w:shd w:fill="F8FAFC"/>
            <w:tcMar>
              <w:top w:w="100" w:type="dxa"/>
              <w:bottom w:w="100" w:type="dxa"/>
              <w:left w:w="180" w:type="dxa"/>
              <w:right w:w="180" w:type="dxa"/>
            </w:tcMar>
          </w:tcPr>
          <w:p>
            <w:pPr>
              <w:spacing w:before="40" w:after="40"/>
            </w:pPr>
            <w:r>
              <w:rPr>
                <w:color w:val="1E293B"/>
                <w:sz w:val="19"/>
              </w:rPr>
              <w:t>Secure software connecting the merchant (FicMart) to the banking rails.</w:t>
            </w:r>
          </w:p>
        </w:tc>
        <w:tc>
          <w:tcPr>
            <w:tcW w:type="dxa" w:w="3120"/>
            <w:shd w:fill="F8FAFC"/>
            <w:tcMar>
              <w:top w:w="100" w:type="dxa"/>
              <w:bottom w:w="100" w:type="dxa"/>
              <w:left w:w="180" w:type="dxa"/>
              <w:right w:w="180" w:type="dxa"/>
            </w:tcMar>
          </w:tcPr>
          <w:p>
            <w:pPr>
              <w:spacing w:before="40" w:after="40"/>
            </w:pPr>
            <w:r>
              <w:rPr>
                <w:color w:val="1E293B"/>
                <w:sz w:val="19"/>
              </w:rPr>
              <w:t>The system you are designing and building.</w:t>
            </w:r>
          </w:p>
        </w:tc>
      </w:tr>
    </w:tbl>
    <w:p/>
    <w:p>
      <w:pPr>
        <w:keepNext/>
        <w:spacing w:before="200" w:after="40"/>
      </w:pPr>
      <w:r>
        <w:rPr>
          <w:rFonts w:ascii="Calibri" w:hAnsi="Calibri"/>
          <w:b/>
          <w:color w:val="0F172A"/>
          <w:sz w:val="22"/>
        </w:rPr>
        <w:t>The Authorize-Capture Pattern</w:t>
      </w:r>
    </w:p>
    <w:p>
      <w:r>
        <w:t>Most e-commerce operations do NOT immediately charge a customer's payment method upon checkout. They utilize a multi-step lifecycle:</w:t>
        <w:br/>
        <w:t>• Authorize: A temporary hold is placed on customer funds/credit line. No actual funds move.</w:t>
        <w:br/>
        <w:t>• Capture: The transfer of reserved funds from issuing bank to acquiring bank is executed (usually when merchandise ships).</w:t>
        <w:br/>
        <w:t>• Void: Cancels an active authorization before capture. Releases the hold immediately without interchange transaction fees.</w:t>
        <w:br/>
        <w:t>• Refund: Transmits captured money back to the customer. This is a separate financial settlement transaction.</w:t>
      </w:r>
    </w:p>
    <w:p>
      <w:pPr>
        <w:keepNext/>
        <w:spacing w:before="280" w:after="80"/>
      </w:pPr>
      <w:r>
        <w:rPr>
          <w:rFonts w:ascii="Calibri" w:hAnsi="Calibri"/>
          <w:b/>
          <w:color w:val="0F766E"/>
          <w:sz w:val="25"/>
        </w:rPr>
        <w:t>1.2 Idempotency: The Core Primitive of Financial Systems</w:t>
      </w:r>
    </w:p>
    <w:p>
      <w:r>
        <w:t>In distributed architectures, networks are inherently unreliable. A request may reach the bank and succeed, but the response network packet drops before reaching your service. If the caller retries without idempotency guarantees, the customer gets charged twice. An Idempotency Key is a unique token generated per business operation. Repeating a request with the same idempotency key guarantees the exact same response without re-executing the financial operation.</w:t>
      </w:r>
    </w:p>
    <w:p>
      <w:pPr>
        <w:keepNext/>
        <w:spacing w:before="280" w:after="80"/>
      </w:pPr>
      <w:r>
        <w:rPr>
          <w:rFonts w:ascii="Calibri" w:hAnsi="Calibri"/>
          <w:b/>
          <w:color w:val="0F766E"/>
          <w:sz w:val="25"/>
        </w:rPr>
        <w:t>1.3 State Machines &amp; Deterministic Transitions</w:t>
      </w:r>
    </w:p>
    <w:p>
      <w:r>
        <w:t>A payment must always occupy exactly one distinct state. In financial software, state machines provide correctness guarantees and prevent illegal business transitions at the application boundaries.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40" w:type="dxa"/>
              <w:bottom w:w="140" w:type="dxa"/>
              <w:left w:w="180" w:type="dxa"/>
              <w:right w:w="180" w:type="dxa"/>
            </w:tcMar>
          </w:tcPr>
          <w:p>
            <w:pPr>
              <w:spacing w:before="40" w:after="40"/>
            </w:pPr>
            <w:r>
              <w:rPr>
                <w:b/>
                <w:color w:val="FFFFFF"/>
                <w:sz w:val="19"/>
              </w:rPr>
              <w:t>State</w:t>
            </w:r>
          </w:p>
        </w:tc>
        <w:tc>
          <w:tcPr>
            <w:tcW w:type="dxa" w:w="3120"/>
            <w:shd w:fill="1E3A8A"/>
            <w:tcMar>
              <w:top w:w="140" w:type="dxa"/>
              <w:bottom w:w="140" w:type="dxa"/>
              <w:left w:w="180" w:type="dxa"/>
              <w:right w:w="180" w:type="dxa"/>
            </w:tcMar>
          </w:tcPr>
          <w:p>
            <w:pPr>
              <w:spacing w:before="40" w:after="40"/>
            </w:pPr>
            <w:r>
              <w:rPr>
                <w:b/>
                <w:color w:val="FFFFFF"/>
                <w:sz w:val="19"/>
              </w:rPr>
              <w:t>Meaning</w:t>
            </w:r>
          </w:p>
        </w:tc>
        <w:tc>
          <w:tcPr>
            <w:tcW w:type="dxa" w:w="3120"/>
            <w:shd w:fill="1E3A8A"/>
            <w:tcMar>
              <w:top w:w="140" w:type="dxa"/>
              <w:bottom w:w="140" w:type="dxa"/>
              <w:left w:w="180" w:type="dxa"/>
              <w:right w:w="180" w:type="dxa"/>
            </w:tcMar>
          </w:tcPr>
          <w:p>
            <w:pPr>
              <w:spacing w:before="40" w:after="40"/>
            </w:pPr>
            <w:r>
              <w:rPr>
                <w:b/>
                <w:color w:val="FFFFFF"/>
                <w:sz w:val="19"/>
              </w:rPr>
              <w:t>Transition Source &amp; Trigger</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PENDING</w:t>
            </w:r>
          </w:p>
        </w:tc>
        <w:tc>
          <w:tcPr>
            <w:tcW w:type="dxa" w:w="3120"/>
            <w:shd w:fill="F8FAFC"/>
            <w:tcMar>
              <w:top w:w="100" w:type="dxa"/>
              <w:bottom w:w="100" w:type="dxa"/>
              <w:left w:w="180" w:type="dxa"/>
              <w:right w:w="180" w:type="dxa"/>
            </w:tcMar>
          </w:tcPr>
          <w:p>
            <w:pPr>
              <w:spacing w:before="40" w:after="40"/>
            </w:pPr>
            <w:r>
              <w:rPr>
                <w:color w:val="1E293B"/>
                <w:sz w:val="19"/>
              </w:rPr>
              <w:t>Payment created locally; bank authorization not yet dispatched.</w:t>
            </w:r>
          </w:p>
        </w:tc>
        <w:tc>
          <w:tcPr>
            <w:tcW w:type="dxa" w:w="3120"/>
            <w:shd w:fill="F8FAFC"/>
            <w:tcMar>
              <w:top w:w="100" w:type="dxa"/>
              <w:bottom w:w="100" w:type="dxa"/>
              <w:left w:w="180" w:type="dxa"/>
              <w:right w:w="180" w:type="dxa"/>
            </w:tcMar>
          </w:tcPr>
          <w:p>
            <w:pPr>
              <w:spacing w:before="40" w:after="40"/>
            </w:pPr>
            <w:r>
              <w:rPr>
                <w:color w:val="1E293B"/>
                <w:sz w:val="19"/>
              </w:rPr>
              <w:t>Created prior to external bank call.</w:t>
            </w:r>
          </w:p>
        </w:tc>
      </w:tr>
      <w:tr>
        <w:trPr>
          <w:cantSplit/>
        </w:trPr>
        <w:tc>
          <w:tcPr>
            <w:tcW w:type="dxa" w:w="3120"/>
            <w:shd w:fill="FFFFFF"/>
            <w:tcMar>
              <w:top w:w="100" w:type="dxa"/>
              <w:bottom w:w="100" w:type="dxa"/>
              <w:left w:w="180" w:type="dxa"/>
              <w:right w:w="180" w:type="dxa"/>
            </w:tcMar>
          </w:tcPr>
          <w:p>
            <w:pPr>
              <w:spacing w:before="40" w:after="40"/>
            </w:pPr>
            <w:r>
              <w:rPr>
                <w:color w:val="1E293B"/>
                <w:sz w:val="19"/>
              </w:rPr>
              <w:t>AUTHORIZED</w:t>
            </w:r>
          </w:p>
        </w:tc>
        <w:tc>
          <w:tcPr>
            <w:tcW w:type="dxa" w:w="3120"/>
            <w:shd w:fill="FFFFFF"/>
            <w:tcMar>
              <w:top w:w="100" w:type="dxa"/>
              <w:bottom w:w="100" w:type="dxa"/>
              <w:left w:w="180" w:type="dxa"/>
              <w:right w:w="180" w:type="dxa"/>
            </w:tcMar>
          </w:tcPr>
          <w:p>
            <w:pPr>
              <w:spacing w:before="40" w:after="40"/>
            </w:pPr>
            <w:r>
              <w:rPr>
                <w:color w:val="1E293B"/>
                <w:sz w:val="19"/>
              </w:rPr>
              <w:t>Bank confirmed funds hold.</w:t>
            </w:r>
          </w:p>
        </w:tc>
        <w:tc>
          <w:tcPr>
            <w:tcW w:type="dxa" w:w="3120"/>
            <w:shd w:fill="FFFFFF"/>
            <w:tcMar>
              <w:top w:w="100" w:type="dxa"/>
              <w:bottom w:w="100" w:type="dxa"/>
              <w:left w:w="180" w:type="dxa"/>
              <w:right w:w="180" w:type="dxa"/>
            </w:tcMar>
          </w:tcPr>
          <w:p>
            <w:pPr>
              <w:spacing w:before="40" w:after="40"/>
            </w:pPr>
            <w:r>
              <w:rPr>
                <w:color w:val="1E293B"/>
                <w:sz w:val="19"/>
              </w:rPr>
              <w:t>Successful bank POST /authorizations response.</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CAPTURED</w:t>
            </w:r>
          </w:p>
        </w:tc>
        <w:tc>
          <w:tcPr>
            <w:tcW w:type="dxa" w:w="3120"/>
            <w:shd w:fill="F8FAFC"/>
            <w:tcMar>
              <w:top w:w="100" w:type="dxa"/>
              <w:bottom w:w="100" w:type="dxa"/>
              <w:left w:w="180" w:type="dxa"/>
              <w:right w:w="180" w:type="dxa"/>
            </w:tcMar>
          </w:tcPr>
          <w:p>
            <w:pPr>
              <w:spacing w:before="40" w:after="40"/>
            </w:pPr>
            <w:r>
              <w:rPr>
                <w:color w:val="1E293B"/>
                <w:sz w:val="19"/>
              </w:rPr>
              <w:t>Funds settled to merchant account (full or partial).</w:t>
            </w:r>
          </w:p>
        </w:tc>
        <w:tc>
          <w:tcPr>
            <w:tcW w:type="dxa" w:w="3120"/>
            <w:shd w:fill="F8FAFC"/>
            <w:tcMar>
              <w:top w:w="100" w:type="dxa"/>
              <w:bottom w:w="100" w:type="dxa"/>
              <w:left w:w="180" w:type="dxa"/>
              <w:right w:w="180" w:type="dxa"/>
            </w:tcMar>
          </w:tcPr>
          <w:p>
            <w:pPr>
              <w:spacing w:before="40" w:after="40"/>
            </w:pPr>
            <w:r>
              <w:rPr>
                <w:color w:val="1E293B"/>
                <w:sz w:val="19"/>
              </w:rPr>
              <w:t>Successful bank POST /captures response.</w:t>
            </w:r>
          </w:p>
        </w:tc>
      </w:tr>
      <w:tr>
        <w:trPr>
          <w:cantSplit/>
        </w:trPr>
        <w:tc>
          <w:tcPr>
            <w:tcW w:type="dxa" w:w="3120"/>
            <w:shd w:fill="FFFFFF"/>
            <w:tcMar>
              <w:top w:w="100" w:type="dxa"/>
              <w:bottom w:w="100" w:type="dxa"/>
              <w:left w:w="180" w:type="dxa"/>
              <w:right w:w="180" w:type="dxa"/>
            </w:tcMar>
          </w:tcPr>
          <w:p>
            <w:pPr>
              <w:spacing w:before="40" w:after="40"/>
            </w:pPr>
            <w:r>
              <w:rPr>
                <w:color w:val="1E293B"/>
                <w:sz w:val="19"/>
              </w:rPr>
              <w:t>VOIDED</w:t>
            </w:r>
          </w:p>
        </w:tc>
        <w:tc>
          <w:tcPr>
            <w:tcW w:type="dxa" w:w="3120"/>
            <w:shd w:fill="FFFFFF"/>
            <w:tcMar>
              <w:top w:w="100" w:type="dxa"/>
              <w:bottom w:w="100" w:type="dxa"/>
              <w:left w:w="180" w:type="dxa"/>
              <w:right w:w="180" w:type="dxa"/>
            </w:tcMar>
          </w:tcPr>
          <w:p>
            <w:pPr>
              <w:spacing w:before="40" w:after="40"/>
            </w:pPr>
            <w:r>
              <w:rPr>
                <w:color w:val="1E293B"/>
                <w:sz w:val="19"/>
              </w:rPr>
              <w:t>Authorization canceled prior to settlement.</w:t>
            </w:r>
          </w:p>
        </w:tc>
        <w:tc>
          <w:tcPr>
            <w:tcW w:type="dxa" w:w="3120"/>
            <w:shd w:fill="FFFFFF"/>
            <w:tcMar>
              <w:top w:w="100" w:type="dxa"/>
              <w:bottom w:w="100" w:type="dxa"/>
              <w:left w:w="180" w:type="dxa"/>
              <w:right w:w="180" w:type="dxa"/>
            </w:tcMar>
          </w:tcPr>
          <w:p>
            <w:pPr>
              <w:spacing w:before="40" w:after="40"/>
            </w:pPr>
            <w:r>
              <w:rPr>
                <w:color w:val="1E293B"/>
                <w:sz w:val="19"/>
              </w:rPr>
              <w:t>Successful bank POST /voids response (terminal).</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REFUNDED</w:t>
            </w:r>
          </w:p>
        </w:tc>
        <w:tc>
          <w:tcPr>
            <w:tcW w:type="dxa" w:w="3120"/>
            <w:shd w:fill="F8FAFC"/>
            <w:tcMar>
              <w:top w:w="100" w:type="dxa"/>
              <w:bottom w:w="100" w:type="dxa"/>
              <w:left w:w="180" w:type="dxa"/>
              <w:right w:w="180" w:type="dxa"/>
            </w:tcMar>
          </w:tcPr>
          <w:p>
            <w:pPr>
              <w:spacing w:before="40" w:after="40"/>
            </w:pPr>
            <w:r>
              <w:rPr>
                <w:color w:val="1E293B"/>
                <w:sz w:val="19"/>
              </w:rPr>
              <w:t>Captured funds returned to cardholder (full or partial).</w:t>
            </w:r>
          </w:p>
        </w:tc>
        <w:tc>
          <w:tcPr>
            <w:tcW w:type="dxa" w:w="3120"/>
            <w:shd w:fill="F8FAFC"/>
            <w:tcMar>
              <w:top w:w="100" w:type="dxa"/>
              <w:bottom w:w="100" w:type="dxa"/>
              <w:left w:w="180" w:type="dxa"/>
              <w:right w:w="180" w:type="dxa"/>
            </w:tcMar>
          </w:tcPr>
          <w:p>
            <w:pPr>
              <w:spacing w:before="40" w:after="40"/>
            </w:pPr>
            <w:r>
              <w:rPr>
                <w:color w:val="1E293B"/>
                <w:sz w:val="19"/>
              </w:rPr>
              <w:t>Successful bank POST /refunds response (terminal).</w:t>
            </w:r>
          </w:p>
        </w:tc>
      </w:tr>
    </w:tbl>
    <w:p/>
    <w:p>
      <w:pPr>
        <w:keepNext/>
        <w:spacing w:before="200" w:after="40"/>
      </w:pPr>
      <w:r>
        <w:rPr>
          <w:rFonts w:ascii="Calibri" w:hAnsi="Calibri"/>
          <w:b/>
          <w:color w:val="0F172A"/>
          <w:sz w:val="22"/>
        </w:rPr>
        <w:t>Forbidden Transitions (Must Be Rejected with 422 / 409)</w:t>
      </w:r>
    </w:p>
    <w:p>
      <w:r>
        <w:t>• CAPTURED → VOIDED: Money has moved; only a refund can reverse settled funds.</w:t>
        <w:br/>
        <w:t>• VOIDED → CAPTURED: An authorization hold that was released cannot be captured.</w:t>
        <w:br/>
        <w:t>• REFUNDED → anything: Refund is a terminal state.</w:t>
        <w:br/>
        <w:t>• VOIDED → anything: Void is a terminal state.</w:t>
      </w:r>
    </w:p>
    <w:p>
      <w:pPr>
        <w:keepNext/>
        <w:spacing w:before="280" w:after="80"/>
      </w:pPr>
      <w:r>
        <w:rPr>
          <w:rFonts w:ascii="Calibri" w:hAnsi="Calibri"/>
          <w:b/>
          <w:color w:val="0F766E"/>
          <w:sz w:val="25"/>
        </w:rPr>
        <w:t>1.4 Multi-Currency &amp; ISO 4217 Minor Unit Handling (New Addition)</w:t>
      </w:r>
    </w:p>
    <w:p>
      <w:r>
        <w:t>Storing amounts as floating-point numbers causes severe binary rounding errors (e.g. 0.1 + 0.2 = 0.30000000000000004). Payment engines strictly store currency amounts as integers representing the smallest unit of currency (minor units). However, not all global currencies use two decimal places:</w:t>
      </w:r>
    </w:p>
    <w:p>
      <w:r>
        <w:t>• 2-decimal currencies: USD, EUR, GBP (stored as cents; $10.50 = 1050).</w:t>
        <w:br/>
        <w:t>• 0-decimal currencies: JPY, KRW (¥1,000 is stored as 1000, not 100000).</w:t>
        <w:br/>
        <w:t>• 3-decimal currencies: KWD, BHD, OMR (1.500 KWD is stored as 1500).</w:t>
        <w:br/>
        <w:t>Your domain layer should include an ISO 4217 Currency Registry that enforces validation rules prior to processing.</w:t>
      </w:r>
    </w:p>
    <w:p>
      <w:pPr>
        <w:keepNext/>
        <w:spacing w:before="360" w:after="120"/>
      </w:pPr>
      <w:r>
        <w:rPr>
          <w:rFonts w:ascii="Calibri" w:hAnsi="Calibri"/>
          <w:b/>
          <w:color w:val="1E3A8A"/>
          <w:sz w:val="32"/>
        </w:rPr>
        <w:t>Phase 2 — Core Gateway Implementation</w:t>
      </w:r>
    </w:p>
    <w:p>
      <w:r>
        <w:t>Phase 2 implements the core data structures, layered code organization, database schemas, and REST APIs.</w:t>
      </w:r>
    </w:p>
    <w:p>
      <w:pPr>
        <w:keepNext/>
        <w:spacing w:before="280" w:after="80"/>
      </w:pPr>
      <w:r>
        <w:rPr>
          <w:rFonts w:ascii="Calibri" w:hAnsi="Calibri"/>
          <w:b/>
          <w:color w:val="0F766E"/>
          <w:sz w:val="25"/>
        </w:rPr>
        <w:t>2.1 Layered Project Structure</w:t>
      </w:r>
    </w:p>
    <w:p>
      <w:r>
        <w:t>A clean separation of concerns is vital so that transport layers, business rules, and database logic never leak into each other:</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40" w:after="40"/>
            </w:pPr>
            <w:r>
              <w:rPr>
                <w:rFonts w:ascii="Consolas" w:hAnsi="Consolas"/>
                <w:color w:val="E2E8F0"/>
                <w:sz w:val="17"/>
              </w:rPr>
              <w:t>payment-gateway/</w:t>
              <w:br/>
              <w:t>├── cmd/server/main.go (or app.py / Application.java)</w:t>
              <w:br/>
              <w:t>├── internal/</w:t>
              <w:br/>
              <w:t>│   ├── api/            # HTTP handlers, validation middleware, routing</w:t>
              <w:br/>
              <w:t>│   │   ├── middleware/ # Idempotency, Auth, RequestID, RateLimiting</w:t>
              <w:br/>
              <w:t>│   │   └── handlers/   # Payment authorize, capture, void, refund handlers</w:t>
              <w:br/>
              <w:t>│   ├── service/        # Orchestration layer, state machine rules, locking</w:t>
              <w:br/>
              <w:t>│   ├── bank/           # External Bank client, circuit breaker, retry engine</w:t>
              <w:br/>
              <w:t>│   ├── store/          # Database persistence (PostgreSQL repositories)</w:t>
              <w:br/>
              <w:t>│   ├── webhook/        # Outbound webhook dispatcher &amp; worker</w:t>
              <w:br/>
              <w:t>│   └── domain/         # Domain entities (Payment, Event, Currency, Errors)</w:t>
              <w:br/>
              <w:t>├── migrations/         # Up/down SQL migrations</w:t>
              <w:br/>
              <w:t>├── tests/</w:t>
              <w:br/>
              <w:t>│   ├── unit/</w:t>
              <w:br/>
              <w:t>│   ├── integration/</w:t>
              <w:br/>
              <w:t>│   ├── e2e/</w:t>
              <w:br/>
              <w:t>│   └── chaos/</w:t>
              <w:br/>
              <w:t>├── docker-compose.yml</w:t>
              <w:br/>
              <w:t>├── Dockerfile</w:t>
              <w:br/>
              <w:t>└── TRADEOFFS.md</w:t>
            </w:r>
          </w:p>
        </w:tc>
      </w:tr>
    </w:tbl>
    <w:p/>
    <w:p>
      <w:pPr>
        <w:keepNext/>
        <w:spacing w:before="280" w:after="80"/>
      </w:pPr>
      <w:r>
        <w:rPr>
          <w:rFonts w:ascii="Calibri" w:hAnsi="Calibri"/>
          <w:b/>
          <w:color w:val="0F766E"/>
          <w:sz w:val="25"/>
        </w:rPr>
        <w:t>2.2 Database Schema Design</w:t>
      </w:r>
    </w:p>
    <w:p>
      <w:r>
        <w:t>Your schema must serve as the authoritative single source of truth. In addition to the standard `payments` and `idempotency_keys` tables, we incorporate an append-only `payment_events` table to guarantee complete auditability, along with fields supporting partial captures and refunds.</w:t>
      </w:r>
    </w:p>
    <w:p>
      <w:pPr>
        <w:keepNext/>
        <w:spacing w:before="200" w:after="40"/>
      </w:pPr>
      <w:r>
        <w:rPr>
          <w:rFonts w:ascii="Calibri" w:hAnsi="Calibri"/>
          <w:b/>
          <w:color w:val="0F172A"/>
          <w:sz w:val="22"/>
        </w:rPr>
        <w:t>The Payments Table</w:t>
      </w:r>
    </w:p>
    <w:tbl>
      <w:tblPr>
        <w:tblW w:type="auto" w:w="0"/>
        <w:jc w:val="center"/>
        <w:tblLook w:firstColumn="1" w:firstRow="1" w:lastColumn="0" w:lastRow="0" w:noHBand="0" w:noVBand="1" w:val="04A0"/>
      </w:tblPr>
      <w:tblGrid>
        <w:gridCol w:w="4680"/>
        <w:gridCol w:w="4680"/>
      </w:tblGrid>
      <w:tr>
        <w:trPr>
          <w:cantSplit/>
          <w:tblHeader/>
        </w:trPr>
        <w:tc>
          <w:tcPr>
            <w:tcW w:type="dxa" w:w="4680"/>
            <w:shd w:fill="1E3A8A"/>
            <w:tcMar>
              <w:top w:w="140" w:type="dxa"/>
              <w:bottom w:w="140" w:type="dxa"/>
              <w:left w:w="180" w:type="dxa"/>
              <w:right w:w="180" w:type="dxa"/>
            </w:tcMar>
          </w:tcPr>
          <w:p>
            <w:pPr>
              <w:spacing w:before="40" w:after="40"/>
            </w:pPr>
            <w:r>
              <w:rPr>
                <w:b/>
                <w:color w:val="FFFFFF"/>
                <w:sz w:val="19"/>
              </w:rPr>
              <w:t>Column Name &amp; Type</w:t>
            </w:r>
          </w:p>
        </w:tc>
        <w:tc>
          <w:tcPr>
            <w:tcW w:type="dxa" w:w="4680"/>
            <w:shd w:fill="1E3A8A"/>
            <w:tcMar>
              <w:top w:w="140" w:type="dxa"/>
              <w:bottom w:w="140" w:type="dxa"/>
              <w:left w:w="180" w:type="dxa"/>
              <w:right w:w="180" w:type="dxa"/>
            </w:tcMar>
          </w:tcPr>
          <w:p>
            <w:pPr>
              <w:spacing w:before="40" w:after="40"/>
            </w:pPr>
            <w:r>
              <w:rPr>
                <w:b/>
                <w:color w:val="FFFFFF"/>
                <w:sz w:val="19"/>
              </w:rPr>
              <w:t>Purpose and Constraints</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id (UUID, PK)</w:t>
            </w:r>
          </w:p>
        </w:tc>
        <w:tc>
          <w:tcPr>
            <w:tcW w:type="dxa" w:w="4680"/>
            <w:shd w:fill="F8FAFC"/>
            <w:tcMar>
              <w:top w:w="100" w:type="dxa"/>
              <w:bottom w:w="100" w:type="dxa"/>
              <w:left w:w="180" w:type="dxa"/>
              <w:right w:w="180" w:type="dxa"/>
            </w:tcMar>
          </w:tcPr>
          <w:p>
            <w:pPr>
              <w:spacing w:before="40" w:after="40"/>
            </w:pPr>
            <w:r>
              <w:rPr>
                <w:color w:val="1E293B"/>
                <w:sz w:val="19"/>
              </w:rPr>
              <w:t>Internal unique payment ID (v4 UUID). Generated before insert.</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merchant_id (VARCHAR)</w:t>
            </w:r>
          </w:p>
        </w:tc>
        <w:tc>
          <w:tcPr>
            <w:tcW w:type="dxa" w:w="4680"/>
            <w:shd w:fill="FFFFFF"/>
            <w:tcMar>
              <w:top w:w="100" w:type="dxa"/>
              <w:bottom w:w="100" w:type="dxa"/>
              <w:left w:w="180" w:type="dxa"/>
              <w:right w:w="180" w:type="dxa"/>
            </w:tcMar>
          </w:tcPr>
          <w:p>
            <w:pPr>
              <w:spacing w:before="40" w:after="40"/>
            </w:pPr>
            <w:r>
              <w:rPr>
                <w:color w:val="1E293B"/>
                <w:sz w:val="19"/>
              </w:rPr>
              <w:t>Identifies the merchant tenant submitting the payment.</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order_id (VARCHAR, INDEXED)</w:t>
            </w:r>
          </w:p>
        </w:tc>
        <w:tc>
          <w:tcPr>
            <w:tcW w:type="dxa" w:w="4680"/>
            <w:shd w:fill="F8FAFC"/>
            <w:tcMar>
              <w:top w:w="100" w:type="dxa"/>
              <w:bottom w:w="100" w:type="dxa"/>
              <w:left w:w="180" w:type="dxa"/>
              <w:right w:w="180" w:type="dxa"/>
            </w:tcMar>
          </w:tcPr>
          <w:p>
            <w:pPr>
              <w:spacing w:before="40" w:after="40"/>
            </w:pPr>
            <w:r>
              <w:rPr>
                <w:color w:val="1E293B"/>
                <w:sz w:val="19"/>
              </w:rPr>
              <w:t>Merchant's reference order number. Indexed for fast lookup.</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customer_id (VARCHAR, INDEXED)</w:t>
            </w:r>
          </w:p>
        </w:tc>
        <w:tc>
          <w:tcPr>
            <w:tcW w:type="dxa" w:w="4680"/>
            <w:shd w:fill="FFFFFF"/>
            <w:tcMar>
              <w:top w:w="100" w:type="dxa"/>
              <w:bottom w:w="100" w:type="dxa"/>
              <w:left w:w="180" w:type="dxa"/>
              <w:right w:w="180" w:type="dxa"/>
            </w:tcMar>
          </w:tcPr>
          <w:p>
            <w:pPr>
              <w:spacing w:before="40" w:after="40"/>
            </w:pPr>
            <w:r>
              <w:rPr>
                <w:color w:val="1E293B"/>
                <w:sz w:val="19"/>
              </w:rPr>
              <w:t>Merchant's customer identifier. Indexed for history queries.</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amount_cents (BIGINT)</w:t>
            </w:r>
          </w:p>
        </w:tc>
        <w:tc>
          <w:tcPr>
            <w:tcW w:type="dxa" w:w="4680"/>
            <w:shd w:fill="F8FAFC"/>
            <w:tcMar>
              <w:top w:w="100" w:type="dxa"/>
              <w:bottom w:w="100" w:type="dxa"/>
              <w:left w:w="180" w:type="dxa"/>
              <w:right w:w="180" w:type="dxa"/>
            </w:tcMar>
          </w:tcPr>
          <w:p>
            <w:pPr>
              <w:spacing w:before="40" w:after="40"/>
            </w:pPr>
            <w:r>
              <w:rPr>
                <w:color w:val="1E293B"/>
                <w:sz w:val="19"/>
              </w:rPr>
              <w:t>Original authorized amount in minor units (e.g. cents).</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captured_amount_cents (BIGINT)</w:t>
            </w:r>
          </w:p>
        </w:tc>
        <w:tc>
          <w:tcPr>
            <w:tcW w:type="dxa" w:w="4680"/>
            <w:shd w:fill="FFFFFF"/>
            <w:tcMar>
              <w:top w:w="100" w:type="dxa"/>
              <w:bottom w:w="100" w:type="dxa"/>
              <w:left w:w="180" w:type="dxa"/>
              <w:right w:w="180" w:type="dxa"/>
            </w:tcMar>
          </w:tcPr>
          <w:p>
            <w:pPr>
              <w:spacing w:before="40" w:after="40"/>
            </w:pPr>
            <w:r>
              <w:rPr>
                <w:color w:val="1E293B"/>
                <w:sz w:val="19"/>
              </w:rPr>
              <w:t>Cumulative amount captured to date (supports partial captures).</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refunded_amount_cents (BIGINT)</w:t>
            </w:r>
          </w:p>
        </w:tc>
        <w:tc>
          <w:tcPr>
            <w:tcW w:type="dxa" w:w="4680"/>
            <w:shd w:fill="F8FAFC"/>
            <w:tcMar>
              <w:top w:w="100" w:type="dxa"/>
              <w:bottom w:w="100" w:type="dxa"/>
              <w:left w:w="180" w:type="dxa"/>
              <w:right w:w="180" w:type="dxa"/>
            </w:tcMar>
          </w:tcPr>
          <w:p>
            <w:pPr>
              <w:spacing w:before="40" w:after="40"/>
            </w:pPr>
            <w:r>
              <w:rPr>
                <w:color w:val="1E293B"/>
                <w:sz w:val="19"/>
              </w:rPr>
              <w:t>Cumulative amount refunded to date (supports partial refunds).</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currency (CHAR(3))</w:t>
            </w:r>
          </w:p>
        </w:tc>
        <w:tc>
          <w:tcPr>
            <w:tcW w:type="dxa" w:w="4680"/>
            <w:shd w:fill="FFFFFF"/>
            <w:tcMar>
              <w:top w:w="100" w:type="dxa"/>
              <w:bottom w:w="100" w:type="dxa"/>
              <w:left w:w="180" w:type="dxa"/>
              <w:right w:w="180" w:type="dxa"/>
            </w:tcMar>
          </w:tcPr>
          <w:p>
            <w:pPr>
              <w:spacing w:before="40" w:after="40"/>
            </w:pPr>
            <w:r>
              <w:rPr>
                <w:color w:val="1E293B"/>
                <w:sz w:val="19"/>
              </w:rPr>
              <w:t>ISO 4217 three-letter code (e.g. USD, EUR, JPY).</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status (VARCHAR)</w:t>
            </w:r>
          </w:p>
        </w:tc>
        <w:tc>
          <w:tcPr>
            <w:tcW w:type="dxa" w:w="4680"/>
            <w:shd w:fill="F8FAFC"/>
            <w:tcMar>
              <w:top w:w="100" w:type="dxa"/>
              <w:bottom w:w="100" w:type="dxa"/>
              <w:left w:w="180" w:type="dxa"/>
              <w:right w:w="180" w:type="dxa"/>
            </w:tcMar>
          </w:tcPr>
          <w:p>
            <w:pPr>
              <w:spacing w:before="40" w:after="40"/>
            </w:pPr>
            <w:r>
              <w:rPr>
                <w:color w:val="1E293B"/>
                <w:sz w:val="19"/>
              </w:rPr>
              <w:t>Current status: PENDING, AUTHORIZED, CAPTURED, VOIDED, REFUNDED, FAILED.</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card_last_four (CHAR(4))</w:t>
            </w:r>
          </w:p>
        </w:tc>
        <w:tc>
          <w:tcPr>
            <w:tcW w:type="dxa" w:w="4680"/>
            <w:shd w:fill="FFFFFF"/>
            <w:tcMar>
              <w:top w:w="100" w:type="dxa"/>
              <w:bottom w:w="100" w:type="dxa"/>
              <w:left w:w="180" w:type="dxa"/>
              <w:right w:w="180" w:type="dxa"/>
            </w:tcMar>
          </w:tcPr>
          <w:p>
            <w:pPr>
              <w:spacing w:before="40" w:after="40"/>
            </w:pPr>
            <w:r>
              <w:rPr>
                <w:color w:val="1E293B"/>
                <w:sz w:val="19"/>
              </w:rPr>
              <w:t>Only the last four digits of the PAN. Never store raw card numbers.</w:t>
            </w:r>
          </w:p>
        </w:tc>
      </w:tr>
    </w:tbl>
    <w:p/>
    <w:p>
      <w:pPr>
        <w:keepNext/>
        <w:spacing w:before="200" w:after="40"/>
      </w:pPr>
      <w:r>
        <w:rPr>
          <w:rFonts w:ascii="Calibri" w:hAnsi="Calibri"/>
          <w:b/>
          <w:color w:val="0F172A"/>
          <w:sz w:val="22"/>
        </w:rPr>
        <w:t>The Idempotency Keys Table</w:t>
      </w:r>
    </w:p>
    <w:tbl>
      <w:tblPr>
        <w:tblW w:type="auto" w:w="0"/>
        <w:jc w:val="center"/>
        <w:tblLook w:firstColumn="1" w:firstRow="1" w:lastColumn="0" w:lastRow="0" w:noHBand="0" w:noVBand="1" w:val="04A0"/>
      </w:tblPr>
      <w:tblGrid>
        <w:gridCol w:w="4680"/>
        <w:gridCol w:w="4680"/>
      </w:tblGrid>
      <w:tr>
        <w:trPr>
          <w:cantSplit/>
          <w:tblHeader/>
        </w:trPr>
        <w:tc>
          <w:tcPr>
            <w:tcW w:type="dxa" w:w="4680"/>
            <w:shd w:fill="1E3A8A"/>
            <w:tcMar>
              <w:top w:w="140" w:type="dxa"/>
              <w:bottom w:w="140" w:type="dxa"/>
              <w:left w:w="180" w:type="dxa"/>
              <w:right w:w="180" w:type="dxa"/>
            </w:tcMar>
          </w:tcPr>
          <w:p>
            <w:pPr>
              <w:spacing w:before="40" w:after="40"/>
            </w:pPr>
            <w:r>
              <w:rPr>
                <w:b/>
                <w:color w:val="FFFFFF"/>
                <w:sz w:val="19"/>
              </w:rPr>
              <w:t>Column Name &amp; Type</w:t>
            </w:r>
          </w:p>
        </w:tc>
        <w:tc>
          <w:tcPr>
            <w:tcW w:type="dxa" w:w="4680"/>
            <w:shd w:fill="1E3A8A"/>
            <w:tcMar>
              <w:top w:w="140" w:type="dxa"/>
              <w:bottom w:w="140" w:type="dxa"/>
              <w:left w:w="180" w:type="dxa"/>
              <w:right w:w="180" w:type="dxa"/>
            </w:tcMar>
          </w:tcPr>
          <w:p>
            <w:pPr>
              <w:spacing w:before="40" w:after="40"/>
            </w:pPr>
            <w:r>
              <w:rPr>
                <w:b/>
                <w:color w:val="FFFFFF"/>
                <w:sz w:val="19"/>
              </w:rPr>
              <w:t>Purpose and Invariants</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id (UUID, PK)</w:t>
            </w:r>
          </w:p>
        </w:tc>
        <w:tc>
          <w:tcPr>
            <w:tcW w:type="dxa" w:w="4680"/>
            <w:shd w:fill="F8FAFC"/>
            <w:tcMar>
              <w:top w:w="100" w:type="dxa"/>
              <w:bottom w:w="100" w:type="dxa"/>
              <w:left w:w="180" w:type="dxa"/>
              <w:right w:w="180" w:type="dxa"/>
            </w:tcMar>
          </w:tcPr>
          <w:p>
            <w:pPr>
              <w:spacing w:before="40" w:after="40"/>
            </w:pPr>
            <w:r>
              <w:rPr>
                <w:color w:val="1E293B"/>
                <w:sz w:val="19"/>
              </w:rPr>
              <w:t>Primary identifier for the idempotency log record.</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idempotency_key (TEXT, UNIQUE)</w:t>
            </w:r>
          </w:p>
        </w:tc>
        <w:tc>
          <w:tcPr>
            <w:tcW w:type="dxa" w:w="4680"/>
            <w:shd w:fill="FFFFFF"/>
            <w:tcMar>
              <w:top w:w="100" w:type="dxa"/>
              <w:bottom w:w="100" w:type="dxa"/>
              <w:left w:w="180" w:type="dxa"/>
              <w:right w:w="180" w:type="dxa"/>
            </w:tcMar>
          </w:tcPr>
          <w:p>
            <w:pPr>
              <w:spacing w:before="40" w:after="40"/>
            </w:pPr>
            <w:r>
              <w:rPr>
                <w:color w:val="1E293B"/>
                <w:sz w:val="19"/>
              </w:rPr>
              <w:t>Unique key provided in request headers (scoped per merchant &amp; path).</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request_path (TEXT)</w:t>
            </w:r>
          </w:p>
        </w:tc>
        <w:tc>
          <w:tcPr>
            <w:tcW w:type="dxa" w:w="4680"/>
            <w:shd w:fill="F8FAFC"/>
            <w:tcMar>
              <w:top w:w="100" w:type="dxa"/>
              <w:bottom w:w="100" w:type="dxa"/>
              <w:left w:w="180" w:type="dxa"/>
              <w:right w:w="180" w:type="dxa"/>
            </w:tcMar>
          </w:tcPr>
          <w:p>
            <w:pPr>
              <w:spacing w:before="40" w:after="40"/>
            </w:pPr>
            <w:r>
              <w:rPr>
                <w:color w:val="1E293B"/>
                <w:sz w:val="19"/>
              </w:rPr>
              <w:t>Endpoint path (e.g., /payments/authorize). Prevents cross-endpoint reuse.</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request_hash (TEXT)</w:t>
            </w:r>
          </w:p>
        </w:tc>
        <w:tc>
          <w:tcPr>
            <w:tcW w:type="dxa" w:w="4680"/>
            <w:shd w:fill="FFFFFF"/>
            <w:tcMar>
              <w:top w:w="100" w:type="dxa"/>
              <w:bottom w:w="100" w:type="dxa"/>
              <w:left w:w="180" w:type="dxa"/>
              <w:right w:w="180" w:type="dxa"/>
            </w:tcMar>
          </w:tcPr>
          <w:p>
            <w:pPr>
              <w:spacing w:before="40" w:after="40"/>
            </w:pPr>
            <w:r>
              <w:rPr>
                <w:color w:val="1E293B"/>
                <w:sz w:val="19"/>
              </w:rPr>
              <w:t>SHA-256 hash of payload. Returns 409 Conflict if payload changes.</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response_status (INT) &amp; response_body (JSONB)</w:t>
            </w:r>
          </w:p>
        </w:tc>
        <w:tc>
          <w:tcPr>
            <w:tcW w:type="dxa" w:w="4680"/>
            <w:shd w:fill="F8FAFC"/>
            <w:tcMar>
              <w:top w:w="100" w:type="dxa"/>
              <w:bottom w:w="100" w:type="dxa"/>
              <w:left w:w="180" w:type="dxa"/>
              <w:right w:w="180" w:type="dxa"/>
            </w:tcMar>
          </w:tcPr>
          <w:p>
            <w:pPr>
              <w:spacing w:before="40" w:after="40"/>
            </w:pPr>
            <w:r>
              <w:rPr>
                <w:color w:val="1E293B"/>
                <w:sz w:val="19"/>
              </w:rPr>
              <w:t>Full stored response cached for instant replay on deduplication.</w:t>
            </w:r>
          </w:p>
        </w:tc>
      </w:tr>
    </w:tbl>
    <w:p/>
    <w:p>
      <w:pPr>
        <w:keepNext/>
        <w:spacing w:before="200" w:after="40"/>
      </w:pPr>
      <w:r>
        <w:rPr>
          <w:rFonts w:ascii="Calibri" w:hAnsi="Calibri"/>
          <w:b/>
          <w:color w:val="0F172A"/>
          <w:sz w:val="22"/>
        </w:rPr>
        <w:t>The Payment Events Table (Append-Only Audit Ledger — New Addition)</w:t>
      </w:r>
    </w:p>
    <w:p>
      <w:r>
        <w:t>In enterprise financial systems, mutative updates on a single row do not provide historical tracing. The `payment_events` table logs every state transition and financial movement immutably:</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40" w:after="40"/>
            </w:pPr>
            <w:r>
              <w:rPr>
                <w:rFonts w:ascii="Consolas" w:hAnsi="Consolas"/>
                <w:color w:val="E2E8F0"/>
                <w:sz w:val="17"/>
              </w:rPr>
              <w:t>CREATE TABLE payment_events (</w:t>
              <w:br/>
              <w:t xml:space="preserve">    id UUID PRIMARY KEY DEFAULT gen_random_uuid(),</w:t>
              <w:br/>
              <w:t xml:space="preserve">    payment_id UUID NOT NULL REFERENCES payments(id) ON DELETE RESTRICT,</w:t>
              <w:br/>
              <w:t xml:space="preserve">    event_type VARCHAR(50) NOT NULL, -- e.g. PAYMENT_AUTHORIZED, PARTIAL_CAPTURE, VOID</w:t>
              <w:br/>
              <w:t xml:space="preserve">    from_status VARCHAR(30) NOT NULL,</w:t>
              <w:br/>
              <w:t xml:space="preserve">    to_status VARCHAR(30) NOT NULL,</w:t>
              <w:br/>
              <w:t xml:space="preserve">    delta_amount_cents BIGINT DEFAULT 0,</w:t>
              <w:br/>
              <w:t xml:space="preserve">    bank_reference_id TEXT,</w:t>
              <w:br/>
              <w:t xml:space="preserve">    payload JSONB,</w:t>
              <w:br/>
              <w:t xml:space="preserve">    created_at TIMESTAMP WITH TIME ZONE DEFAULT NOW()</w:t>
              <w:br/>
              <w:t>);</w:t>
              <w:br/>
              <w:t>CREATE INDEX idx_payment_events_payment_id ON payment_events(payment_id);</w:t>
            </w:r>
          </w:p>
        </w:tc>
      </w:tr>
    </w:tbl>
    <w:p/>
    <w:p>
      <w:pPr>
        <w:keepNext/>
        <w:spacing w:before="280" w:after="80"/>
      </w:pPr>
      <w:r>
        <w:rPr>
          <w:rFonts w:ascii="Calibri" w:hAnsi="Calibri"/>
          <w:b/>
          <w:color w:val="0F766E"/>
          <w:sz w:val="25"/>
        </w:rPr>
        <w:t>2.3 API Design &amp; Merchant Authentication</w:t>
      </w:r>
    </w:p>
    <w:p>
      <w:r>
        <w:t>The gateway exposes standardized REST endpoints adhering to RFC 7807 (Problem Details for HTTP APIs). Merchant authentication is enforced using Bearer API keys (`sk_test_...` for private backend calls).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40" w:type="dxa"/>
              <w:bottom w:w="140" w:type="dxa"/>
              <w:left w:w="180" w:type="dxa"/>
              <w:right w:w="180" w:type="dxa"/>
            </w:tcMar>
          </w:tcPr>
          <w:p>
            <w:pPr>
              <w:spacing w:before="40" w:after="40"/>
            </w:pPr>
            <w:r>
              <w:rPr>
                <w:b/>
                <w:color w:val="FFFFFF"/>
                <w:sz w:val="19"/>
              </w:rPr>
              <w:t>Method &amp; Endpoint</w:t>
            </w:r>
          </w:p>
        </w:tc>
        <w:tc>
          <w:tcPr>
            <w:tcW w:type="dxa" w:w="3120"/>
            <w:shd w:fill="1E3A8A"/>
            <w:tcMar>
              <w:top w:w="140" w:type="dxa"/>
              <w:bottom w:w="140" w:type="dxa"/>
              <w:left w:w="180" w:type="dxa"/>
              <w:right w:w="180" w:type="dxa"/>
            </w:tcMar>
          </w:tcPr>
          <w:p>
            <w:pPr>
              <w:spacing w:before="40" w:after="40"/>
            </w:pPr>
            <w:r>
              <w:rPr>
                <w:b/>
                <w:color w:val="FFFFFF"/>
                <w:sz w:val="19"/>
              </w:rPr>
              <w:t>Headers &amp; Body</w:t>
            </w:r>
          </w:p>
        </w:tc>
        <w:tc>
          <w:tcPr>
            <w:tcW w:type="dxa" w:w="3120"/>
            <w:shd w:fill="1E3A8A"/>
            <w:tcMar>
              <w:top w:w="140" w:type="dxa"/>
              <w:bottom w:w="140" w:type="dxa"/>
              <w:left w:w="180" w:type="dxa"/>
              <w:right w:w="180" w:type="dxa"/>
            </w:tcMar>
          </w:tcPr>
          <w:p>
            <w:pPr>
              <w:spacing w:before="40" w:after="40"/>
            </w:pPr>
            <w:r>
              <w:rPr>
                <w:b/>
                <w:color w:val="FFFFFF"/>
                <w:sz w:val="19"/>
              </w:rPr>
              <w:t>Response Code &amp; Payload</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POST /payments/authorize</w:t>
            </w:r>
          </w:p>
        </w:tc>
        <w:tc>
          <w:tcPr>
            <w:tcW w:type="dxa" w:w="3120"/>
            <w:shd w:fill="F8FAFC"/>
            <w:tcMar>
              <w:top w:w="100" w:type="dxa"/>
              <w:bottom w:w="100" w:type="dxa"/>
              <w:left w:w="180" w:type="dxa"/>
              <w:right w:w="180" w:type="dxa"/>
            </w:tcMar>
          </w:tcPr>
          <w:p>
            <w:pPr>
              <w:spacing w:before="40" w:after="40"/>
            </w:pPr>
            <w:r>
              <w:rPr>
                <w:color w:val="1E293B"/>
                <w:sz w:val="19"/>
              </w:rPr>
              <w:t>Idempotency-Key, Authorization; card, amount, currency, order_id</w:t>
            </w:r>
          </w:p>
        </w:tc>
        <w:tc>
          <w:tcPr>
            <w:tcW w:type="dxa" w:w="3120"/>
            <w:shd w:fill="F8FAFC"/>
            <w:tcMar>
              <w:top w:w="100" w:type="dxa"/>
              <w:bottom w:w="100" w:type="dxa"/>
              <w:left w:w="180" w:type="dxa"/>
              <w:right w:w="180" w:type="dxa"/>
            </w:tcMar>
          </w:tcPr>
          <w:p>
            <w:pPr>
              <w:spacing w:before="40" w:after="40"/>
            </w:pPr>
            <w:r>
              <w:rPr>
                <w:color w:val="1E293B"/>
                <w:sz w:val="19"/>
              </w:rPr>
              <w:t>201 Created: payment_id, status: AUTHORIZED</w:t>
            </w:r>
          </w:p>
        </w:tc>
      </w:tr>
      <w:tr>
        <w:trPr>
          <w:cantSplit/>
        </w:trPr>
        <w:tc>
          <w:tcPr>
            <w:tcW w:type="dxa" w:w="3120"/>
            <w:shd w:fill="FFFFFF"/>
            <w:tcMar>
              <w:top w:w="100" w:type="dxa"/>
              <w:bottom w:w="100" w:type="dxa"/>
              <w:left w:w="180" w:type="dxa"/>
              <w:right w:w="180" w:type="dxa"/>
            </w:tcMar>
          </w:tcPr>
          <w:p>
            <w:pPr>
              <w:spacing w:before="40" w:after="40"/>
            </w:pPr>
            <w:r>
              <w:rPr>
                <w:color w:val="1E293B"/>
                <w:sz w:val="19"/>
              </w:rPr>
              <w:t>POST /payments/{id}/capture</w:t>
            </w:r>
          </w:p>
        </w:tc>
        <w:tc>
          <w:tcPr>
            <w:tcW w:type="dxa" w:w="3120"/>
            <w:shd w:fill="FFFFFF"/>
            <w:tcMar>
              <w:top w:w="100" w:type="dxa"/>
              <w:bottom w:w="100" w:type="dxa"/>
              <w:left w:w="180" w:type="dxa"/>
              <w:right w:w="180" w:type="dxa"/>
            </w:tcMar>
          </w:tcPr>
          <w:p>
            <w:pPr>
              <w:spacing w:before="40" w:after="40"/>
            </w:pPr>
            <w:r>
              <w:rPr>
                <w:color w:val="1E293B"/>
                <w:sz w:val="19"/>
              </w:rPr>
              <w:t>Idempotency-Key; amount (optional for partial capture)</w:t>
            </w:r>
          </w:p>
        </w:tc>
        <w:tc>
          <w:tcPr>
            <w:tcW w:type="dxa" w:w="3120"/>
            <w:shd w:fill="FFFFFF"/>
            <w:tcMar>
              <w:top w:w="100" w:type="dxa"/>
              <w:bottom w:w="100" w:type="dxa"/>
              <w:left w:w="180" w:type="dxa"/>
              <w:right w:w="180" w:type="dxa"/>
            </w:tcMar>
          </w:tcPr>
          <w:p>
            <w:pPr>
              <w:spacing w:before="40" w:after="40"/>
            </w:pPr>
            <w:r>
              <w:rPr>
                <w:color w:val="1E293B"/>
                <w:sz w:val="19"/>
              </w:rPr>
              <w:t>200 OK: payment_id, status, captured_amount</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POST /payments/{id}/void</w:t>
            </w:r>
          </w:p>
        </w:tc>
        <w:tc>
          <w:tcPr>
            <w:tcW w:type="dxa" w:w="3120"/>
            <w:shd w:fill="F8FAFC"/>
            <w:tcMar>
              <w:top w:w="100" w:type="dxa"/>
              <w:bottom w:w="100" w:type="dxa"/>
              <w:left w:w="180" w:type="dxa"/>
              <w:right w:w="180" w:type="dxa"/>
            </w:tcMar>
          </w:tcPr>
          <w:p>
            <w:pPr>
              <w:spacing w:before="40" w:after="40"/>
            </w:pPr>
            <w:r>
              <w:rPr>
                <w:color w:val="1E293B"/>
                <w:sz w:val="19"/>
              </w:rPr>
              <w:t>Idempotency-Key; void reason</w:t>
            </w:r>
          </w:p>
        </w:tc>
        <w:tc>
          <w:tcPr>
            <w:tcW w:type="dxa" w:w="3120"/>
            <w:shd w:fill="F8FAFC"/>
            <w:tcMar>
              <w:top w:w="100" w:type="dxa"/>
              <w:bottom w:w="100" w:type="dxa"/>
              <w:left w:w="180" w:type="dxa"/>
              <w:right w:w="180" w:type="dxa"/>
            </w:tcMar>
          </w:tcPr>
          <w:p>
            <w:pPr>
              <w:spacing w:before="40" w:after="40"/>
            </w:pPr>
            <w:r>
              <w:rPr>
                <w:color w:val="1E293B"/>
                <w:sz w:val="19"/>
              </w:rPr>
              <w:t>200 OK: payment_id, status: VOIDED</w:t>
            </w:r>
          </w:p>
        </w:tc>
      </w:tr>
      <w:tr>
        <w:trPr>
          <w:cantSplit/>
        </w:trPr>
        <w:tc>
          <w:tcPr>
            <w:tcW w:type="dxa" w:w="3120"/>
            <w:shd w:fill="FFFFFF"/>
            <w:tcMar>
              <w:top w:w="100" w:type="dxa"/>
              <w:bottom w:w="100" w:type="dxa"/>
              <w:left w:w="180" w:type="dxa"/>
              <w:right w:w="180" w:type="dxa"/>
            </w:tcMar>
          </w:tcPr>
          <w:p>
            <w:pPr>
              <w:spacing w:before="40" w:after="40"/>
            </w:pPr>
            <w:r>
              <w:rPr>
                <w:color w:val="1E293B"/>
                <w:sz w:val="19"/>
              </w:rPr>
              <w:t>POST /payments/{id}/refund</w:t>
            </w:r>
          </w:p>
        </w:tc>
        <w:tc>
          <w:tcPr>
            <w:tcW w:type="dxa" w:w="3120"/>
            <w:shd w:fill="FFFFFF"/>
            <w:tcMar>
              <w:top w:w="100" w:type="dxa"/>
              <w:bottom w:w="100" w:type="dxa"/>
              <w:left w:w="180" w:type="dxa"/>
              <w:right w:w="180" w:type="dxa"/>
            </w:tcMar>
          </w:tcPr>
          <w:p>
            <w:pPr>
              <w:spacing w:before="40" w:after="40"/>
            </w:pPr>
            <w:r>
              <w:rPr>
                <w:color w:val="1E293B"/>
                <w:sz w:val="19"/>
              </w:rPr>
              <w:t>Idempotency-Key; amount (supports partial refund)</w:t>
            </w:r>
          </w:p>
        </w:tc>
        <w:tc>
          <w:tcPr>
            <w:tcW w:type="dxa" w:w="3120"/>
            <w:shd w:fill="FFFFFF"/>
            <w:tcMar>
              <w:top w:w="100" w:type="dxa"/>
              <w:bottom w:w="100" w:type="dxa"/>
              <w:left w:w="180" w:type="dxa"/>
              <w:right w:w="180" w:type="dxa"/>
            </w:tcMar>
          </w:tcPr>
          <w:p>
            <w:pPr>
              <w:spacing w:before="40" w:after="40"/>
            </w:pPr>
            <w:r>
              <w:rPr>
                <w:color w:val="1E293B"/>
                <w:sz w:val="19"/>
              </w:rPr>
              <w:t>200 OK: payment_id, status, refunded_amount</w:t>
            </w:r>
          </w:p>
        </w:tc>
      </w:tr>
      <w:tr>
        <w:trPr>
          <w:cantSplit/>
        </w:trPr>
        <w:tc>
          <w:tcPr>
            <w:tcW w:type="dxa" w:w="3120"/>
            <w:shd w:fill="F8FAFC"/>
            <w:tcMar>
              <w:top w:w="100" w:type="dxa"/>
              <w:bottom w:w="100" w:type="dxa"/>
              <w:left w:w="180" w:type="dxa"/>
              <w:right w:w="180" w:type="dxa"/>
            </w:tcMar>
          </w:tcPr>
          <w:p>
            <w:pPr>
              <w:spacing w:before="40" w:after="40"/>
            </w:pPr>
            <w:r>
              <w:rPr>
                <w:color w:val="1E293B"/>
                <w:sz w:val="19"/>
              </w:rPr>
              <w:t>GET /payments/{id}</w:t>
            </w:r>
          </w:p>
        </w:tc>
        <w:tc>
          <w:tcPr>
            <w:tcW w:type="dxa" w:w="3120"/>
            <w:shd w:fill="F8FAFC"/>
            <w:tcMar>
              <w:top w:w="100" w:type="dxa"/>
              <w:bottom w:w="100" w:type="dxa"/>
              <w:left w:w="180" w:type="dxa"/>
              <w:right w:w="180" w:type="dxa"/>
            </w:tcMar>
          </w:tcPr>
          <w:p>
            <w:pPr>
              <w:spacing w:before="40" w:after="40"/>
            </w:pPr>
            <w:r>
              <w:rPr>
                <w:color w:val="1E293B"/>
                <w:sz w:val="19"/>
              </w:rPr>
              <w:t>Authorization header</w:t>
            </w:r>
          </w:p>
        </w:tc>
        <w:tc>
          <w:tcPr>
            <w:tcW w:type="dxa" w:w="3120"/>
            <w:shd w:fill="F8FAFC"/>
            <w:tcMar>
              <w:top w:w="100" w:type="dxa"/>
              <w:bottom w:w="100" w:type="dxa"/>
              <w:left w:w="180" w:type="dxa"/>
              <w:right w:w="180" w:type="dxa"/>
            </w:tcMar>
          </w:tcPr>
          <w:p>
            <w:pPr>
              <w:spacing w:before="40" w:after="40"/>
            </w:pPr>
            <w:r>
              <w:rPr>
                <w:color w:val="1E293B"/>
                <w:sz w:val="19"/>
              </w:rPr>
              <w:t>200 OK: Complete payment representation and ledger summary</w:t>
            </w:r>
          </w:p>
        </w:tc>
      </w:tr>
    </w:tbl>
    <w:p/>
    <w:p>
      <w:pPr>
        <w:keepNext/>
        <w:spacing w:before="360" w:after="120"/>
      </w:pPr>
      <w:r>
        <w:rPr>
          <w:rFonts w:ascii="Calibri" w:hAnsi="Calibri"/>
          <w:b/>
          <w:color w:val="1E3A8A"/>
          <w:sz w:val="32"/>
        </w:rPr>
        <w:t>Phase 3 — Resilience, Security &amp; Correctness</w:t>
      </w:r>
    </w:p>
    <w:p>
      <w:r>
        <w:t>A payment gateway must maintain correctness despite hardware crashes, network partitions, and malicious traffic.</w:t>
      </w:r>
    </w:p>
    <w:p>
      <w:pPr>
        <w:keepNext/>
        <w:spacing w:before="280" w:after="80"/>
      </w:pPr>
      <w:r>
        <w:rPr>
          <w:rFonts w:ascii="Calibri" w:hAnsi="Calibri"/>
          <w:b/>
          <w:color w:val="0F766E"/>
          <w:sz w:val="25"/>
        </w:rPr>
        <w:t>3.1 Deterministic Bank-Side Idempotency Keys</w:t>
      </w:r>
    </w:p>
    <w:p>
      <w:r>
        <w:t>When calling upstream bank APIs, the gateway must never use random UUIDs as the bank's idempotency key. If our server crashes after calling the bank and retries later, generating a new key would charge the customer twice. Use deterministic SHA-256 hashes bound to the internal payment ID and action type:</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40" w:after="40"/>
            </w:pPr>
            <w:r>
              <w:rPr>
                <w:rFonts w:ascii="Consolas" w:hAnsi="Consolas"/>
                <w:color w:val="E2E8F0"/>
                <w:sz w:val="17"/>
              </w:rPr>
              <w:t>bank_auth_key   = SHA256("auth:" + payment_id)</w:t>
              <w:br/>
              <w:t>bank_cap_key    = SHA256("cap:"  + payment_id + ":" + capture_attempt_seq)</w:t>
              <w:br/>
              <w:t>bank_void_key   = SHA256("void:" + payment_id)</w:t>
              <w:br/>
              <w:t>bank_refund_key = SHA256("ref:"  + payment_id + ":" + refund_attempt_seq)</w:t>
            </w:r>
          </w:p>
        </w:tc>
      </w:tr>
    </w:tbl>
    <w:p/>
    <w:p>
      <w:pPr>
        <w:keepNext/>
        <w:spacing w:before="280" w:after="80"/>
      </w:pPr>
      <w:r>
        <w:rPr>
          <w:rFonts w:ascii="Calibri" w:hAnsi="Calibri"/>
          <w:b/>
          <w:color w:val="0F766E"/>
          <w:sz w:val="25"/>
        </w:rPr>
        <w:t>3.2 Circuit Breaker Pattern (New Addition)</w:t>
      </w:r>
    </w:p>
    <w:p>
      <w:r>
        <w:t>If the mock bank experiences an outage and returns 500s or timeouts, continuing to hammer the bank degrades performance and consumes application thread pools. Implement a Circuit Breaker with three states:</w:t>
        <w:br/>
        <w:t>• CLOSED: Normal operation. Requests flow to the bank.</w:t>
        <w:br/>
        <w:t>• OPEN: Tripped when failure threshold exceeds 5 consecutive 5xx/timeouts within 30s. Requests fail fast with HTTP 503 (BANK_UNAVAILABLE) without initiating outbound HTTP calls.</w:t>
        <w:br/>
        <w:t>• HALF-OPEN: After a cooldown window (e.g., 20s), allow a single probe request to pass through. If successful, reset to CLOSED; if failed, reopen immediately.</w:t>
      </w:r>
    </w:p>
    <w:p>
      <w:pPr>
        <w:keepNext/>
        <w:spacing w:before="280" w:after="80"/>
      </w:pPr>
      <w:r>
        <w:rPr>
          <w:rFonts w:ascii="Calibri" w:hAnsi="Calibri"/>
          <w:b/>
          <w:color w:val="0F766E"/>
          <w:sz w:val="25"/>
        </w:rPr>
        <w:t>3.3 Outbound Webhooks &amp; Dead Letter Queue (DLQ) (New Addition)</w:t>
      </w:r>
    </w:p>
    <w:p>
      <w:r>
        <w:t>When transactions update asynchronously (such as after our reconciliation sweeper marks a stalled payment as AUTHORIZED), merchants must be notified via outbound webhooks.</w:t>
      </w:r>
    </w:p>
    <w:p>
      <w:r>
        <w:t>1. Webhook Signatures: Compute an HMAC-SHA256 signature across the request body using the merchant's webhook secret, delivered in the `X-Gateway-Signature` header to prevent spoofing.</w:t>
        <w:br/>
        <w:t>2. Asynchronous Dispatcher: Queue webhook deliveries into PostgreSQL or Redis.</w:t>
        <w:br/>
        <w:t>3. Retry &amp; Dead Letter Queue (DLQ): Retry failed merchant endpoints with exponential backoff. If 5 attempts fail across 24 hours, move the delivery payload into a `dead_letter_webhooks` table for administrative investigation.</w:t>
      </w:r>
    </w:p>
    <w:p>
      <w:pPr>
        <w:keepNext/>
        <w:spacing w:before="280" w:after="80"/>
      </w:pPr>
      <w:r>
        <w:rPr>
          <w:rFonts w:ascii="Calibri" w:hAnsi="Calibri"/>
          <w:b/>
          <w:color w:val="0F766E"/>
          <w:sz w:val="25"/>
        </w:rPr>
        <w:t>3.4 Sensitive Data Redaction &amp; PCI-DSS Scrubber (New Addition)</w:t>
      </w:r>
    </w:p>
    <w:p>
      <w:r>
        <w:t>Storing or logging primary account numbers (PAN) or Card Verification Values (CVV) violates PCI-DSS security standards. Implement a logging interceptor/filter that recursively inspects JSON payloads and replaces card numbers and CVVs with masks (e.g., `card_number`: `************1111`, `cvv`: `***`) before passing them to application logs or persistence stores.</w:t>
      </w:r>
    </w:p>
    <w:p>
      <w:pPr>
        <w:keepNext/>
        <w:spacing w:before="280" w:after="80"/>
      </w:pPr>
      <w:r>
        <w:rPr>
          <w:rFonts w:ascii="Calibri" w:hAnsi="Calibri"/>
          <w:b/>
          <w:color w:val="0F766E"/>
          <w:sz w:val="25"/>
        </w:rPr>
        <w:t>3.5 Background Reconciliation Job (The Sweeper)</w:t>
      </w:r>
    </w:p>
    <w:p>
      <w:r>
        <w:t>If the gateway container crashes after the bank authorizes a payment but before the local database commits the status change, the local database remains in `PENDING` while the customer's funds are held at the bank. The Reconciliation Sweeper runs every 2 to 5 minutes:</w:t>
        <w:br/>
        <w:t>1. Query for records where `status = 'PENDING'` and `created_at &lt; NOW() - INTERVAL '30 seconds'`.</w:t>
        <w:br/>
        <w:t>2. Query the bank using the deterministic bank key (`GET /authorizations/{bank_key}`).</w:t>
        <w:br/>
        <w:t>3. If the bank returns `AUTHORIZED`, update local status to `AUTHORIZED` and trigger a merchant webhook.</w:t>
        <w:br/>
        <w:t>4. If the bank returns `NOT_FOUND`, mark local status as `FAILED`.</w:t>
      </w:r>
    </w:p>
    <w:p>
      <w:pPr>
        <w:keepNext/>
        <w:spacing w:before="360" w:after="120"/>
      </w:pPr>
      <w:r>
        <w:rPr>
          <w:rFonts w:ascii="Calibri" w:hAnsi="Calibri"/>
          <w:b/>
          <w:color w:val="1E3A8A"/>
          <w:sz w:val="32"/>
        </w:rPr>
        <w:t>Phase 4 — Comprehensive Testing &amp; Chaos Engineering</w:t>
      </w:r>
    </w:p>
    <w:p>
      <w:r>
        <w:t>Payment software testing requires verifying state safety under adversarial and degraded operating conditions.</w:t>
      </w:r>
    </w:p>
    <w:p>
      <w:pPr>
        <w:keepNext/>
        <w:spacing w:before="280" w:after="80"/>
      </w:pPr>
      <w:r>
        <w:rPr>
          <w:rFonts w:ascii="Calibri" w:hAnsi="Calibri"/>
          <w:b/>
          <w:color w:val="0F766E"/>
          <w:sz w:val="25"/>
        </w:rPr>
        <w:t>4.1 Testing Pyramid</w:t>
      </w:r>
    </w:p>
    <w:p>
      <w:r>
        <w:t>• Unit Tests: Validate state transitions, Luhn algorithm card checksums, ISO 4217 minor unit math, and error mapping without external dependencies.</w:t>
        <w:br/>
        <w:t>• Integration Tests: Execute real SQL against a PostgreSQL test container. Test row-level locking (`SELECT FOR UPDATE`), unique idempotency key collisions, and rollbacks.</w:t>
        <w:br/>
        <w:t>• End-to-End Tests: Run full transaction lifecycles against the running mock bank container.</w:t>
      </w:r>
    </w:p>
    <w:p>
      <w:pPr>
        <w:keepNext/>
        <w:spacing w:before="280" w:after="80"/>
      </w:pPr>
      <w:r>
        <w:rPr>
          <w:rFonts w:ascii="Calibri" w:hAnsi="Calibri"/>
          <w:b/>
          <w:color w:val="0F766E"/>
          <w:sz w:val="25"/>
        </w:rPr>
        <w:t>4.2 Automated Chaos &amp; Fault-Injection Testing (New Addition)</w:t>
      </w:r>
    </w:p>
    <w:p>
      <w:r>
        <w:t>Integrate automated chaos tests using the mock bank's configurable failure environment variables:</w:t>
        <w:br/>
        <w:t>• High Latency Simulation: Inject artificial delays exceeding client timeouts (e.g., 15s delay with a 5s client timeout). Assert that retry logic activates and idempotency keys prevent duplicate authorizations.</w:t>
        <w:br/>
        <w:t>• 500 Server Error Surges: Configure the mock bank to drop 50% of requests with HTTP 500. Assert that transient retries recover successfully.</w:t>
        <w:br/>
        <w:t>• Abrupt Mid-Call Termination: Kill the gateway process immediately after dispatching an authorization HTTP call. Restart the service and assert that the background reconciliation sweeper detects the orphan pending transaction and syncs state correctly.</w:t>
      </w:r>
    </w:p>
    <w:p>
      <w:pPr>
        <w:keepNext/>
        <w:spacing w:before="360" w:after="120"/>
      </w:pPr>
      <w:r>
        <w:rPr>
          <w:rFonts w:ascii="Calibri" w:hAnsi="Calibri"/>
          <w:b/>
          <w:color w:val="1E3A8A"/>
          <w:sz w:val="32"/>
        </w:rPr>
        <w:t>Phase 5 — DevOps, Containerization &amp; Observability</w:t>
      </w:r>
    </w:p>
    <w:p>
      <w:r>
        <w:t>Transforming the application into a production-grade microservice requires container isolation, automated pipelines, and observability.</w:t>
      </w:r>
    </w:p>
    <w:p>
      <w:pPr>
        <w:keepNext/>
        <w:spacing w:before="280" w:after="80"/>
      </w:pPr>
      <w:r>
        <w:rPr>
          <w:rFonts w:ascii="Calibri" w:hAnsi="Calibri"/>
          <w:b/>
          <w:color w:val="0F766E"/>
          <w:sz w:val="25"/>
        </w:rPr>
        <w:t>5.1 Multi-Stage Dockerfile</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before="40" w:after="40"/>
            </w:pPr>
            <w:r>
              <w:rPr>
                <w:rFonts w:ascii="Consolas" w:hAnsi="Consolas"/>
                <w:color w:val="E2E8F0"/>
                <w:sz w:val="17"/>
              </w:rPr>
              <w:t># Build Stage</w:t>
              <w:br/>
              <w:t>FROM golang:1.22-alpine AS builder</w:t>
              <w:br/>
              <w:t>WORKDIR /app</w:t>
              <w:br/>
              <w:t>COPY go.mod go.sum ./</w:t>
              <w:br/>
              <w:t>RUN go mod download</w:t>
              <w:br/>
              <w:t>COPY . .</w:t>
              <w:br/>
              <w:t>RUN CGO_ENABLED=0 GOOS=linux go build -ldflags="-w -s" -o /gateway ./cmd/server</w:t>
              <w:br/>
              <w:br/>
              <w:t># Minimal Runtime Stage</w:t>
              <w:br/>
              <w:t>FROM alpine:3.19</w:t>
              <w:br/>
              <w:t>RUN apk --no-cache add ca-certificates tzdata</w:t>
              <w:br/>
              <w:t>WORKDIR /app</w:t>
              <w:br/>
              <w:t>COPY --from=builder /gateway /app/gateway</w:t>
              <w:br/>
              <w:t>EXPOSE 8080</w:t>
              <w:br/>
              <w:t>USER nobody:nobody</w:t>
              <w:br/>
              <w:t>ENTRYPOINT ["/app/gateway"]</w:t>
            </w:r>
          </w:p>
        </w:tc>
      </w:tr>
    </w:tbl>
    <w:p/>
    <w:p>
      <w:pPr>
        <w:keepNext/>
        <w:spacing w:before="280" w:after="80"/>
      </w:pPr>
      <w:r>
        <w:rPr>
          <w:rFonts w:ascii="Calibri" w:hAnsi="Calibri"/>
          <w:b/>
          <w:color w:val="0F766E"/>
          <w:sz w:val="25"/>
        </w:rPr>
        <w:t>5.2 Distributed Tracing with OpenTelemetry (New Addition)</w:t>
      </w:r>
    </w:p>
    <w:p>
      <w:r>
        <w:t>In addition to structured JSON logs (`request_id`, `payment_id`, `duration_ms`), instrument the service with OpenTelemetry. Propagate W3C `traceparent` headers between incoming merchant requests, gateway database queries, and outbound mock bank HTTP calls. This allows engineers to inspect end-to-end latency breakdowns across network boundaries in Jaeger or Grafana Tempo.</w:t>
      </w:r>
    </w:p>
    <w:p>
      <w:pPr>
        <w:keepNext/>
        <w:spacing w:before="280" w:after="80"/>
      </w:pPr>
      <w:r>
        <w:rPr>
          <w:rFonts w:ascii="Calibri" w:hAnsi="Calibri"/>
          <w:b/>
          <w:color w:val="0F766E"/>
          <w:sz w:val="25"/>
        </w:rPr>
        <w:t>5.3 Prometheus Metrics Instrumentation</w:t>
      </w:r>
    </w:p>
    <w:p>
      <w:r>
        <w:t>Expose standard Prometheus metrics on `GET /metrics`:</w:t>
        <w:br/>
        <w:t>• `gateway_transactions_total{operation="authorize|capture|void|refund", status="success|declined|error"}`</w:t>
        <w:br/>
        <w:t>• `gateway_bank_request_duration_seconds{operation="..."}` (Histogram)</w:t>
        <w:br/>
        <w:t>• `gateway_circuit_breaker_state{state="closed|open|half_open"}`</w:t>
        <w:br/>
        <w:t>• `gateway_reconciliation_swept_total{result="synced_auth|marked_failed"}`</w:t>
      </w:r>
    </w:p>
    <w:p>
      <w:pPr>
        <w:keepNext/>
        <w:spacing w:before="360" w:after="120"/>
      </w:pPr>
      <w:r>
        <w:rPr>
          <w:rFonts w:ascii="Calibri" w:hAnsi="Calibri"/>
          <w:b/>
          <w:color w:val="1E3A8A"/>
          <w:sz w:val="32"/>
        </w:rPr>
        <w:t>Phase 6 — Writing Your TRADEOFFS.md</w:t>
      </w:r>
    </w:p>
    <w:p>
      <w:r>
        <w:t>The `TRADEOFFS.md` file is a core evaluation deliverable. It proves that you understand the architectural compromises inherent in distributed financial engineering. Write it in the first person, answering the key sections below:</w:t>
      </w:r>
    </w:p>
    <w:tbl>
      <w:tblPr>
        <w:tblW w:type="auto" w:w="0"/>
        <w:jc w:val="center"/>
        <w:tblLook w:firstColumn="1" w:firstRow="1" w:lastColumn="0" w:lastRow="0" w:noHBand="0" w:noVBand="1" w:val="04A0"/>
      </w:tblPr>
      <w:tblGrid>
        <w:gridCol w:w="4680"/>
        <w:gridCol w:w="4680"/>
      </w:tblGrid>
      <w:tr>
        <w:trPr>
          <w:cantSplit/>
          <w:tblHeader/>
        </w:trPr>
        <w:tc>
          <w:tcPr>
            <w:tcW w:type="dxa" w:w="4680"/>
            <w:shd w:fill="1E3A8A"/>
            <w:tcMar>
              <w:top w:w="140" w:type="dxa"/>
              <w:bottom w:w="140" w:type="dxa"/>
              <w:left w:w="180" w:type="dxa"/>
              <w:right w:w="180" w:type="dxa"/>
            </w:tcMar>
          </w:tcPr>
          <w:p>
            <w:pPr>
              <w:spacing w:before="40" w:after="40"/>
            </w:pPr>
            <w:r>
              <w:rPr>
                <w:b/>
                <w:color w:val="FFFFFF"/>
                <w:sz w:val="19"/>
              </w:rPr>
              <w:t>Section</w:t>
            </w:r>
          </w:p>
        </w:tc>
        <w:tc>
          <w:tcPr>
            <w:tcW w:type="dxa" w:w="4680"/>
            <w:shd w:fill="1E3A8A"/>
            <w:tcMar>
              <w:top w:w="140" w:type="dxa"/>
              <w:bottom w:w="140" w:type="dxa"/>
              <w:left w:w="180" w:type="dxa"/>
              <w:right w:w="180" w:type="dxa"/>
            </w:tcMar>
          </w:tcPr>
          <w:p>
            <w:pPr>
              <w:spacing w:before="40" w:after="40"/>
            </w:pPr>
            <w:r>
              <w:rPr>
                <w:b/>
                <w:color w:val="FFFFFF"/>
                <w:sz w:val="19"/>
              </w:rPr>
              <w:t>Core Prompts &amp; Architectural Questions to Address</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Architecture</w:t>
            </w:r>
          </w:p>
        </w:tc>
        <w:tc>
          <w:tcPr>
            <w:tcW w:type="dxa" w:w="4680"/>
            <w:shd w:fill="F8FAFC"/>
            <w:tcMar>
              <w:top w:w="100" w:type="dxa"/>
              <w:bottom w:w="100" w:type="dxa"/>
              <w:left w:w="180" w:type="dxa"/>
              <w:right w:w="180" w:type="dxa"/>
            </w:tcMar>
          </w:tcPr>
          <w:p>
            <w:pPr>
              <w:spacing w:before="40" w:after="40"/>
            </w:pPr>
            <w:r>
              <w:rPr>
                <w:color w:val="1E293B"/>
                <w:sz w:val="19"/>
              </w:rPr>
              <w:t>Why did you select your language and stack? Why layer the system into api/service/bank/store? How would this architecture adapt if 10 engineers worked on it?</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State Management</w:t>
            </w:r>
          </w:p>
        </w:tc>
        <w:tc>
          <w:tcPr>
            <w:tcW w:type="dxa" w:w="4680"/>
            <w:shd w:fill="FFFFFF"/>
            <w:tcMar>
              <w:top w:w="100" w:type="dxa"/>
              <w:bottom w:w="100" w:type="dxa"/>
              <w:left w:w="180" w:type="dxa"/>
              <w:right w:w="180" w:type="dxa"/>
            </w:tcMar>
          </w:tcPr>
          <w:p>
            <w:pPr>
              <w:spacing w:before="40" w:after="40"/>
            </w:pPr>
            <w:r>
              <w:rPr>
                <w:color w:val="1E293B"/>
                <w:sz w:val="19"/>
              </w:rPr>
              <w:t>Why did you use pessimistic vs. optimistic locking? How does your system guarantee safety if two capture requests land at the exact same millisecond?</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Failure Handling</w:t>
            </w:r>
          </w:p>
        </w:tc>
        <w:tc>
          <w:tcPr>
            <w:tcW w:type="dxa" w:w="4680"/>
            <w:shd w:fill="F8FAFC"/>
            <w:tcMar>
              <w:top w:w="100" w:type="dxa"/>
              <w:bottom w:w="100" w:type="dxa"/>
              <w:left w:w="180" w:type="dxa"/>
              <w:right w:w="180" w:type="dxa"/>
            </w:tcMar>
          </w:tcPr>
          <w:p>
            <w:pPr>
              <w:spacing w:before="40" w:after="40"/>
            </w:pPr>
            <w:r>
              <w:rPr>
                <w:color w:val="1E293B"/>
                <w:sz w:val="19"/>
              </w:rPr>
              <w:t>How do you distinguish transient 5xx/network errors from permanent 4xx declines? What exact backoff parameters and jitter formulas did you use?</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Event Sourcing vs In-Place Updates</w:t>
            </w:r>
          </w:p>
        </w:tc>
        <w:tc>
          <w:tcPr>
            <w:tcW w:type="dxa" w:w="4680"/>
            <w:shd w:fill="FFFFFF"/>
            <w:tcMar>
              <w:top w:w="100" w:type="dxa"/>
              <w:bottom w:w="100" w:type="dxa"/>
              <w:left w:w="180" w:type="dxa"/>
              <w:right w:w="180" w:type="dxa"/>
            </w:tcMar>
          </w:tcPr>
          <w:p>
            <w:pPr>
              <w:spacing w:before="40" w:after="40"/>
            </w:pPr>
            <w:r>
              <w:rPr>
                <w:color w:val="1E293B"/>
                <w:sz w:val="19"/>
              </w:rPr>
              <w:t>What trade-offs exist between maintaining a single mutable payments row versus an immutable append-only events ledger?</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Scaling to 10,000 TPS</w:t>
            </w:r>
          </w:p>
        </w:tc>
        <w:tc>
          <w:tcPr>
            <w:tcW w:type="dxa" w:w="4680"/>
            <w:shd w:fill="F8FAFC"/>
            <w:tcMar>
              <w:top w:w="100" w:type="dxa"/>
              <w:bottom w:w="100" w:type="dxa"/>
              <w:left w:w="180" w:type="dxa"/>
              <w:right w:w="180" w:type="dxa"/>
            </w:tcMar>
          </w:tcPr>
          <w:p>
            <w:pPr>
              <w:spacing w:before="40" w:after="40"/>
            </w:pPr>
            <w:r>
              <w:rPr>
                <w:color w:val="1E293B"/>
                <w:sz w:val="19"/>
              </w:rPr>
              <w:t>What bottlenecks would emerge at 10k TPS? (e.g. PostgreSQL row locking vs partitioned queues/Kafka, Redis caching for idempotency keys).</w:t>
            </w:r>
          </w:p>
        </w:tc>
      </w:tr>
    </w:tbl>
    <w:p/>
    <w:p>
      <w:pPr>
        <w:keepNext/>
        <w:spacing w:before="360" w:after="120"/>
      </w:pPr>
      <w:r>
        <w:rPr>
          <w:rFonts w:ascii="Calibri" w:hAnsi="Calibri"/>
          <w:b/>
          <w:color w:val="1E3A8A"/>
          <w:sz w:val="32"/>
        </w:rPr>
        <w:t>Appendices: Study Plan &amp; Production Pitfalls</w:t>
      </w:r>
    </w:p>
    <w:p>
      <w:pPr>
        <w:keepNext/>
        <w:spacing w:before="280" w:after="80"/>
      </w:pPr>
      <w:r>
        <w:rPr>
          <w:rFonts w:ascii="Calibri" w:hAnsi="Calibri"/>
          <w:b/>
          <w:color w:val="0F766E"/>
          <w:sz w:val="25"/>
        </w:rPr>
        <w:t>Appendix A — 5-Week Milestone Implementation Schedule</w:t>
      </w:r>
    </w:p>
    <w:p>
      <w:r>
        <w:t>• Week 1: Study domain foundations, setup Docker environment, implement schema migrations, scaffold project layout.</w:t>
        <w:br/>
        <w:t>• Week 2: Build state machine, POST /payments/authorize, pessimistic locking, and basic unit test suite.</w:t>
        <w:br/>
        <w:t>• Week 3: Implement capture, void, refund, deterministic idempotency keys, bank retry backoff, and integration tests.</w:t>
        <w:br/>
        <w:t>• Week 4: Build background reconciliation sweeper, circuit breaker, webhook dispatcher, and automated chaos tests.</w:t>
        <w:br/>
        <w:t>• Week 5: Multi-stage Docker optimization, GitHub Actions CI, Prometheus metrics, OpenTelemetry, and author TRADEOFFS.md.</w:t>
      </w:r>
    </w:p>
    <w:p>
      <w:pPr>
        <w:keepNext/>
        <w:spacing w:before="280" w:after="80"/>
      </w:pPr>
      <w:r>
        <w:rPr>
          <w:rFonts w:ascii="Calibri" w:hAnsi="Calibri"/>
          <w:b/>
          <w:color w:val="0F766E"/>
          <w:sz w:val="25"/>
        </w:rPr>
        <w:t>Appendix B — Common Pitfalls to Avoid</w:t>
      </w:r>
    </w:p>
    <w:tbl>
      <w:tblPr>
        <w:tblW w:type="auto" w:w="0"/>
        <w:jc w:val="center"/>
        <w:tblLook w:firstColumn="1" w:firstRow="1" w:lastColumn="0" w:lastRow="0" w:noHBand="0" w:noVBand="1" w:val="04A0"/>
      </w:tblPr>
      <w:tblGrid>
        <w:gridCol w:w="4680"/>
        <w:gridCol w:w="4680"/>
      </w:tblGrid>
      <w:tr>
        <w:trPr>
          <w:cantSplit/>
          <w:tblHeader/>
        </w:trPr>
        <w:tc>
          <w:tcPr>
            <w:tcW w:type="dxa" w:w="4680"/>
            <w:shd w:fill="1E3A8A"/>
            <w:tcMar>
              <w:top w:w="140" w:type="dxa"/>
              <w:bottom w:w="140" w:type="dxa"/>
              <w:left w:w="180" w:type="dxa"/>
              <w:right w:w="180" w:type="dxa"/>
            </w:tcMar>
          </w:tcPr>
          <w:p>
            <w:pPr>
              <w:spacing w:before="40" w:after="40"/>
            </w:pPr>
            <w:r>
              <w:rPr>
                <w:b/>
                <w:color w:val="FFFFFF"/>
                <w:sz w:val="19"/>
              </w:rPr>
              <w:t>Pitfall</w:t>
            </w:r>
          </w:p>
        </w:tc>
        <w:tc>
          <w:tcPr>
            <w:tcW w:type="dxa" w:w="4680"/>
            <w:shd w:fill="1E3A8A"/>
            <w:tcMar>
              <w:top w:w="140" w:type="dxa"/>
              <w:bottom w:w="140" w:type="dxa"/>
              <w:left w:w="180" w:type="dxa"/>
              <w:right w:w="180" w:type="dxa"/>
            </w:tcMar>
          </w:tcPr>
          <w:p>
            <w:pPr>
              <w:spacing w:before="40" w:after="40"/>
            </w:pPr>
            <w:r>
              <w:rPr>
                <w:b/>
                <w:color w:val="FFFFFF"/>
                <w:sz w:val="19"/>
              </w:rPr>
              <w:t>Correct Engineering Practice</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Floating point money calculations</w:t>
            </w:r>
          </w:p>
        </w:tc>
        <w:tc>
          <w:tcPr>
            <w:tcW w:type="dxa" w:w="4680"/>
            <w:shd w:fill="F8FAFC"/>
            <w:tcMar>
              <w:top w:w="100" w:type="dxa"/>
              <w:bottom w:w="100" w:type="dxa"/>
              <w:left w:w="180" w:type="dxa"/>
              <w:right w:w="180" w:type="dxa"/>
            </w:tcMar>
          </w:tcPr>
          <w:p>
            <w:pPr>
              <w:spacing w:before="40" w:after="40"/>
            </w:pPr>
            <w:r>
              <w:rPr>
                <w:color w:val="1E293B"/>
                <w:sz w:val="19"/>
              </w:rPr>
              <w:t>Always store amounts as integers in minor currency units (cents). Validate decimal count per ISO 4217.</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Logging raw cardholder PAN/CVV</w:t>
            </w:r>
          </w:p>
        </w:tc>
        <w:tc>
          <w:tcPr>
            <w:tcW w:type="dxa" w:w="4680"/>
            <w:shd w:fill="FFFFFF"/>
            <w:tcMar>
              <w:top w:w="100" w:type="dxa"/>
              <w:bottom w:w="100" w:type="dxa"/>
              <w:left w:w="180" w:type="dxa"/>
              <w:right w:w="180" w:type="dxa"/>
            </w:tcMar>
          </w:tcPr>
          <w:p>
            <w:pPr>
              <w:spacing w:before="40" w:after="40"/>
            </w:pPr>
            <w:r>
              <w:rPr>
                <w:color w:val="1E293B"/>
                <w:sz w:val="19"/>
              </w:rPr>
              <w:t>Scrub card data using a redaction interceptor before emitting logs to stdout or persistence.</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Non-deterministic upstream idempotency keys</w:t>
            </w:r>
          </w:p>
        </w:tc>
        <w:tc>
          <w:tcPr>
            <w:tcW w:type="dxa" w:w="4680"/>
            <w:shd w:fill="F8FAFC"/>
            <w:tcMar>
              <w:top w:w="100" w:type="dxa"/>
              <w:bottom w:w="100" w:type="dxa"/>
              <w:left w:w="180" w:type="dxa"/>
              <w:right w:w="180" w:type="dxa"/>
            </w:tcMar>
          </w:tcPr>
          <w:p>
            <w:pPr>
              <w:spacing w:before="40" w:after="40"/>
            </w:pPr>
            <w:r>
              <w:rPr>
                <w:color w:val="1E293B"/>
                <w:sz w:val="19"/>
              </w:rPr>
              <w:t>Derive upstream bank keys from internal transaction IDs and action types using SHA-256 hashes.</w:t>
            </w:r>
          </w:p>
        </w:tc>
      </w:tr>
      <w:tr>
        <w:trPr>
          <w:cantSplit/>
        </w:trPr>
        <w:tc>
          <w:tcPr>
            <w:tcW w:type="dxa" w:w="4680"/>
            <w:shd w:fill="FFFFFF"/>
            <w:tcMar>
              <w:top w:w="100" w:type="dxa"/>
              <w:bottom w:w="100" w:type="dxa"/>
              <w:left w:w="180" w:type="dxa"/>
              <w:right w:w="180" w:type="dxa"/>
            </w:tcMar>
          </w:tcPr>
          <w:p>
            <w:pPr>
              <w:spacing w:before="40" w:after="40"/>
            </w:pPr>
            <w:r>
              <w:rPr>
                <w:color w:val="1E293B"/>
                <w:sz w:val="19"/>
              </w:rPr>
              <w:t>Retrying permanent client declines</w:t>
            </w:r>
          </w:p>
        </w:tc>
        <w:tc>
          <w:tcPr>
            <w:tcW w:type="dxa" w:w="4680"/>
            <w:shd w:fill="FFFFFF"/>
            <w:tcMar>
              <w:top w:w="100" w:type="dxa"/>
              <w:bottom w:w="100" w:type="dxa"/>
              <w:left w:w="180" w:type="dxa"/>
              <w:right w:w="180" w:type="dxa"/>
            </w:tcMar>
          </w:tcPr>
          <w:p>
            <w:pPr>
              <w:spacing w:before="40" w:after="40"/>
            </w:pPr>
            <w:r>
              <w:rPr>
                <w:color w:val="1E293B"/>
                <w:sz w:val="19"/>
              </w:rPr>
              <w:t>Immediately reject 400/402/422 responses (e.g. insufficient funds, expired card) without consuming retry budgets.</w:t>
            </w:r>
          </w:p>
        </w:tc>
      </w:tr>
      <w:tr>
        <w:trPr>
          <w:cantSplit/>
        </w:trPr>
        <w:tc>
          <w:tcPr>
            <w:tcW w:type="dxa" w:w="4680"/>
            <w:shd w:fill="F8FAFC"/>
            <w:tcMar>
              <w:top w:w="100" w:type="dxa"/>
              <w:bottom w:w="100" w:type="dxa"/>
              <w:left w:w="180" w:type="dxa"/>
              <w:right w:w="180" w:type="dxa"/>
            </w:tcMar>
          </w:tcPr>
          <w:p>
            <w:pPr>
              <w:spacing w:before="40" w:after="40"/>
            </w:pPr>
            <w:r>
              <w:rPr>
                <w:color w:val="1E293B"/>
                <w:sz w:val="19"/>
              </w:rPr>
              <w:t>In-memory-only idempotency storage</w:t>
            </w:r>
          </w:p>
        </w:tc>
        <w:tc>
          <w:tcPr>
            <w:tcW w:type="dxa" w:w="4680"/>
            <w:shd w:fill="F8FAFC"/>
            <w:tcMar>
              <w:top w:w="100" w:type="dxa"/>
              <w:bottom w:w="100" w:type="dxa"/>
              <w:left w:w="180" w:type="dxa"/>
              <w:right w:w="180" w:type="dxa"/>
            </w:tcMar>
          </w:tcPr>
          <w:p>
            <w:pPr>
              <w:spacing w:before="40" w:after="40"/>
            </w:pPr>
            <w:r>
              <w:rPr>
                <w:color w:val="1E293B"/>
                <w:sz w:val="19"/>
              </w:rPr>
              <w:t>Store idempotency records in PostgreSQL with unique indexes so duplicate concurrent HTTP requests collide deterministically at the DB level.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