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 Mono" w:cs="Roboto Mono" w:eastAsia="Roboto Mono" w:hAnsi="Roboto Mono"/>
          <w:b w:val="1"/>
          <w:sz w:val="40"/>
          <w:szCs w:val="40"/>
        </w:rPr>
      </w:pPr>
      <w:bookmarkStart w:colFirst="0" w:colLast="0" w:name="_3btd4te8mctg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rtl w:val="0"/>
        </w:rPr>
        <w:t xml:space="preserve">TEXT SUMMARIZATION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Summarization is of two types: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bookmarkStart w:colFirst="0" w:colLast="0" w:name="_7bqa0us1wnfc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EXTRACTIVE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SUMMARIZATION: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As the word suggests, we find important sentences from a text and put them together to give us the summary.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1466850</wp:posOffset>
            </wp:positionH>
            <wp:positionV relativeFrom="paragraph">
              <wp:posOffset>190500</wp:posOffset>
            </wp:positionV>
            <wp:extent cx="3514725" cy="16002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bookmarkStart w:colFirst="0" w:colLast="0" w:name="_iywxb34lrect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ABSTRACTIVE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SUMMARIZATION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Here, we form new sentences for our summary.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1352550</wp:posOffset>
            </wp:positionH>
            <wp:positionV relativeFrom="paragraph">
              <wp:posOffset>142875</wp:posOffset>
            </wp:positionV>
            <wp:extent cx="3743325" cy="16002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