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pPr>
      <w:r>
        <w:rPr>
          <w:b/>
          <w:bCs/>
          <w:color w:val="D97706"/>
          <w:spacing w:val="60"/>
          <w:sz w:val="18"/>
          <w:szCs w:val="18"/>
        </w:rPr>
        <w:t xml:space="preserve">FICHE DE COURS</w:t>
      </w:r>
    </w:p>
    <w:p>
      <w:pPr>
        <w:spacing w:after="160"/>
      </w:pPr>
      <w:r>
        <w:rPr>
          <w:b/>
          <w:bCs/>
          <w:color w:val="1E3A5F"/>
          <w:sz w:val="20"/>
          <w:szCs w:val="20"/>
        </w:rPr>
        <w:t xml:space="preserve">Sécurité Cloud</w:t>
      </w:r>
    </w:p>
    <w:p>
      <w:pPr>
        <w:pBdr>
          <w:bottom w:val="single" w:color="D97706" w:sz="12" w:space="10"/>
        </w:pBdr>
        <w:spacing w:after="400"/>
      </w:pPr>
      <w:r>
        <w:rPr>
          <w:color w:val="475569"/>
          <w:sz w:val="18"/>
          <w:szCs w:val="18"/>
        </w:rPr>
        <w:t xml:space="preserve">Protéger identités, données, réseaux et charges de travail</w:t>
      </w:r>
    </w:p>
    <w:p>
      <w:pPr>
        <w:spacing w:after="120"/>
      </w:pPr>
      <w:r>
        <w:rPr>
          <w:sz w:val="18"/>
          <w:szCs w:val="18"/>
        </w:rPr>
        <w:t xml:space="preserve">La sécurité n'est pas une option ajoutée à la fin : elle fait partie de chaque choix d'architecture. Cette fiche donne un cadre pour raisonner, les mesures prioritaires et des exercices concrets.</w:t>
      </w:r>
    </w:p>
    <w:p>
      <w:pPr>
        <w:pBdr>
          <w:left w:val="single" w:color="16A34A" w:sz="18" w:space="8"/>
        </w:pBdr>
        <w:shd w:fill="DCFCE7" w:color="auto" w:val="clear"/>
        <w:spacing w:after="120" w:before="120"/>
        <w:ind w:left="200" w:right="100"/>
      </w:pPr>
      <w:r>
        <w:rPr>
          <w:b/>
          <w:bCs/>
          <w:sz w:val="18"/>
          <w:szCs w:val="18"/>
        </w:rPr>
        <w:t xml:space="preserve">Contenu vérifié le 28 octobre 2026</w:t>
      </w:r>
      <w:r>
        <w:rPr>
          <w:sz w:val="18"/>
          <w:szCs w:val="18"/>
        </w:rPr>
        <w:t xml:space="preserve"> auprès de sources officielles. Les liens, les corrections apportées et les points restant à confirmer figurent en fin de document.</w:t>
      </w:r>
    </w:p>
    <w:p>
      <w:pPr>
        <w:spacing w:after="80" w:before="300"/>
      </w:pPr>
      <w:r>
        <w:rPr>
          <w:b/>
          <w:bCs/>
          <w:color w:val="1E3A5F"/>
          <w:sz w:val="18"/>
          <w:szCs w:val="18"/>
        </w:rPr>
        <w:t xml:space="preserve">Plan du document</w:t>
      </w:r>
    </w:p>
    <w:p>
      <w:pPr>
        <w:spacing w:after="40"/>
      </w:pPr>
      <w:r>
        <w:rPr>
          <w:sz w:val="18"/>
          <w:szCs w:val="18"/>
        </w:rPr>
        <w:t xml:space="preserve">Définition du concept</w:t>
      </w:r>
    </w:p>
    <w:p>
      <w:pPr>
        <w:spacing w:after="40"/>
      </w:pPr>
      <w:r>
        <w:rPr>
          <w:sz w:val="18"/>
          <w:szCs w:val="18"/>
        </w:rPr>
        <w:t xml:space="preserve">Étape 1 : Le problème de départ</w:t>
      </w:r>
    </w:p>
    <w:p>
      <w:pPr>
        <w:spacing w:after="40"/>
      </w:pPr>
      <w:r>
        <w:rPr>
          <w:sz w:val="18"/>
          <w:szCs w:val="18"/>
        </w:rPr>
        <w:t xml:space="preserve">Étape 2 : Le modèle mental</w:t>
      </w:r>
    </w:p>
    <w:p>
      <w:pPr>
        <w:spacing w:after="40"/>
      </w:pPr>
      <w:r>
        <w:rPr>
          <w:sz w:val="18"/>
          <w:szCs w:val="18"/>
        </w:rPr>
        <w:t xml:space="preserve">Étape 3 : Les briques, de la plus petite à la plus grande</w:t>
      </w:r>
    </w:p>
    <w:p>
      <w:pPr>
        <w:spacing w:after="40"/>
      </w:pPr>
      <w:r>
        <w:rPr>
          <w:sz w:val="18"/>
          <w:szCs w:val="18"/>
        </w:rPr>
        <w:t xml:space="preserve">Étape 4 : L'architecture et le fonctionnement interne</w:t>
      </w:r>
    </w:p>
    <w:p>
      <w:pPr>
        <w:spacing w:after="40"/>
      </w:pPr>
      <w:r>
        <w:rPr>
          <w:sz w:val="18"/>
          <w:szCs w:val="18"/>
        </w:rPr>
        <w:t xml:space="preserve">Étape 5 : Un scénario de bout en bout</w:t>
      </w:r>
    </w:p>
    <w:p>
      <w:pPr>
        <w:spacing w:after="40"/>
      </w:pPr>
      <w:r>
        <w:rPr>
          <w:sz w:val="18"/>
          <w:szCs w:val="18"/>
        </w:rPr>
        <w:t xml:space="preserve">Étape 6 : Pratiquer sur un petit cas</w:t>
      </w:r>
    </w:p>
    <w:p>
      <w:pPr>
        <w:spacing w:after="40"/>
      </w:pPr>
      <w:r>
        <w:rPr>
          <w:sz w:val="18"/>
          <w:szCs w:val="18"/>
        </w:rPr>
        <w:t xml:space="preserve">Étape 7 : Casser pour comprendre</w:t>
      </w:r>
    </w:p>
    <w:p>
      <w:pPr>
        <w:spacing w:after="40"/>
      </w:pPr>
      <w:r>
        <w:rPr>
          <w:sz w:val="18"/>
          <w:szCs w:val="18"/>
        </w:rPr>
        <w:t xml:space="preserve">Étape 8 : Relier à ton environnement (GitLab CI/CD)</w:t>
      </w:r>
    </w:p>
    <w:p>
      <w:pPr>
        <w:spacing w:after="40"/>
      </w:pPr>
      <w:r>
        <w:rPr>
          <w:sz w:val="18"/>
          <w:szCs w:val="18"/>
        </w:rPr>
        <w:t xml:space="preserve">Aide-mémoire des commandes et glossaire</w:t>
      </w:r>
    </w:p>
    <w:p>
      <w:pPr>
        <w:spacing w:after="40"/>
      </w:pPr>
      <w:r>
        <w:rPr>
          <w:sz w:val="18"/>
          <w:szCs w:val="18"/>
        </w:rPr>
        <w:t xml:space="preserve">Sources officielles et vérifications</w:t>
      </w:r>
    </w:p>
    <w:p>
      <w:r>
        <w:br w:type="page"/>
      </w:r>
    </w:p>
    <w:p>
      <w:pPr>
        <w:pStyle w:val="Heading1"/>
      </w:pPr>
      <w:r>
        <w:t xml:space="preserve">Définition du concept</w:t>
      </w:r>
    </w:p>
    <w:p>
      <w:pPr>
        <w:spacing w:after="120" w:line="288"/>
      </w:pPr>
      <w:r>
        <w:t xml:space="preserve">La </w:t>
      </w:r>
      <w:r>
        <w:rPr>
          <w:b/>
          <w:bCs/>
        </w:rPr>
        <w:t xml:space="preserve">sécurité cloud</w:t>
      </w:r>
      <w:r>
        <w:t xml:space="preserve"> désigne l'ensemble des </w:t>
      </w:r>
      <w:r>
        <w:rPr>
          <w:b/>
          <w:bCs/>
        </w:rPr>
        <w:t xml:space="preserve">politiques, processus, technologies et bonnes pratiques</w:t>
      </w:r>
      <w:r>
        <w:t xml:space="preserve"> qui protègent les </w:t>
      </w:r>
      <w:r>
        <w:rPr>
          <w:b/>
          <w:bCs/>
        </w:rPr>
        <w:t xml:space="preserve">identités, les données, les applications et l'infrastructure</w:t>
      </w:r>
      <w:r>
        <w:t xml:space="preserve"> hébergées dans le cloud, contre les accès non autorisés, les fuites, les attaques et les pannes, tout en respectant les exigences légales et de conformité.</w:t>
      </w:r>
    </w:p>
    <w:p>
      <w:pPr>
        <w:keepLines/>
        <w:pBdr>
          <w:left w:val="single" w:color="2563EB" w:sz="18" w:space="8"/>
        </w:pBdr>
        <w:shd w:fill="DBEAFE" w:color="auto" w:val="clear"/>
        <w:spacing w:after="180" w:before="100" w:line="276"/>
        <w:ind w:left="200" w:right="100"/>
      </w:pPr>
      <w:r>
        <w:rPr>
          <w:b/>
          <w:bCs/>
        </w:rPr>
        <w:t xml:space="preserve">En une phrase simple : </w:t>
      </w:r>
      <w:r>
        <w:t xml:space="preserve">La sécurité cloud consiste à décider qui peut accéder à quoi, à protéger les données, à fermer ce qui n'a pas besoin d'être ouvert et à surveiller que tout reste en ordre.</w:t>
      </w:r>
    </w:p>
    <w:p>
      <w:pPr>
        <w:pStyle w:val="Heading3"/>
      </w:pPr>
      <w:r>
        <w:t xml:space="preserve">À quoi ça sert</w:t>
      </w:r>
    </w:p>
    <w:p>
      <w:pPr>
        <w:pStyle w:val="ListParagraph"/>
        <w:numPr>
          <w:ilvl w:val="0"/>
          <w:numId w:val="2"/>
        </w:numPr>
        <w:spacing w:after="60" w:line="276"/>
      </w:pPr>
      <w:r>
        <w:t xml:space="preserve">Éviter les fuites de données et les accès non autorisés.</w:t>
      </w:r>
    </w:p>
    <w:p>
      <w:pPr>
        <w:pStyle w:val="ListParagraph"/>
        <w:numPr>
          <w:ilvl w:val="0"/>
          <w:numId w:val="2"/>
        </w:numPr>
        <w:spacing w:after="60" w:line="276"/>
      </w:pPr>
      <w:r>
        <w:t xml:space="preserve">Garantir la disponibilité des services.</w:t>
      </w:r>
    </w:p>
    <w:p>
      <w:pPr>
        <w:pStyle w:val="ListParagraph"/>
        <w:numPr>
          <w:ilvl w:val="0"/>
          <w:numId w:val="2"/>
        </w:numPr>
        <w:spacing w:after="60" w:line="276"/>
      </w:pPr>
      <w:r>
        <w:t xml:space="preserve">Répondre aux obligations de conformité (RGPD, ISO 27001…).</w:t>
      </w:r>
    </w:p>
    <w:p>
      <w:pPr>
        <w:pStyle w:val="ListParagraph"/>
        <w:numPr>
          <w:ilvl w:val="0"/>
          <w:numId w:val="2"/>
        </w:numPr>
        <w:spacing w:after="60" w:line="276"/>
      </w:pPr>
      <w:r>
        <w:t xml:space="preserve">Détecter et traiter rapidement les incidents.</w:t>
      </w:r>
    </w:p>
    <w:p>
      <w:pPr>
        <w:pBdr>
          <w:left w:val="single" w:color="D97706" w:sz="18" w:space="8"/>
        </w:pBdr>
        <w:shd w:fill="FEF3C7" w:color="auto" w:val="clear"/>
        <w:spacing w:after="180" w:before="100" w:line="276"/>
        <w:ind w:left="200" w:right="100"/>
      </w:pPr>
      <w:r>
        <w:rPr>
          <w:b/>
          <w:bCs/>
        </w:rPr>
        <w:t xml:space="preserve">À retenir : </w:t>
      </w:r>
      <w:r>
        <w:t xml:space="preserve">La sécurité dans le cloud est une </w:t>
      </w:r>
      <w:r>
        <w:rPr>
          <w:b/>
          <w:bCs/>
        </w:rPr>
        <w:t xml:space="preserve">responsabilité partagée</w:t>
      </w:r>
      <w:r>
        <w:t xml:space="preserve"> : le fournisseur sécurise la plateforme, le client doit sécuriser ses propres configurations, accès et données.</w:t>
      </w:r>
    </w:p>
    <w:p>
      <w:pPr>
        <w:pStyle w:val="Heading1"/>
      </w:pPr>
      <w:r>
        <w:t xml:space="preserve">Étape 1 : Le problème de départ</w:t>
      </w:r>
    </w:p>
    <w:p>
      <w:pPr>
        <w:spacing w:after="120" w:line="288"/>
      </w:pPr>
      <w:r>
        <w:t xml:space="preserve">Dans le cloud, l'infrastructure est accessible via Internet, pilotée par API, créée en quelques secondes, et gérée par de nombreuses personnes. Une seule erreur de configuration (stockage public, clé exposée, port ouvert) peut exposer des données à l'échelle mondiale en quelques minutes.</w:t>
      </w:r>
    </w:p>
    <w:p>
      <w:pPr>
        <w:spacing w:after="120" w:line="288"/>
      </w:pPr>
      <w:r>
        <w:t xml:space="preserve">Causes les plus fréquentes d'incidents :</w:t>
      </w:r>
    </w:p>
    <w:p>
      <w:pPr>
        <w:pStyle w:val="ListParagraph"/>
        <w:numPr>
          <w:ilvl w:val="0"/>
          <w:numId w:val="2"/>
        </w:numPr>
        <w:spacing w:after="60" w:line="276"/>
      </w:pPr>
      <w:r>
        <w:rPr>
          <w:b/>
          <w:bCs/>
        </w:rPr>
        <w:t xml:space="preserve">Mauvaises configurations</w:t>
      </w:r>
      <w:r>
        <w:t xml:space="preserve"> (stockage public, règles réseau trop larges).</w:t>
      </w:r>
    </w:p>
    <w:p>
      <w:pPr>
        <w:pStyle w:val="ListParagraph"/>
        <w:numPr>
          <w:ilvl w:val="0"/>
          <w:numId w:val="2"/>
        </w:numPr>
        <w:spacing w:after="60" w:line="276"/>
      </w:pPr>
      <w:r>
        <w:rPr>
          <w:b/>
          <w:bCs/>
        </w:rPr>
        <w:t xml:space="preserve">Identités compromises</w:t>
      </w:r>
      <w:r>
        <w:t xml:space="preserve"> (mots de passe faibles, absence de MFA, clés oubliées dans du code).</w:t>
      </w:r>
    </w:p>
    <w:p>
      <w:pPr>
        <w:pStyle w:val="ListParagraph"/>
        <w:numPr>
          <w:ilvl w:val="0"/>
          <w:numId w:val="2"/>
        </w:numPr>
        <w:spacing w:after="60" w:line="276"/>
      </w:pPr>
      <w:r>
        <w:rPr>
          <w:b/>
          <w:bCs/>
        </w:rPr>
        <w:t xml:space="preserve">Droits excessifs</w:t>
      </w:r>
      <w:r>
        <w:t xml:space="preserve"> (comptes « administrateur » partout).</w:t>
      </w:r>
    </w:p>
    <w:p>
      <w:pPr>
        <w:pStyle w:val="ListParagraph"/>
        <w:numPr>
          <w:ilvl w:val="0"/>
          <w:numId w:val="2"/>
        </w:numPr>
        <w:spacing w:after="60" w:line="276"/>
      </w:pPr>
      <w:r>
        <w:rPr>
          <w:b/>
          <w:bCs/>
        </w:rPr>
        <w:t xml:space="preserve">Absence de visibilité</w:t>
      </w:r>
      <w:r>
        <w:t xml:space="preserve"> (pas de journaux, pas d'alertes).</w:t>
      </w:r>
    </w:p>
    <w:p>
      <w:pPr>
        <w:pStyle w:val="ListParagraph"/>
        <w:numPr>
          <w:ilvl w:val="0"/>
          <w:numId w:val="2"/>
        </w:numPr>
        <w:spacing w:after="60" w:line="276"/>
      </w:pPr>
      <w:r>
        <w:rPr>
          <w:b/>
          <w:bCs/>
        </w:rPr>
        <w:t xml:space="preserve">Vulnérabilités non corrigées</w:t>
      </w:r>
      <w:r>
        <w:t xml:space="preserve"> (systèmes, images, dépendances).</w:t>
      </w:r>
    </w:p>
    <w:p>
      <w:pPr>
        <w:pStyle w:val="Heading1"/>
      </w:pPr>
      <w:r>
        <w:t xml:space="preserve">Étape 2 : Le modèle mental</w:t>
      </w:r>
    </w:p>
    <w:p>
      <w:pPr>
        <w:keepLines/>
        <w:pBdr>
          <w:left w:val="single" w:color="9333EA" w:sz="18" w:space="8"/>
        </w:pBdr>
        <w:shd w:fill="F3E8FF" w:color="auto" w:val="clear"/>
        <w:spacing w:after="180" w:before="100" w:line="276"/>
        <w:ind w:left="200" w:right="100"/>
      </w:pPr>
      <w:r>
        <w:rPr>
          <w:b/>
          <w:bCs/>
        </w:rPr>
        <w:t xml:space="preserve">Image mentale : </w:t>
      </w:r>
      <w:r>
        <w:rPr>
          <w:b/>
          <w:bCs/>
        </w:rPr>
        <w:t xml:space="preserve">un immeuble sécurisé</w:t>
      </w:r>
      <w:r>
        <w:t xml:space="preserve"> avec plusieurs protections successives : la porte de l'immeuble (réseau), le badge (identité), la serrure de l'appartement (droits), le coffre (chiffrement des données), les caméras (journalisation et supervision).</w:t>
      </w:r>
    </w:p>
    <w:p>
      <w:pPr>
        <w:pBdr>
          <w:left w:val="single" w:color="D97706" w:sz="18" w:space="8"/>
        </w:pBdr>
        <w:shd w:fill="FEF3C7" w:color="auto" w:val="clear"/>
        <w:spacing w:after="180" w:before="100" w:line="276"/>
        <w:ind w:left="200" w:right="100"/>
      </w:pPr>
      <w:r>
        <w:rPr>
          <w:b/>
          <w:bCs/>
        </w:rPr>
        <w:t xml:space="preserve">À retenir : </w:t>
      </w:r>
      <w:r>
        <w:rPr>
          <w:b/>
          <w:bCs/>
        </w:rPr>
        <w:t xml:space="preserve">Défense en profondeur</w:t>
      </w:r>
      <w:r>
        <w:t xml:space="preserve"> : on n'en compte jamais sur une seule barrière. Si l'une cède, la suivante protège.</w:t>
      </w:r>
    </w:p>
    <w:p>
      <w:pPr>
        <w:pStyle w:val="Heading3"/>
      </w:pPr>
      <w:r>
        <w:t xml:space="preserve">Trois principes directeurs</w:t>
      </w:r>
    </w:p>
    <w:p>
      <w:pPr>
        <w:pStyle w:val="ListParagraph"/>
        <w:numPr>
          <w:ilvl w:val="0"/>
          <w:numId w:val="2"/>
        </w:numPr>
        <w:spacing w:after="60" w:line="276"/>
      </w:pPr>
      <w:r>
        <w:rPr>
          <w:b/>
          <w:bCs/>
        </w:rPr>
        <w:t xml:space="preserve">Moindre privilège</w:t>
      </w:r>
      <w:r>
        <w:t xml:space="preserve"> : chaque identité n'a que les droits dont elle a besoin.</w:t>
      </w:r>
    </w:p>
    <w:p>
      <w:pPr>
        <w:pStyle w:val="ListParagraph"/>
        <w:numPr>
          <w:ilvl w:val="0"/>
          <w:numId w:val="2"/>
        </w:numPr>
        <w:spacing w:after="60" w:line="276"/>
      </w:pPr>
      <w:r>
        <w:rPr>
          <w:b/>
          <w:bCs/>
        </w:rPr>
        <w:t xml:space="preserve">Zero Trust</w:t>
      </w:r>
      <w:r>
        <w:t xml:space="preserve"> : aucune confiance implicite accordée sur la seule base de l'emplacement réseau ; l'authentification et l'autorisation précèdent chaque session (NIST SP 800-207).</w:t>
      </w:r>
    </w:p>
    <w:p>
      <w:pPr>
        <w:pStyle w:val="ListParagraph"/>
        <w:numPr>
          <w:ilvl w:val="0"/>
          <w:numId w:val="2"/>
        </w:numPr>
        <w:spacing w:after="60" w:line="276"/>
      </w:pPr>
      <w:r>
        <w:rPr>
          <w:b/>
          <w:bCs/>
        </w:rPr>
        <w:t xml:space="preserve">Responsabilité partagée</w:t>
      </w:r>
      <w:r>
        <w:t xml:space="preserve"> : le fournisseur sécurise le cloud, le client sécurise ce qu'il y met. Même une offre qualifiée SecNumCloud ne préjuge pas de la sécurité des services que tu y déploies (précision de l'ANSSI).</w:t>
      </w:r>
    </w:p>
    <w:p>
      <w:pPr>
        <w:pStyle w:val="Heading3"/>
      </w:pPr>
      <w:r>
        <w:t xml:space="preserve">Les objectifs classiques (CIA)</w:t>
      </w:r>
    </w:p>
    <w:p>
      <w:pPr>
        <w:pStyle w:val="ListParagraph"/>
        <w:numPr>
          <w:ilvl w:val="0"/>
          <w:numId w:val="2"/>
        </w:numPr>
        <w:spacing w:after="60" w:line="276"/>
      </w:pPr>
      <w:r>
        <w:rPr>
          <w:b/>
          <w:bCs/>
        </w:rPr>
        <w:t xml:space="preserve">Confidentialité</w:t>
      </w:r>
      <w:r>
        <w:t xml:space="preserve"> : seuls les ayants droit accèdent aux données.</w:t>
      </w:r>
    </w:p>
    <w:p>
      <w:pPr>
        <w:pStyle w:val="ListParagraph"/>
        <w:numPr>
          <w:ilvl w:val="0"/>
          <w:numId w:val="2"/>
        </w:numPr>
        <w:spacing w:after="60" w:line="276"/>
      </w:pPr>
      <w:r>
        <w:rPr>
          <w:b/>
          <w:bCs/>
        </w:rPr>
        <w:t xml:space="preserve">Intégrité</w:t>
      </w:r>
      <w:r>
        <w:t xml:space="preserve"> : les données ne sont pas altérées à leur insu.</w:t>
      </w:r>
    </w:p>
    <w:p>
      <w:pPr>
        <w:pStyle w:val="ListParagraph"/>
        <w:numPr>
          <w:ilvl w:val="0"/>
          <w:numId w:val="2"/>
        </w:numPr>
        <w:spacing w:after="60" w:line="276"/>
      </w:pPr>
      <w:r>
        <w:rPr>
          <w:b/>
          <w:bCs/>
        </w:rPr>
        <w:t xml:space="preserve">Disponibilité</w:t>
      </w:r>
      <w:r>
        <w:t xml:space="preserve"> : les services restent accessibles.</w:t>
      </w:r>
    </w:p>
    <w:p>
      <w:pPr>
        <w:keepLines/>
        <w:pBdr>
          <w:left w:val="single" w:color="2563EB" w:sz="18" w:space="8"/>
        </w:pBdr>
        <w:shd w:fill="DBEAFE" w:color="auto" w:val="clear"/>
        <w:spacing w:after="180" w:before="100" w:line="276"/>
        <w:ind w:left="200" w:right="100"/>
      </w:pPr>
      <w:r>
        <w:rPr>
          <w:b/>
          <w:bCs/>
        </w:rPr>
        <w:t xml:space="preserve">Bon à savoir : </w:t>
      </w:r>
      <w:r>
        <w:t xml:space="preserve">Le </w:t>
      </w:r>
      <w:r>
        <w:rPr>
          <w:b/>
          <w:bCs/>
        </w:rPr>
        <w:t xml:space="preserve">chiffrement</w:t>
      </w:r>
      <w:r>
        <w:t xml:space="preserve"> ne remplace pas le </w:t>
      </w:r>
      <w:r>
        <w:rPr>
          <w:b/>
          <w:bCs/>
        </w:rPr>
        <w:t xml:space="preserve">contrôle d'accès</w:t>
      </w:r>
      <w:r>
        <w:t xml:space="preserve"> : si une personne autorisée à tort peut déchiffrer, la donnée reste exposée. Les deux se complètent.</w:t>
      </w:r>
    </w:p>
    <w:p>
      <w:pPr>
        <w:pStyle w:val="Heading1"/>
      </w:pPr>
      <w:r>
        <w:t xml:space="preserve">Étape 3 : Les briques, de la plus petite à la plus grande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3000"/>
        <w:gridCol w:w="4538"/>
      </w:tblGrid>
      <w:tr>
        <w:trPr>
          <w:tblHeader/>
        </w:trPr>
        <w:tc>
          <w:tcPr>
            <w:tcW w:type="dxa" w:w="2100"/>
            <w:tcBorders>
              <w:top w:val="single" w:color="CBD5E1" w:sz="4"/>
              <w:left w:val="single" w:color="CBD5E1" w:sz="4"/>
              <w:bottom w:val="single" w:color="CBD5E1" w:sz="4"/>
              <w:right w:val="single" w:color="CBD5E1" w:sz="4"/>
            </w:tcBorders>
            <w:shd w:fill="1E3A5F" w:color="auto" w:val="clear"/>
            <w:tcMar>
              <w:top w:type="dxa" w:w="70"/>
              <w:left w:type="dxa" w:w="110"/>
              <w:bottom w:type="dxa" w:w="70"/>
              <w:right w:type="dxa" w:w="110"/>
            </w:tcMar>
          </w:tcPr>
          <w:p>
            <w:r>
              <w:rPr>
                <w:b/>
                <w:bCs/>
                <w:color w:val="FFFFFF"/>
                <w:sz w:val="18"/>
                <w:szCs w:val="18"/>
              </w:rPr>
              <w:t xml:space="preserve">Domaine</w:t>
            </w:r>
          </w:p>
        </w:tc>
        <w:tc>
          <w:tcPr>
            <w:tcW w:type="dxa" w:w="3000"/>
            <w:tcBorders>
              <w:top w:val="single" w:color="CBD5E1" w:sz="4"/>
              <w:left w:val="single" w:color="CBD5E1" w:sz="4"/>
              <w:bottom w:val="single" w:color="CBD5E1" w:sz="4"/>
              <w:right w:val="single" w:color="CBD5E1" w:sz="4"/>
            </w:tcBorders>
            <w:shd w:fill="1E3A5F" w:color="auto" w:val="clear"/>
            <w:tcMar>
              <w:top w:type="dxa" w:w="70"/>
              <w:left w:type="dxa" w:w="110"/>
              <w:bottom w:type="dxa" w:w="70"/>
              <w:right w:type="dxa" w:w="110"/>
            </w:tcMar>
          </w:tcPr>
          <w:p>
            <w:r>
              <w:rPr>
                <w:b/>
                <w:bCs/>
                <w:color w:val="FFFFFF"/>
                <w:sz w:val="18"/>
                <w:szCs w:val="18"/>
              </w:rPr>
              <w:t xml:space="preserve">Objectif</w:t>
            </w:r>
          </w:p>
        </w:tc>
        <w:tc>
          <w:tcPr>
            <w:tcW w:type="dxa" w:w="4538"/>
            <w:tcBorders>
              <w:top w:val="single" w:color="CBD5E1" w:sz="4"/>
              <w:left w:val="single" w:color="CBD5E1" w:sz="4"/>
              <w:bottom w:val="single" w:color="CBD5E1" w:sz="4"/>
              <w:right w:val="single" w:color="CBD5E1" w:sz="4"/>
            </w:tcBorders>
            <w:shd w:fill="1E3A5F" w:color="auto" w:val="clear"/>
            <w:tcMar>
              <w:top w:type="dxa" w:w="70"/>
              <w:left w:type="dxa" w:w="110"/>
              <w:bottom w:type="dxa" w:w="70"/>
              <w:right w:type="dxa" w:w="110"/>
            </w:tcMar>
          </w:tcPr>
          <w:p>
            <w:r>
              <w:rPr>
                <w:b/>
                <w:bCs/>
                <w:color w:val="FFFFFF"/>
                <w:sz w:val="18"/>
                <w:szCs w:val="18"/>
              </w:rPr>
              <w:t xml:space="preserve">Mesures clés</w:t>
            </w:r>
          </w:p>
        </w:tc>
      </w:tr>
      <w:tr>
        <w:trPr>
          <w:cantSplit/>
        </w:trPr>
        <w:tc>
          <w:tcPr>
            <w:tcW w:type="dxa" w:w="21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bCs/>
                <w:sz w:val="18"/>
                <w:szCs w:val="18"/>
              </w:rPr>
              <w:t xml:space="preserve">Identités et accès (IAM)</w:t>
            </w:r>
          </w:p>
        </w:tc>
        <w:tc>
          <w:tcPr>
            <w:tcW w:type="dxa" w:w="30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Contrôler qui accède à quoi</w:t>
            </w:r>
          </w:p>
        </w:tc>
        <w:tc>
          <w:tcPr>
            <w:tcW w:type="dxa" w:w="4538"/>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MFA partout, moindre privilège, identifiants temporaires (rôles) plutôt que clés longue durée, pas de clé d'accès pour le compte racine, revue régulière des droits, comptes administrateurs séparés, SSO.</w:t>
            </w:r>
          </w:p>
        </w:tc>
      </w:tr>
      <w:tr>
        <w:trPr>
          <w:cantSplit/>
        </w:trPr>
        <w:tc>
          <w:tcPr>
            <w:tcW w:type="dxa" w:w="21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bCs/>
                <w:sz w:val="18"/>
                <w:szCs w:val="18"/>
              </w:rPr>
              <w:t xml:space="preserve">Réseau</w:t>
            </w:r>
          </w:p>
        </w:tc>
        <w:tc>
          <w:tcPr>
            <w:tcW w:type="dxa" w:w="30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Limiter l'exposition</w:t>
            </w:r>
          </w:p>
        </w:tc>
        <w:tc>
          <w:tcPr>
            <w:tcW w:type="dxa" w:w="4538"/>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Sous-réseaux privés, groupes de sécurité restrictifs, pas de SSH/RDP ouvert à tous, WAF, bastion, filtrage des flux sortants.</w:t>
            </w:r>
          </w:p>
        </w:tc>
      </w:tr>
      <w:tr>
        <w:trPr>
          <w:cantSplit/>
        </w:trPr>
        <w:tc>
          <w:tcPr>
            <w:tcW w:type="dxa" w:w="21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bCs/>
                <w:sz w:val="18"/>
                <w:szCs w:val="18"/>
              </w:rPr>
              <w:t xml:space="preserve">Données</w:t>
            </w:r>
          </w:p>
        </w:tc>
        <w:tc>
          <w:tcPr>
            <w:tcW w:type="dxa" w:w="30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Protéger la confidentialité</w:t>
            </w:r>
          </w:p>
        </w:tc>
        <w:tc>
          <w:tcPr>
            <w:tcW w:type="dxa" w:w="4538"/>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Chiffrement au repos et en transit, gestion des clés (KMS / Key Vault), classification, sauvegardes testées.</w:t>
            </w:r>
          </w:p>
        </w:tc>
      </w:tr>
      <w:tr>
        <w:trPr>
          <w:cantSplit/>
        </w:trPr>
        <w:tc>
          <w:tcPr>
            <w:tcW w:type="dxa" w:w="21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bCs/>
                <w:sz w:val="18"/>
                <w:szCs w:val="18"/>
              </w:rPr>
              <w:t xml:space="preserve">Secrets</w:t>
            </w:r>
          </w:p>
        </w:tc>
        <w:tc>
          <w:tcPr>
            <w:tcW w:type="dxa" w:w="30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Éviter les fuites</w:t>
            </w:r>
          </w:p>
        </w:tc>
        <w:tc>
          <w:tcPr>
            <w:tcW w:type="dxa" w:w="4538"/>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Coffre-fort de secrets, rotation, jamais de secret dans Git, analyse de dépôt (détection de secrets).</w:t>
            </w:r>
          </w:p>
        </w:tc>
      </w:tr>
      <w:tr>
        <w:trPr>
          <w:cantSplit/>
        </w:trPr>
        <w:tc>
          <w:tcPr>
            <w:tcW w:type="dxa" w:w="21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bCs/>
                <w:sz w:val="18"/>
                <w:szCs w:val="18"/>
              </w:rPr>
              <w:t xml:space="preserve">Charges de travail</w:t>
            </w:r>
          </w:p>
        </w:tc>
        <w:tc>
          <w:tcPr>
            <w:tcW w:type="dxa" w:w="30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Réduire les vulnérabilités</w:t>
            </w:r>
          </w:p>
        </w:tc>
        <w:tc>
          <w:tcPr>
            <w:tcW w:type="dxa" w:w="4538"/>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Correctifs, images minimales et scannées, conteneurs non root, politiques Kubernetes.</w:t>
            </w:r>
          </w:p>
        </w:tc>
      </w:tr>
      <w:tr>
        <w:trPr>
          <w:cantSplit/>
        </w:trPr>
        <w:tc>
          <w:tcPr>
            <w:tcW w:type="dxa" w:w="21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bCs/>
                <w:sz w:val="18"/>
                <w:szCs w:val="18"/>
              </w:rPr>
              <w:t xml:space="preserve">Journalisation et détection</w:t>
            </w:r>
          </w:p>
        </w:tc>
        <w:tc>
          <w:tcPr>
            <w:tcW w:type="dxa" w:w="30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Voir ce qui se passe</w:t>
            </w:r>
          </w:p>
        </w:tc>
        <w:tc>
          <w:tcPr>
            <w:tcW w:type="dxa" w:w="4538"/>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CloudTrail / Activity Log, centralisation des logs, alertes, SIEM, détection de menaces.</w:t>
            </w:r>
          </w:p>
        </w:tc>
      </w:tr>
      <w:tr>
        <w:trPr>
          <w:cantSplit/>
        </w:trPr>
        <w:tc>
          <w:tcPr>
            <w:tcW w:type="dxa" w:w="21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bCs/>
                <w:sz w:val="18"/>
                <w:szCs w:val="18"/>
              </w:rPr>
              <w:t xml:space="preserve">Gouvernance et conformité</w:t>
            </w:r>
          </w:p>
        </w:tc>
        <w:tc>
          <w:tcPr>
            <w:tcW w:type="dxa" w:w="30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Cadrer et prouver</w:t>
            </w:r>
          </w:p>
        </w:tc>
        <w:tc>
          <w:tcPr>
            <w:tcW w:type="dxa" w:w="4538"/>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Politiques (Azure Policy, SCP), tags, inventaire, audits, RGPD, référentiels (CIS, ISO 27001).</w:t>
            </w:r>
          </w:p>
        </w:tc>
      </w:tr>
      <w:tr>
        <w:trPr>
          <w:cantSplit/>
        </w:trPr>
        <w:tc>
          <w:tcPr>
            <w:tcW w:type="dxa" w:w="21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bCs/>
                <w:sz w:val="18"/>
                <w:szCs w:val="18"/>
              </w:rPr>
              <w:t xml:space="preserve">DevSecOps</w:t>
            </w:r>
          </w:p>
        </w:tc>
        <w:tc>
          <w:tcPr>
            <w:tcW w:type="dxa" w:w="30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Sécuriser dès la conception</w:t>
            </w:r>
          </w:p>
        </w:tc>
        <w:tc>
          <w:tcPr>
            <w:tcW w:type="dxa" w:w="4538"/>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Scans automatiques dans la CI/CD : code, dépendances, IaC, images.</w:t>
            </w:r>
          </w:p>
        </w:tc>
      </w:tr>
    </w:tbl>
    <w:p>
      <w:pPr>
        <w:spacing w:after="160"/>
      </w:pPr>
    </w:p>
    <w:p>
      <w:pPr>
        <w:pStyle w:val="Heading1"/>
      </w:pPr>
      <w:r>
        <w:t xml:space="preserve">Étape 4 : L'architecture et le fonctionnement interne</w:t>
      </w:r>
    </w:p>
    <w:p>
      <w:pPr>
        <w:spacing w:after="120" w:line="288"/>
      </w:pPr>
      <w:r>
        <w:t xml:space="preserve">Les services de sécurité de chaque plateforme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3319"/>
        <w:gridCol w:w="3319"/>
      </w:tblGrid>
      <w:tr>
        <w:trPr>
          <w:tblHeader/>
        </w:trPr>
        <w:tc>
          <w:tcPr>
            <w:tcW w:type="dxa" w:w="3000"/>
            <w:tcBorders>
              <w:top w:val="single" w:color="CBD5E1" w:sz="4"/>
              <w:left w:val="single" w:color="CBD5E1" w:sz="4"/>
              <w:bottom w:val="single" w:color="CBD5E1" w:sz="4"/>
              <w:right w:val="single" w:color="CBD5E1" w:sz="4"/>
            </w:tcBorders>
            <w:shd w:fill="1E3A5F" w:color="auto" w:val="clear"/>
            <w:tcMar>
              <w:top w:type="dxa" w:w="70"/>
              <w:left w:type="dxa" w:w="110"/>
              <w:bottom w:type="dxa" w:w="70"/>
              <w:right w:type="dxa" w:w="110"/>
            </w:tcMar>
          </w:tcPr>
          <w:p>
            <w:r>
              <w:rPr>
                <w:b/>
                <w:bCs/>
                <w:color w:val="FFFFFF"/>
                <w:sz w:val="18"/>
                <w:szCs w:val="18"/>
              </w:rPr>
              <w:t xml:space="preserve">Besoin</w:t>
            </w:r>
          </w:p>
        </w:tc>
        <w:tc>
          <w:tcPr>
            <w:tcW w:type="dxa" w:w="3319"/>
            <w:tcBorders>
              <w:top w:val="single" w:color="CBD5E1" w:sz="4"/>
              <w:left w:val="single" w:color="CBD5E1" w:sz="4"/>
              <w:bottom w:val="single" w:color="CBD5E1" w:sz="4"/>
              <w:right w:val="single" w:color="CBD5E1" w:sz="4"/>
            </w:tcBorders>
            <w:shd w:fill="1E3A5F" w:color="auto" w:val="clear"/>
            <w:tcMar>
              <w:top w:type="dxa" w:w="70"/>
              <w:left w:type="dxa" w:w="110"/>
              <w:bottom w:type="dxa" w:w="70"/>
              <w:right w:type="dxa" w:w="110"/>
            </w:tcMar>
          </w:tcPr>
          <w:p>
            <w:r>
              <w:rPr>
                <w:b/>
                <w:bCs/>
                <w:color w:val="FFFFFF"/>
                <w:sz w:val="18"/>
                <w:szCs w:val="18"/>
              </w:rPr>
              <w:t xml:space="preserve">AWS</w:t>
            </w:r>
          </w:p>
        </w:tc>
        <w:tc>
          <w:tcPr>
            <w:tcW w:type="dxa" w:w="3319"/>
            <w:tcBorders>
              <w:top w:val="single" w:color="CBD5E1" w:sz="4"/>
              <w:left w:val="single" w:color="CBD5E1" w:sz="4"/>
              <w:bottom w:val="single" w:color="CBD5E1" w:sz="4"/>
              <w:right w:val="single" w:color="CBD5E1" w:sz="4"/>
            </w:tcBorders>
            <w:shd w:fill="1E3A5F" w:color="auto" w:val="clear"/>
            <w:tcMar>
              <w:top w:type="dxa" w:w="70"/>
              <w:left w:type="dxa" w:w="110"/>
              <w:bottom w:type="dxa" w:w="70"/>
              <w:right w:type="dxa" w:w="110"/>
            </w:tcMar>
          </w:tcPr>
          <w:p>
            <w:r>
              <w:rPr>
                <w:b/>
                <w:bCs/>
                <w:color w:val="FFFFFF"/>
                <w:sz w:val="18"/>
                <w:szCs w:val="18"/>
              </w:rPr>
              <w:t xml:space="preserve">Azure</w:t>
            </w:r>
          </w:p>
        </w:tc>
      </w:tr>
      <w:tr>
        <w:trPr>
          <w:cantSplit/>
        </w:trPr>
        <w:tc>
          <w:tcPr>
            <w:tcW w:type="dxa" w:w="30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Identités</w:t>
            </w:r>
          </w:p>
        </w:tc>
        <w:tc>
          <w:tcPr>
            <w:tcW w:type="dxa" w:w="3319"/>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IAM, IAM Identity Center</w:t>
            </w:r>
          </w:p>
        </w:tc>
        <w:tc>
          <w:tcPr>
            <w:tcW w:type="dxa" w:w="3319"/>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Entra ID, RBAC</w:t>
            </w:r>
          </w:p>
        </w:tc>
      </w:tr>
      <w:tr>
        <w:trPr>
          <w:cantSplit/>
        </w:trPr>
        <w:tc>
          <w:tcPr>
            <w:tcW w:type="dxa" w:w="30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Chiffrement et clés</w:t>
            </w:r>
          </w:p>
        </w:tc>
        <w:tc>
          <w:tcPr>
            <w:tcW w:type="dxa" w:w="3319"/>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KMS, Secrets Manager</w:t>
            </w:r>
          </w:p>
        </w:tc>
        <w:tc>
          <w:tcPr>
            <w:tcW w:type="dxa" w:w="3319"/>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Key Vault</w:t>
            </w:r>
          </w:p>
        </w:tc>
      </w:tr>
      <w:tr>
        <w:trPr>
          <w:cantSplit/>
        </w:trPr>
        <w:tc>
          <w:tcPr>
            <w:tcW w:type="dxa" w:w="30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Journal d'audit</w:t>
            </w:r>
          </w:p>
        </w:tc>
        <w:tc>
          <w:tcPr>
            <w:tcW w:type="dxa" w:w="3319"/>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CloudTrail</w:t>
            </w:r>
          </w:p>
        </w:tc>
        <w:tc>
          <w:tcPr>
            <w:tcW w:type="dxa" w:w="3319"/>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Activity Log, Monitor</w:t>
            </w:r>
          </w:p>
        </w:tc>
      </w:tr>
      <w:tr>
        <w:trPr>
          <w:cantSplit/>
        </w:trPr>
        <w:tc>
          <w:tcPr>
            <w:tcW w:type="dxa" w:w="30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Posture / conformité</w:t>
            </w:r>
          </w:p>
        </w:tc>
        <w:tc>
          <w:tcPr>
            <w:tcW w:type="dxa" w:w="3319"/>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Security Hub, Config</w:t>
            </w:r>
          </w:p>
        </w:tc>
        <w:tc>
          <w:tcPr>
            <w:tcW w:type="dxa" w:w="3319"/>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Defender for Cloud, Policy</w:t>
            </w:r>
          </w:p>
        </w:tc>
      </w:tr>
      <w:tr>
        <w:trPr>
          <w:cantSplit/>
        </w:trPr>
        <w:tc>
          <w:tcPr>
            <w:tcW w:type="dxa" w:w="30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Détection de menaces</w:t>
            </w:r>
          </w:p>
        </w:tc>
        <w:tc>
          <w:tcPr>
            <w:tcW w:type="dxa" w:w="3319"/>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GuardDuty</w:t>
            </w:r>
          </w:p>
        </w:tc>
        <w:tc>
          <w:tcPr>
            <w:tcW w:type="dxa" w:w="3319"/>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Defender for Cloud, Sentinel</w:t>
            </w:r>
          </w:p>
        </w:tc>
      </w:tr>
      <w:tr>
        <w:trPr>
          <w:cantSplit/>
        </w:trPr>
        <w:tc>
          <w:tcPr>
            <w:tcW w:type="dxa" w:w="30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Filtrage réseau</w:t>
            </w:r>
          </w:p>
        </w:tc>
        <w:tc>
          <w:tcPr>
            <w:tcW w:type="dxa" w:w="3319"/>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Security Groups, NACL, WAF</w:t>
            </w:r>
          </w:p>
        </w:tc>
        <w:tc>
          <w:tcPr>
            <w:tcW w:type="dxa" w:w="3319"/>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NSG, Azure Firewall, WAF</w:t>
            </w:r>
          </w:p>
        </w:tc>
      </w:tr>
    </w:tbl>
    <w:p>
      <w:pPr>
        <w:spacing w:after="160"/>
      </w:pPr>
    </w:p>
    <w:p>
      <w:pPr>
        <w:spacing w:after="120" w:line="288"/>
      </w:pPr>
      <w:r>
        <w:t xml:space="preserve">Les cadres de référence : </w:t>
      </w:r>
      <w:r>
        <w:rPr>
          <w:b/>
          <w:bCs/>
        </w:rPr>
        <w:t xml:space="preserve">CIS Benchmarks</w:t>
      </w:r>
      <w:r>
        <w:t xml:space="preserve"> (durcissement), </w:t>
      </w:r>
      <w:r>
        <w:rPr>
          <w:b/>
          <w:bCs/>
        </w:rPr>
        <w:t xml:space="preserve">OWASP</w:t>
      </w:r>
      <w:r>
        <w:t xml:space="preserve"> (applications web), </w:t>
      </w:r>
      <w:r>
        <w:rPr>
          <w:b/>
          <w:bCs/>
        </w:rPr>
        <w:t xml:space="preserve">MITRE ATT&amp;CK</w:t>
      </w:r>
      <w:r>
        <w:t xml:space="preserve"> (techniques d'attaque), </w:t>
      </w:r>
      <w:r>
        <w:rPr>
          <w:b/>
          <w:bCs/>
        </w:rPr>
        <w:t xml:space="preserve">ISO 27001</w:t>
      </w:r>
      <w:r>
        <w:t xml:space="preserve">, </w:t>
      </w:r>
      <w:r>
        <w:rPr>
          <w:b/>
          <w:bCs/>
        </w:rPr>
        <w:t xml:space="preserve">RGPD</w:t>
      </w:r>
      <w:r>
        <w:t xml:space="preserve"> pour les données personnelles, </w:t>
      </w:r>
      <w:r>
        <w:rPr>
          <w:b/>
          <w:bCs/>
        </w:rPr>
        <w:t xml:space="preserve">SecNumCloud</w:t>
      </w:r>
      <w:r>
        <w:t xml:space="preserve"> (ANSSI, qualification d'offres cloud en France) et </w:t>
      </w:r>
      <w:r>
        <w:rPr>
          <w:b/>
          <w:bCs/>
        </w:rPr>
        <w:t xml:space="preserve">NIST SP 800-207</w:t>
      </w:r>
      <w:r>
        <w:t xml:space="preserve"> (architecture Zero Trust).</w:t>
      </w:r>
    </w:p>
    <w:p>
      <w:pPr>
        <w:pStyle w:val="Heading1"/>
      </w:pPr>
      <w:r>
        <w:t xml:space="preserve">Étape 5 : Un scénario de bout en bout</w:t>
      </w:r>
    </w:p>
    <w:p>
      <w:pPr>
        <w:spacing w:after="120" w:line="288"/>
      </w:pPr>
      <w:r>
        <w:t xml:space="preserve">Scénario d'incident : une clé d'accès a été publiée par erreur dans un dépôt Git.</w:t>
      </w:r>
    </w:p>
    <w:p>
      <w:pPr>
        <w:pStyle w:val="ListParagraph"/>
        <w:numPr>
          <w:ilvl w:val="0"/>
          <w:numId w:val="3"/>
        </w:numPr>
        <w:spacing w:after="60" w:line="276"/>
      </w:pPr>
      <w:r>
        <w:rPr>
          <w:b/>
          <w:bCs/>
        </w:rPr>
        <w:t xml:space="preserve">Détection</w:t>
      </w:r>
      <w:r>
        <w:t xml:space="preserve"> : alerte du scanner de secrets ou du fournisseur cloud.</w:t>
      </w:r>
    </w:p>
    <w:p>
      <w:pPr>
        <w:pStyle w:val="ListParagraph"/>
        <w:numPr>
          <w:ilvl w:val="0"/>
          <w:numId w:val="3"/>
        </w:numPr>
        <w:spacing w:after="60" w:line="276"/>
      </w:pPr>
      <w:r>
        <w:rPr>
          <w:b/>
          <w:bCs/>
        </w:rPr>
        <w:t xml:space="preserve">Confinement</w:t>
      </w:r>
      <w:r>
        <w:t xml:space="preserve"> : désactiver immédiatement la clé.</w:t>
      </w:r>
    </w:p>
    <w:p>
      <w:pPr>
        <w:pStyle w:val="ListParagraph"/>
        <w:numPr>
          <w:ilvl w:val="0"/>
          <w:numId w:val="3"/>
        </w:numPr>
        <w:spacing w:after="60" w:line="276"/>
      </w:pPr>
      <w:r>
        <w:rPr>
          <w:b/>
          <w:bCs/>
        </w:rPr>
        <w:t xml:space="preserve">Investigation</w:t>
      </w:r>
      <w:r>
        <w:t xml:space="preserve"> : consulter CloudTrail / Activity Log pour savoir ce qui a été fait avec cette clé.</w:t>
      </w:r>
    </w:p>
    <w:p>
      <w:pPr>
        <w:pStyle w:val="ListParagraph"/>
        <w:numPr>
          <w:ilvl w:val="0"/>
          <w:numId w:val="3"/>
        </w:numPr>
        <w:spacing w:after="60" w:line="276"/>
      </w:pPr>
      <w:r>
        <w:rPr>
          <w:b/>
          <w:bCs/>
        </w:rPr>
        <w:t xml:space="preserve">Éradication</w:t>
      </w:r>
      <w:r>
        <w:t xml:space="preserve"> : supprimer d'éventuelles ressources créées par l'attaquant, renouveler les secrets.</w:t>
      </w:r>
    </w:p>
    <w:p>
      <w:pPr>
        <w:pStyle w:val="ListParagraph"/>
        <w:numPr>
          <w:ilvl w:val="0"/>
          <w:numId w:val="3"/>
        </w:numPr>
        <w:spacing w:after="60" w:line="276"/>
      </w:pPr>
      <w:r>
        <w:rPr>
          <w:b/>
          <w:bCs/>
        </w:rPr>
        <w:t xml:space="preserve">Récupération</w:t>
      </w:r>
      <w:r>
        <w:t xml:space="preserve"> : restaurer, vérifier les accès.</w:t>
      </w:r>
    </w:p>
    <w:p>
      <w:pPr>
        <w:pStyle w:val="ListParagraph"/>
        <w:numPr>
          <w:ilvl w:val="0"/>
          <w:numId w:val="3"/>
        </w:numPr>
        <w:spacing w:after="60" w:line="276"/>
      </w:pPr>
      <w:r>
        <w:rPr>
          <w:b/>
          <w:bCs/>
        </w:rPr>
        <w:t xml:space="preserve">Retour d'expérience</w:t>
      </w:r>
      <w:r>
        <w:t xml:space="preserve"> : mettre en place un scan préventif (pre-commit, CI), préférer des rôles temporaires.</w:t>
      </w:r>
    </w:p>
    <w:p>
      <w:pPr>
        <w:pBdr>
          <w:left w:val="single" w:color="D97706" w:sz="18" w:space="8"/>
        </w:pBdr>
        <w:shd w:fill="FEF3C7" w:color="auto" w:val="clear"/>
        <w:spacing w:after="180" w:before="100" w:line="276"/>
        <w:ind w:left="200" w:right="100"/>
      </w:pPr>
      <w:r>
        <w:rPr>
          <w:b/>
          <w:bCs/>
        </w:rPr>
        <w:t xml:space="preserve">À retenir : </w:t>
      </w:r>
      <w:r>
        <w:t xml:space="preserve">Supprimer le secret du dépôt ne suffit pas : il reste dans l'historique Git et doit être considéré comme </w:t>
      </w:r>
      <w:r>
        <w:rPr>
          <w:b/>
          <w:bCs/>
        </w:rPr>
        <w:t xml:space="preserve">compromis</w:t>
      </w:r>
      <w:r>
        <w:t xml:space="preserve">. Toujours le révoquer.</w:t>
      </w:r>
    </w:p>
    <w:p>
      <w:pPr>
        <w:pStyle w:val="Heading1"/>
      </w:pPr>
      <w:r>
        <w:t xml:space="preserve">Étape 6 : Pratiquer sur un petit cas</w:t>
      </w:r>
    </w:p>
    <w:p>
      <w:pPr>
        <w:spacing w:after="120" w:line="288"/>
      </w:pPr>
      <w:r>
        <w:t xml:space="preserve">Checklist pratique à appliquer sur ton compte de test :</w:t>
      </w:r>
    </w:p>
    <w:p>
      <w:pPr>
        <w:pStyle w:val="ListParagraph"/>
        <w:numPr>
          <w:ilvl w:val="0"/>
          <w:numId w:val="2"/>
        </w:numPr>
        <w:spacing w:after="60" w:line="276"/>
      </w:pPr>
      <w:r>
        <w:t xml:space="preserve">Activer le </w:t>
      </w:r>
      <w:r>
        <w:rPr>
          <w:b/>
          <w:bCs/>
        </w:rPr>
        <w:t xml:space="preserve">MFA</w:t>
      </w:r>
      <w:r>
        <w:t xml:space="preserve"> sur tous les comptes, en priorité administrateurs et compte racine.</w:t>
      </w:r>
    </w:p>
    <w:p>
      <w:pPr>
        <w:pStyle w:val="ListParagraph"/>
        <w:numPr>
          <w:ilvl w:val="0"/>
          <w:numId w:val="2"/>
        </w:numPr>
        <w:spacing w:after="60" w:line="276"/>
      </w:pPr>
      <w:r>
        <w:t xml:space="preserve">Ne plus utiliser le compte racine / propriétaire au quotidien.</w:t>
      </w:r>
    </w:p>
    <w:p>
      <w:pPr>
        <w:pStyle w:val="ListParagraph"/>
        <w:numPr>
          <w:ilvl w:val="0"/>
          <w:numId w:val="2"/>
        </w:numPr>
        <w:spacing w:after="60" w:line="276"/>
      </w:pPr>
      <w:r>
        <w:t xml:space="preserve">Créer un compte d'usage avec des droits limités, et un rôle d'administration à endosser.</w:t>
      </w:r>
    </w:p>
    <w:p>
      <w:pPr>
        <w:pStyle w:val="ListParagraph"/>
        <w:numPr>
          <w:ilvl w:val="0"/>
          <w:numId w:val="2"/>
        </w:numPr>
        <w:spacing w:after="60" w:line="276"/>
      </w:pPr>
      <w:r>
        <w:t xml:space="preserve">Activer la </w:t>
      </w:r>
      <w:r>
        <w:rPr>
          <w:b/>
          <w:bCs/>
        </w:rPr>
        <w:t xml:space="preserve">journalisation</w:t>
      </w:r>
      <w:r>
        <w:t xml:space="preserve"> (CloudTrail, Activity Log) vers un stockage protégé.</w:t>
      </w:r>
    </w:p>
    <w:p>
      <w:pPr>
        <w:pStyle w:val="ListParagraph"/>
        <w:numPr>
          <w:ilvl w:val="0"/>
          <w:numId w:val="2"/>
        </w:numPr>
        <w:spacing w:after="60" w:line="276"/>
      </w:pPr>
      <w:r>
        <w:t xml:space="preserve">Mettre une </w:t>
      </w:r>
      <w:r>
        <w:rPr>
          <w:b/>
          <w:bCs/>
        </w:rPr>
        <w:t xml:space="preserve">alerte de budget</w:t>
      </w:r>
      <w:r>
        <w:t xml:space="preserve"> et de sécurité.</w:t>
      </w:r>
    </w:p>
    <w:p>
      <w:pPr>
        <w:pStyle w:val="ListParagraph"/>
        <w:numPr>
          <w:ilvl w:val="0"/>
          <w:numId w:val="2"/>
        </w:numPr>
        <w:spacing w:after="60" w:line="276"/>
      </w:pPr>
      <w:r>
        <w:t xml:space="preserve">Vérifier qu'aucun stockage n'est public.</w:t>
      </w:r>
    </w:p>
    <w:p>
      <w:pPr>
        <w:pStyle w:val="ListParagraph"/>
        <w:numPr>
          <w:ilvl w:val="0"/>
          <w:numId w:val="2"/>
        </w:numPr>
        <w:spacing w:after="60" w:line="276"/>
      </w:pPr>
      <w:r>
        <w:t xml:space="preserve">Restreindre SSH/RDP à ton adresse IP.</w:t>
      </w:r>
    </w:p>
    <w:p>
      <w:pPr>
        <w:pStyle w:val="ListParagraph"/>
        <w:numPr>
          <w:ilvl w:val="0"/>
          <w:numId w:val="2"/>
        </w:numPr>
        <w:spacing w:after="60" w:line="276"/>
      </w:pPr>
      <w:r>
        <w:t xml:space="preserve">Activer le chiffrement par défaut des disques et des stockages.</w:t>
      </w:r>
    </w:p>
    <w:p>
      <w:pPr>
        <w:spacing w:after="120" w:line="288"/>
      </w:pPr>
      <w:r>
        <w:t xml:space="preserve">Outils d'apprentissage : </w:t>
      </w:r>
      <w:r>
        <w:rPr>
          <w:b/>
          <w:bCs/>
        </w:rPr>
        <w:t xml:space="preserve">Prowler</w:t>
      </w:r>
      <w:r>
        <w:t xml:space="preserve"> ou </w:t>
      </w:r>
      <w:r>
        <w:rPr>
          <w:b/>
          <w:bCs/>
        </w:rPr>
        <w:t xml:space="preserve">ScoutSuite</w:t>
      </w:r>
      <w:r>
        <w:t xml:space="preserve"> pour auditer un compte, </w:t>
      </w:r>
      <w:r>
        <w:rPr>
          <w:b/>
          <w:bCs/>
        </w:rPr>
        <w:t xml:space="preserve">Trivy</w:t>
      </w:r>
      <w:r>
        <w:t xml:space="preserve"> pour scanner images et IaC, </w:t>
      </w:r>
      <w:r>
        <w:rPr>
          <w:b/>
          <w:bCs/>
        </w:rPr>
        <w:t xml:space="preserve">gitleaks</w:t>
      </w:r>
      <w:r>
        <w:t xml:space="preserve"> pour détecter des secrets.</w:t>
      </w:r>
    </w:p>
    <w:p>
      <w:pPr>
        <w:keepLines/>
        <w:pBdr>
          <w:left w:val="single" w:color="16A34A" w:sz="18" w:space="8"/>
        </w:pBdr>
        <w:shd w:fill="DCFCE7" w:color="auto" w:val="clear"/>
        <w:spacing w:after="180" w:before="100" w:line="276"/>
        <w:ind w:left="200" w:right="100"/>
      </w:pPr>
      <w:r>
        <w:rPr>
          <w:b/>
          <w:bCs/>
        </w:rPr>
        <w:t xml:space="preserve">Astuce : </w:t>
      </w:r>
      <w:r>
        <w:t xml:space="preserve">Si tu ne retiens que trois gestes : </w:t>
      </w:r>
      <w:r>
        <w:rPr>
          <w:b/>
          <w:bCs/>
        </w:rPr>
        <w:t xml:space="preserve">MFA partout</w:t>
      </w:r>
      <w:r>
        <w:t xml:space="preserve">, </w:t>
      </w:r>
      <w:r>
        <w:rPr>
          <w:b/>
          <w:bCs/>
        </w:rPr>
        <w:t xml:space="preserve">moindre privilège</w:t>
      </w:r>
      <w:r>
        <w:t xml:space="preserve">, </w:t>
      </w:r>
      <w:r>
        <w:rPr>
          <w:b/>
          <w:bCs/>
        </w:rPr>
        <w:t xml:space="preserve">journalisation activée</w:t>
      </w:r>
      <w:r>
        <w:t xml:space="preserve">. Cela couvre une grande part des incidents courants.</w:t>
      </w:r>
    </w:p>
    <w:p>
      <w:pPr>
        <w:pStyle w:val="Heading1"/>
      </w:pPr>
      <w:r>
        <w:t xml:space="preserve">Étape 7 : Casser pour comprendre</w:t>
      </w:r>
    </w:p>
    <w:p>
      <w:pPr>
        <w:spacing w:after="120" w:line="288"/>
      </w:pPr>
      <w:r>
        <w:t xml:space="preserve">Dans un laboratoire de test uniquement, et jamais sur un environnement d'autrui :</w:t>
      </w:r>
    </w:p>
    <w:p>
      <w:pPr>
        <w:pStyle w:val="ListParagraph"/>
        <w:numPr>
          <w:ilvl w:val="0"/>
          <w:numId w:val="2"/>
        </w:numPr>
        <w:spacing w:after="60" w:line="276"/>
      </w:pPr>
      <w:r>
        <w:rPr>
          <w:b/>
          <w:bCs/>
        </w:rPr>
        <w:t xml:space="preserve">Crée volontairement un bucket public</w:t>
      </w:r>
      <w:r>
        <w:t xml:space="preserve"> dans un compte vide, observe les alertes et corrige.</w:t>
      </w:r>
    </w:p>
    <w:p>
      <w:pPr>
        <w:pStyle w:val="ListParagraph"/>
        <w:numPr>
          <w:ilvl w:val="0"/>
          <w:numId w:val="2"/>
        </w:numPr>
        <w:spacing w:after="60" w:line="276"/>
      </w:pPr>
      <w:r>
        <w:rPr>
          <w:b/>
          <w:bCs/>
        </w:rPr>
        <w:t xml:space="preserve">Donne trop de droits</w:t>
      </w:r>
      <w:r>
        <w:t xml:space="preserve"> à un utilisateur de test, lance un audit et lis les constats.</w:t>
      </w:r>
    </w:p>
    <w:p>
      <w:pPr>
        <w:pStyle w:val="ListParagraph"/>
        <w:numPr>
          <w:ilvl w:val="0"/>
          <w:numId w:val="2"/>
        </w:numPr>
        <w:spacing w:after="60" w:line="276"/>
      </w:pPr>
      <w:r>
        <w:rPr>
          <w:b/>
          <w:bCs/>
        </w:rPr>
        <w:t xml:space="preserve">Ouvre le port 22 à 0.0.0.0/0</w:t>
      </w:r>
      <w:r>
        <w:t xml:space="preserve"> et observe les alertes du service de posture.</w:t>
      </w:r>
    </w:p>
    <w:p>
      <w:pPr>
        <w:pStyle w:val="ListParagraph"/>
        <w:numPr>
          <w:ilvl w:val="0"/>
          <w:numId w:val="2"/>
        </w:numPr>
        <w:spacing w:after="60" w:line="276"/>
      </w:pPr>
      <w:r>
        <w:rPr>
          <w:b/>
          <w:bCs/>
        </w:rPr>
        <w:t xml:space="preserve">Commite un faux secret</w:t>
      </w:r>
      <w:r>
        <w:t xml:space="preserve"> dans un dépôt de test et regarde le scanner le détecter.</w:t>
      </w:r>
    </w:p>
    <w:p>
      <w:pPr>
        <w:pStyle w:val="ListParagraph"/>
        <w:numPr>
          <w:ilvl w:val="0"/>
          <w:numId w:val="2"/>
        </w:numPr>
        <w:spacing w:after="60" w:line="276"/>
      </w:pPr>
      <w:r>
        <w:t xml:space="preserve">Lance </w:t>
      </w:r>
      <w:r>
        <w:rPr>
          <w:b/>
          <w:bCs/>
        </w:rPr>
        <w:t xml:space="preserve">Trivy</w:t>
      </w:r>
      <w:r>
        <w:t xml:space="preserve"> sur une image Docker ancienne et lis la liste des vulnérabilités.</w:t>
      </w:r>
    </w:p>
    <w:p>
      <w:pPr>
        <w:keepLines/>
        <w:pBdr>
          <w:left w:val="single" w:color="DC2626" w:sz="18" w:space="8"/>
        </w:pBdr>
        <w:shd w:fill="FEE2E2" w:color="auto" w:val="clear"/>
        <w:spacing w:after="180" w:before="100" w:line="276"/>
        <w:ind w:left="200" w:right="100"/>
      </w:pPr>
      <w:r>
        <w:rPr>
          <w:b/>
          <w:bCs/>
        </w:rPr>
        <w:t xml:space="preserve">Attention : </w:t>
      </w:r>
      <w:r>
        <w:t xml:space="preserve">Fais ces tests </w:t>
      </w:r>
      <w:r>
        <w:rPr>
          <w:b/>
          <w:bCs/>
        </w:rPr>
        <w:t xml:space="preserve">uniquement sur ton propre compte de laboratoire</w:t>
      </w:r>
      <w:r>
        <w:t xml:space="preserve">. Scanner ou attaquer un système qui ne t'appartient pas, sans autorisation écrite, peut être illégal.</w:t>
      </w:r>
    </w:p>
    <w:p>
      <w:pPr>
        <w:pStyle w:val="Heading1"/>
      </w:pPr>
      <w:r>
        <w:t xml:space="preserve">Étape 8 : Relier à ton environnement (GitLab CI/CD)</w:t>
      </w:r>
    </w:p>
    <w:p>
      <w:pPr>
        <w:spacing w:after="120" w:line="288"/>
      </w:pPr>
      <w:r>
        <w:t xml:space="preserve">DevSecOps : la sécurité devient une étape automatique du pipeline.</w:t>
      </w:r>
    </w:p>
    <w:p>
      <w:pPr>
        <w:pBdr>
          <w:left w:val="single" w:color="1E3A5F" w:sz="18" w:space="8"/>
        </w:pBdr>
        <w:shd w:fill="F1F5F9" w:color="auto" w:val="clear"/>
        <w:spacing w:after="0" w:before="80"/>
        <w:ind w:left="200"/>
      </w:pPr>
      <w:r>
        <w:rPr>
          <w:rFonts w:ascii="Consolas" w:cs="Consolas" w:eastAsia="Consolas" w:hAnsi="Consolas"/>
          <w:sz w:val="18"/>
          <w:szCs w:val="18"/>
        </w:rPr>
        <w:t xml:space="preserve"># Les modèles de sécurité GitLab s'appuient sur un stage « test »</w:t>
      </w:r>
    </w:p>
    <w:p>
      <w:pPr>
        <w:pBdr>
          <w:left w:val="single" w:color="1E3A5F" w:sz="18" w:space="8"/>
        </w:pBdr>
        <w:shd w:fill="F1F5F9" w:color="auto" w:val="clear"/>
        <w:spacing w:after="0" w:before="0"/>
        <w:ind w:left="200"/>
      </w:pPr>
      <w:r>
        <w:rPr>
          <w:rFonts w:ascii="Consolas" w:cs="Consolas" w:eastAsia="Consolas" w:hAnsi="Consolas"/>
          <w:sz w:val="18"/>
          <w:szCs w:val="18"/>
        </w:rPr>
        <w:t xml:space="preserve">include:</w:t>
      </w:r>
    </w:p>
    <w:p>
      <w:pPr>
        <w:pBdr>
          <w:left w:val="single" w:color="1E3A5F" w:sz="18" w:space="8"/>
        </w:pBdr>
        <w:shd w:fill="F1F5F9" w:color="auto" w:val="clear"/>
        <w:spacing w:after="0" w:before="0"/>
        <w:ind w:left="200"/>
      </w:pPr>
      <w:r>
        <w:rPr>
          <w:rFonts w:ascii="Consolas" w:cs="Consolas" w:eastAsia="Consolas" w:hAnsi="Consolas"/>
          <w:sz w:val="18"/>
          <w:szCs w:val="18"/>
        </w:rPr>
        <w:t xml:space="preserve">  - template: Security/SAST.gitlab-ci.yml</w:t>
      </w:r>
    </w:p>
    <w:p>
      <w:pPr>
        <w:pBdr>
          <w:left w:val="single" w:color="1E3A5F" w:sz="18" w:space="8"/>
        </w:pBdr>
        <w:shd w:fill="F1F5F9" w:color="auto" w:val="clear"/>
        <w:spacing w:after="0" w:before="0"/>
        <w:ind w:left="200"/>
      </w:pPr>
      <w:r>
        <w:rPr>
          <w:rFonts w:ascii="Consolas" w:cs="Consolas" w:eastAsia="Consolas" w:hAnsi="Consolas"/>
          <w:sz w:val="18"/>
          <w:szCs w:val="18"/>
        </w:rPr>
        <w:t xml:space="preserve">  - template: Security/Secret-Detection.gitlab-ci.yml</w:t>
      </w:r>
    </w:p>
    <w:p>
      <w:pPr>
        <w:pBdr>
          <w:left w:val="single" w:color="1E3A5F" w:sz="18" w:space="8"/>
        </w:pBdr>
        <w:shd w:fill="F1F5F9" w:color="auto" w:val="clear"/>
        <w:spacing w:after="0" w:before="0"/>
        <w:ind w:left="200"/>
      </w:pPr>
      <w:r>
        <w:rPr>
          <w:rFonts w:ascii="Consolas" w:cs="Consolas" w:eastAsia="Consolas" w:hAnsi="Consolas"/>
          <w:sz w:val="18"/>
          <w:szCs w:val="18"/>
        </w:rPr>
        <w:t xml:space="preserve">  - template: Security/Dependency-Scanning.gitlab-ci.yml</w:t>
      </w:r>
    </w:p>
    <w:p>
      <w:pPr>
        <w:pBdr>
          <w:left w:val="single" w:color="1E3A5F" w:sz="18" w:space="8"/>
        </w:pBdr>
        <w:shd w:fill="F1F5F9" w:color="auto" w:val="clear"/>
        <w:spacing w:after="0" w:before="0"/>
        <w:ind w:left="200"/>
      </w:pPr>
      <w:r>
        <w:rPr>
          <w:rFonts w:ascii="Consolas" w:cs="Consolas" w:eastAsia="Consolas" w:hAnsi="Consolas"/>
          <w:sz w:val="18"/>
          <w:szCs w:val="18"/>
        </w:rPr>
        <w:t xml:space="preserve"> </w:t>
      </w:r>
    </w:p>
    <w:p>
      <w:pPr>
        <w:pBdr>
          <w:left w:val="single" w:color="1E3A5F" w:sz="18" w:space="8"/>
        </w:pBdr>
        <w:shd w:fill="F1F5F9" w:color="auto" w:val="clear"/>
        <w:spacing w:after="0" w:before="0"/>
        <w:ind w:left="200"/>
      </w:pPr>
      <w:r>
        <w:rPr>
          <w:rFonts w:ascii="Consolas" w:cs="Consolas" w:eastAsia="Consolas" w:hAnsi="Consolas"/>
          <w:sz w:val="18"/>
          <w:szCs w:val="18"/>
        </w:rPr>
        <w:t xml:space="preserve">container_scan:</w:t>
      </w:r>
    </w:p>
    <w:p>
      <w:pPr>
        <w:pBdr>
          <w:left w:val="single" w:color="1E3A5F" w:sz="18" w:space="8"/>
        </w:pBdr>
        <w:shd w:fill="F1F5F9" w:color="auto" w:val="clear"/>
        <w:spacing w:after="0" w:before="0"/>
        <w:ind w:left="200"/>
      </w:pPr>
      <w:r>
        <w:rPr>
          <w:rFonts w:ascii="Consolas" w:cs="Consolas" w:eastAsia="Consolas" w:hAnsi="Consolas"/>
          <w:sz w:val="18"/>
          <w:szCs w:val="18"/>
        </w:rPr>
        <w:t xml:space="preserve">  stage: test</w:t>
      </w:r>
    </w:p>
    <w:p>
      <w:pPr>
        <w:pBdr>
          <w:left w:val="single" w:color="1E3A5F" w:sz="18" w:space="8"/>
        </w:pBdr>
        <w:shd w:fill="F1F5F9" w:color="auto" w:val="clear"/>
        <w:spacing w:after="0" w:before="0"/>
        <w:ind w:left="200"/>
      </w:pPr>
      <w:r>
        <w:rPr>
          <w:rFonts w:ascii="Consolas" w:cs="Consolas" w:eastAsia="Consolas" w:hAnsi="Consolas"/>
          <w:sz w:val="18"/>
          <w:szCs w:val="18"/>
        </w:rPr>
        <w:t xml:space="preserve">  image:</w:t>
      </w:r>
    </w:p>
    <w:p>
      <w:pPr>
        <w:pBdr>
          <w:left w:val="single" w:color="1E3A5F" w:sz="18" w:space="8"/>
        </w:pBdr>
        <w:shd w:fill="F1F5F9" w:color="auto" w:val="clear"/>
        <w:spacing w:after="0" w:before="0"/>
        <w:ind w:left="200"/>
      </w:pPr>
      <w:r>
        <w:rPr>
          <w:rFonts w:ascii="Consolas" w:cs="Consolas" w:eastAsia="Consolas" w:hAnsi="Consolas"/>
          <w:sz w:val="18"/>
          <w:szCs w:val="18"/>
        </w:rPr>
        <w:t xml:space="preserve">    name: aquasec/trivy:latest</w:t>
      </w:r>
    </w:p>
    <w:p>
      <w:pPr>
        <w:pBdr>
          <w:left w:val="single" w:color="1E3A5F" w:sz="18" w:space="8"/>
        </w:pBdr>
        <w:shd w:fill="F1F5F9" w:color="auto" w:val="clear"/>
        <w:spacing w:after="0" w:before="0"/>
        <w:ind w:left="200"/>
      </w:pPr>
      <w:r>
        <w:rPr>
          <w:rFonts w:ascii="Consolas" w:cs="Consolas" w:eastAsia="Consolas" w:hAnsi="Consolas"/>
          <w:sz w:val="18"/>
          <w:szCs w:val="18"/>
        </w:rPr>
        <w:t xml:space="preserve">    entrypoint: [""]</w:t>
      </w:r>
    </w:p>
    <w:p>
      <w:pPr>
        <w:pBdr>
          <w:left w:val="single" w:color="1E3A5F" w:sz="18" w:space="8"/>
        </w:pBdr>
        <w:shd w:fill="F1F5F9" w:color="auto" w:val="clear"/>
        <w:spacing w:after="0" w:before="0"/>
        <w:ind w:left="200"/>
      </w:pPr>
      <w:r>
        <w:rPr>
          <w:rFonts w:ascii="Consolas" w:cs="Consolas" w:eastAsia="Consolas" w:hAnsi="Consolas"/>
          <w:sz w:val="18"/>
          <w:szCs w:val="18"/>
        </w:rPr>
        <w:t xml:space="preserve">  script:</w:t>
      </w:r>
    </w:p>
    <w:p>
      <w:pPr>
        <w:pBdr>
          <w:left w:val="single" w:color="1E3A5F" w:sz="18" w:space="8"/>
        </w:pBdr>
        <w:shd w:fill="F1F5F9" w:color="auto" w:val="clear"/>
        <w:spacing w:after="0" w:before="0"/>
        <w:ind w:left="200"/>
      </w:pPr>
      <w:r>
        <w:rPr>
          <w:rFonts w:ascii="Consolas" w:cs="Consolas" w:eastAsia="Consolas" w:hAnsi="Consolas"/>
          <w:sz w:val="18"/>
          <w:szCs w:val="18"/>
        </w:rPr>
        <w:t xml:space="preserve">    - trivy image --exit-code 1 --severity HIGH,CRITICAL $CI_REGISTRY_IMAGE:$CI_COMMIT_SHORT_SHA</w:t>
      </w:r>
    </w:p>
    <w:p>
      <w:pPr>
        <w:pBdr>
          <w:left w:val="single" w:color="1E3A5F" w:sz="18" w:space="8"/>
        </w:pBdr>
        <w:shd w:fill="F1F5F9" w:color="auto" w:val="clear"/>
        <w:spacing w:after="0" w:before="0"/>
        <w:ind w:left="200"/>
      </w:pPr>
      <w:r>
        <w:rPr>
          <w:rFonts w:ascii="Consolas" w:cs="Consolas" w:eastAsia="Consolas" w:hAnsi="Consolas"/>
          <w:sz w:val="18"/>
          <w:szCs w:val="18"/>
        </w:rPr>
        <w:t xml:space="preserve"> </w:t>
      </w:r>
    </w:p>
    <w:p>
      <w:pPr>
        <w:pBdr>
          <w:left w:val="single" w:color="1E3A5F" w:sz="18" w:space="8"/>
        </w:pBdr>
        <w:shd w:fill="F1F5F9" w:color="auto" w:val="clear"/>
        <w:spacing w:after="0" w:before="0"/>
        <w:ind w:left="200"/>
      </w:pPr>
      <w:r>
        <w:rPr>
          <w:rFonts w:ascii="Consolas" w:cs="Consolas" w:eastAsia="Consolas" w:hAnsi="Consolas"/>
          <w:sz w:val="18"/>
          <w:szCs w:val="18"/>
        </w:rPr>
        <w:t xml:space="preserve">iac_scan:</w:t>
      </w:r>
    </w:p>
    <w:p>
      <w:pPr>
        <w:pBdr>
          <w:left w:val="single" w:color="1E3A5F" w:sz="18" w:space="8"/>
        </w:pBdr>
        <w:shd w:fill="F1F5F9" w:color="auto" w:val="clear"/>
        <w:spacing w:after="0" w:before="0"/>
        <w:ind w:left="200"/>
      </w:pPr>
      <w:r>
        <w:rPr>
          <w:rFonts w:ascii="Consolas" w:cs="Consolas" w:eastAsia="Consolas" w:hAnsi="Consolas"/>
          <w:sz w:val="18"/>
          <w:szCs w:val="18"/>
        </w:rPr>
        <w:t xml:space="preserve">  stage: test</w:t>
      </w:r>
    </w:p>
    <w:p>
      <w:pPr>
        <w:pBdr>
          <w:left w:val="single" w:color="1E3A5F" w:sz="18" w:space="8"/>
        </w:pBdr>
        <w:shd w:fill="F1F5F9" w:color="auto" w:val="clear"/>
        <w:spacing w:after="0" w:before="0"/>
        <w:ind w:left="200"/>
      </w:pPr>
      <w:r>
        <w:rPr>
          <w:rFonts w:ascii="Consolas" w:cs="Consolas" w:eastAsia="Consolas" w:hAnsi="Consolas"/>
          <w:sz w:val="18"/>
          <w:szCs w:val="18"/>
        </w:rPr>
        <w:t xml:space="preserve">  image:</w:t>
      </w:r>
    </w:p>
    <w:p>
      <w:pPr>
        <w:pBdr>
          <w:left w:val="single" w:color="1E3A5F" w:sz="18" w:space="8"/>
        </w:pBdr>
        <w:shd w:fill="F1F5F9" w:color="auto" w:val="clear"/>
        <w:spacing w:after="0" w:before="0"/>
        <w:ind w:left="200"/>
      </w:pPr>
      <w:r>
        <w:rPr>
          <w:rFonts w:ascii="Consolas" w:cs="Consolas" w:eastAsia="Consolas" w:hAnsi="Consolas"/>
          <w:sz w:val="18"/>
          <w:szCs w:val="18"/>
        </w:rPr>
        <w:t xml:space="preserve">    name: aquasec/trivy:latest</w:t>
      </w:r>
    </w:p>
    <w:p>
      <w:pPr>
        <w:pBdr>
          <w:left w:val="single" w:color="1E3A5F" w:sz="18" w:space="8"/>
        </w:pBdr>
        <w:shd w:fill="F1F5F9" w:color="auto" w:val="clear"/>
        <w:spacing w:after="0" w:before="0"/>
        <w:ind w:left="200"/>
      </w:pPr>
      <w:r>
        <w:rPr>
          <w:rFonts w:ascii="Consolas" w:cs="Consolas" w:eastAsia="Consolas" w:hAnsi="Consolas"/>
          <w:sz w:val="18"/>
          <w:szCs w:val="18"/>
        </w:rPr>
        <w:t xml:space="preserve">    entrypoint: [""]</w:t>
      </w:r>
    </w:p>
    <w:p>
      <w:pPr>
        <w:pBdr>
          <w:left w:val="single" w:color="1E3A5F" w:sz="18" w:space="8"/>
        </w:pBdr>
        <w:shd w:fill="F1F5F9" w:color="auto" w:val="clear"/>
        <w:spacing w:after="0" w:before="0"/>
        <w:ind w:left="200"/>
      </w:pPr>
      <w:r>
        <w:rPr>
          <w:rFonts w:ascii="Consolas" w:cs="Consolas" w:eastAsia="Consolas" w:hAnsi="Consolas"/>
          <w:sz w:val="18"/>
          <w:szCs w:val="18"/>
        </w:rPr>
        <w:t xml:space="preserve">  script:</w:t>
      </w:r>
    </w:p>
    <w:p>
      <w:pPr>
        <w:pBdr>
          <w:left w:val="single" w:color="1E3A5F" w:sz="18" w:space="8"/>
        </w:pBdr>
        <w:shd w:fill="F1F5F9" w:color="auto" w:val="clear"/>
        <w:spacing w:after="160" w:before="0"/>
        <w:ind w:left="200"/>
      </w:pPr>
      <w:r>
        <w:rPr>
          <w:rFonts w:ascii="Consolas" w:cs="Consolas" w:eastAsia="Consolas" w:hAnsi="Consolas"/>
          <w:sz w:val="18"/>
          <w:szCs w:val="18"/>
        </w:rPr>
        <w:t xml:space="preserve">    - trivy config --exit-code 1 --severity HIGH,CRITICAL .</w:t>
      </w:r>
    </w:p>
    <w:p>
      <w:pPr>
        <w:spacing w:after="120" w:line="288"/>
      </w:pPr>
      <w:r>
        <w:t xml:space="preserve">Selon la documentation GitLab, la détection de secrets est disponible dans les offres Free et Premium ; d'autres scanners (comme l'analyse des dépendances) dépendent de l'offre : vérifie ta licence. Le principe reste le même : </w:t>
      </w:r>
      <w:r>
        <w:rPr>
          <w:b/>
          <w:bCs/>
        </w:rPr>
        <w:t xml:space="preserve">« shift left »</w:t>
      </w:r>
      <w:r>
        <w:t xml:space="preserve">, c'est-à-dire trouver les problèmes le plus tôt possible.</w:t>
      </w:r>
    </w:p>
    <w:p>
      <w:pPr>
        <w:pStyle w:val="Heading1"/>
        <w:pageBreakBefore/>
      </w:pPr>
      <w:r>
        <w:t xml:space="preserve">Aide-mémoire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tblHeader/>
        </w:trPr>
        <w:tc>
          <w:tcPr>
            <w:tcW w:type="dxa" w:w="3200"/>
            <w:tcBorders>
              <w:top w:val="single" w:color="CBD5E1" w:sz="4"/>
              <w:left w:val="single" w:color="CBD5E1" w:sz="4"/>
              <w:bottom w:val="single" w:color="CBD5E1" w:sz="4"/>
              <w:right w:val="single" w:color="CBD5E1" w:sz="4"/>
            </w:tcBorders>
            <w:shd w:fill="1E3A5F" w:color="auto" w:val="clear"/>
            <w:tcMar>
              <w:top w:type="dxa" w:w="70"/>
              <w:left w:type="dxa" w:w="110"/>
              <w:bottom w:type="dxa" w:w="70"/>
              <w:right w:type="dxa" w:w="110"/>
            </w:tcMar>
          </w:tcPr>
          <w:p>
            <w:r>
              <w:rPr>
                <w:b/>
                <w:bCs/>
                <w:color w:val="FFFFFF"/>
                <w:sz w:val="18"/>
                <w:szCs w:val="18"/>
              </w:rPr>
              <w:t xml:space="preserve">Réflexe</w:t>
            </w:r>
          </w:p>
        </w:tc>
        <w:tc>
          <w:tcPr>
            <w:tcW w:type="dxa" w:w="6438"/>
            <w:tcBorders>
              <w:top w:val="single" w:color="CBD5E1" w:sz="4"/>
              <w:left w:val="single" w:color="CBD5E1" w:sz="4"/>
              <w:bottom w:val="single" w:color="CBD5E1" w:sz="4"/>
              <w:right w:val="single" w:color="CBD5E1" w:sz="4"/>
            </w:tcBorders>
            <w:shd w:fill="1E3A5F" w:color="auto" w:val="clear"/>
            <w:tcMar>
              <w:top w:type="dxa" w:w="70"/>
              <w:left w:type="dxa" w:w="110"/>
              <w:bottom w:type="dxa" w:w="70"/>
              <w:right w:type="dxa" w:w="110"/>
            </w:tcMar>
          </w:tcPr>
          <w:p>
            <w:r>
              <w:rPr>
                <w:b/>
                <w:bCs/>
                <w:color w:val="FFFFFF"/>
                <w:sz w:val="18"/>
                <w:szCs w:val="18"/>
              </w:rPr>
              <w:t xml:space="preserve">Question à se poser</w:t>
            </w:r>
          </w:p>
        </w:tc>
      </w:tr>
      <w:tr>
        <w:trPr>
          <w:cantSplit/>
        </w:trPr>
        <w:tc>
          <w:tcPr>
            <w:tcW w:type="dxa" w:w="32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Identité</w:t>
            </w:r>
          </w:p>
        </w:tc>
        <w:tc>
          <w:tcPr>
            <w:tcW w:type="dxa" w:w="6438"/>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Le MFA est-il actif ? Les droits sont-ils minimaux ?</w:t>
            </w:r>
          </w:p>
        </w:tc>
      </w:tr>
      <w:tr>
        <w:trPr>
          <w:cantSplit/>
        </w:trPr>
        <w:tc>
          <w:tcPr>
            <w:tcW w:type="dxa" w:w="32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Réseau</w:t>
            </w:r>
          </w:p>
        </w:tc>
        <w:tc>
          <w:tcPr>
            <w:tcW w:type="dxa" w:w="6438"/>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Quels ports sont ouverts, et à qui ?</w:t>
            </w:r>
          </w:p>
        </w:tc>
      </w:tr>
      <w:tr>
        <w:trPr>
          <w:cantSplit/>
        </w:trPr>
        <w:tc>
          <w:tcPr>
            <w:tcW w:type="dxa" w:w="32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Données</w:t>
            </w:r>
          </w:p>
        </w:tc>
        <w:tc>
          <w:tcPr>
            <w:tcW w:type="dxa" w:w="6438"/>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Sont-elles chiffrées ? Qui y a accès ? Sont-elles sauvegardées ?</w:t>
            </w:r>
          </w:p>
        </w:tc>
      </w:tr>
      <w:tr>
        <w:trPr>
          <w:cantSplit/>
        </w:trPr>
        <w:tc>
          <w:tcPr>
            <w:tcW w:type="dxa" w:w="32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Secrets</w:t>
            </w:r>
          </w:p>
        </w:tc>
        <w:tc>
          <w:tcPr>
            <w:tcW w:type="dxa" w:w="6438"/>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Y a-t-il un secret en clair dans le code, un fichier, un log ?</w:t>
            </w:r>
          </w:p>
        </w:tc>
      </w:tr>
      <w:tr>
        <w:trPr>
          <w:cantSplit/>
        </w:trPr>
        <w:tc>
          <w:tcPr>
            <w:tcW w:type="dxa" w:w="32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Journaux</w:t>
            </w:r>
          </w:p>
        </w:tc>
        <w:tc>
          <w:tcPr>
            <w:tcW w:type="dxa" w:w="6438"/>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Pourrais-je savoir, après coup, qui a fait quoi ?</w:t>
            </w:r>
          </w:p>
        </w:tc>
      </w:tr>
      <w:tr>
        <w:trPr>
          <w:cantSplit/>
        </w:trPr>
        <w:tc>
          <w:tcPr>
            <w:tcW w:type="dxa" w:w="32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Mises à jour</w:t>
            </w:r>
          </w:p>
        </w:tc>
        <w:tc>
          <w:tcPr>
            <w:tcW w:type="dxa" w:w="6438"/>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Les systèmes et images sont-ils à jour ?</w:t>
            </w:r>
          </w:p>
        </w:tc>
      </w:tr>
      <w:tr>
        <w:trPr>
          <w:cantSplit/>
        </w:trPr>
        <w:tc>
          <w:tcPr>
            <w:tcW w:type="dxa" w:w="32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Automatisation</w:t>
            </w:r>
          </w:p>
        </w:tc>
        <w:tc>
          <w:tcPr>
            <w:tcW w:type="dxa" w:w="6438"/>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Ces contrôles sont-ils dans la CI/CD ?</w:t>
            </w:r>
          </w:p>
        </w:tc>
      </w:tr>
    </w:tbl>
    <w:p>
      <w:pPr>
        <w:spacing w:after="160"/>
      </w:pPr>
    </w:p>
    <w:p>
      <w:pPr>
        <w:pStyle w:val="Heading2"/>
      </w:pPr>
      <w:r>
        <w:t xml:space="preserve">Glossaire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CBD5E1" w:sz="4"/>
              <w:left w:val="single" w:color="CBD5E1" w:sz="4"/>
              <w:bottom w:val="single" w:color="CBD5E1" w:sz="4"/>
              <w:right w:val="single" w:color="CBD5E1" w:sz="4"/>
            </w:tcBorders>
            <w:shd w:fill="1E3A5F" w:color="auto" w:val="clear"/>
            <w:tcMar>
              <w:top w:type="dxa" w:w="70"/>
              <w:left w:type="dxa" w:w="110"/>
              <w:bottom w:type="dxa" w:w="70"/>
              <w:right w:type="dxa" w:w="110"/>
            </w:tcMar>
          </w:tcPr>
          <w:p>
            <w:r>
              <w:rPr>
                <w:b/>
                <w:bCs/>
                <w:color w:val="FFFFFF"/>
                <w:sz w:val="18"/>
                <w:szCs w:val="18"/>
              </w:rPr>
              <w:t xml:space="preserve">Terme</w:t>
            </w:r>
          </w:p>
        </w:tc>
        <w:tc>
          <w:tcPr>
            <w:tcW w:type="dxa" w:w="7038"/>
            <w:tcBorders>
              <w:top w:val="single" w:color="CBD5E1" w:sz="4"/>
              <w:left w:val="single" w:color="CBD5E1" w:sz="4"/>
              <w:bottom w:val="single" w:color="CBD5E1" w:sz="4"/>
              <w:right w:val="single" w:color="CBD5E1" w:sz="4"/>
            </w:tcBorders>
            <w:shd w:fill="1E3A5F" w:color="auto" w:val="clear"/>
            <w:tcMar>
              <w:top w:type="dxa" w:w="70"/>
              <w:left w:type="dxa" w:w="110"/>
              <w:bottom w:type="dxa" w:w="70"/>
              <w:right w:type="dxa" w:w="110"/>
            </w:tcMar>
          </w:tcPr>
          <w:p>
            <w:r>
              <w:rPr>
                <w:b/>
                <w:bCs/>
                <w:color w:val="FFFFFF"/>
                <w:sz w:val="18"/>
                <w:szCs w:val="18"/>
              </w:rPr>
              <w:t xml:space="preserve">Définition</w:t>
            </w:r>
          </w:p>
        </w:tc>
      </w:tr>
      <w:tr>
        <w:trPr>
          <w:cantSplit/>
        </w:trPr>
        <w:tc>
          <w:tcPr>
            <w:tcW w:type="dxa" w:w="26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MFA</w:t>
            </w:r>
          </w:p>
        </w:tc>
        <w:tc>
          <w:tcPr>
            <w:tcW w:type="dxa" w:w="7038"/>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Authentification multifacteur.</w:t>
            </w:r>
          </w:p>
        </w:tc>
      </w:tr>
      <w:tr>
        <w:trPr>
          <w:cantSplit/>
        </w:trPr>
        <w:tc>
          <w:tcPr>
            <w:tcW w:type="dxa" w:w="26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SSO</w:t>
            </w:r>
          </w:p>
        </w:tc>
        <w:tc>
          <w:tcPr>
            <w:tcW w:type="dxa" w:w="7038"/>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Authentification unique.</w:t>
            </w:r>
          </w:p>
        </w:tc>
      </w:tr>
      <w:tr>
        <w:trPr>
          <w:cantSplit/>
        </w:trPr>
        <w:tc>
          <w:tcPr>
            <w:tcW w:type="dxa" w:w="26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CSPM</w:t>
            </w:r>
          </w:p>
        </w:tc>
        <w:tc>
          <w:tcPr>
            <w:tcW w:type="dxa" w:w="7038"/>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Cloud Security Posture Management : détection des mauvaises configurations.</w:t>
            </w:r>
          </w:p>
        </w:tc>
      </w:tr>
      <w:tr>
        <w:trPr>
          <w:cantSplit/>
        </w:trPr>
        <w:tc>
          <w:tcPr>
            <w:tcW w:type="dxa" w:w="26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SIEM</w:t>
            </w:r>
          </w:p>
        </w:tc>
        <w:tc>
          <w:tcPr>
            <w:tcW w:type="dxa" w:w="7038"/>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Outil de centralisation et de corrélation des événements de sécurité.</w:t>
            </w:r>
          </w:p>
        </w:tc>
      </w:tr>
      <w:tr>
        <w:trPr>
          <w:cantSplit/>
        </w:trPr>
        <w:tc>
          <w:tcPr>
            <w:tcW w:type="dxa" w:w="26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WAF</w:t>
            </w:r>
          </w:p>
        </w:tc>
        <w:tc>
          <w:tcPr>
            <w:tcW w:type="dxa" w:w="7038"/>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Pare-feu applicatif web.</w:t>
            </w:r>
          </w:p>
        </w:tc>
      </w:tr>
      <w:tr>
        <w:trPr>
          <w:cantSplit/>
        </w:trPr>
        <w:tc>
          <w:tcPr>
            <w:tcW w:type="dxa" w:w="26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CVE</w:t>
            </w:r>
          </w:p>
        </w:tc>
        <w:tc>
          <w:tcPr>
            <w:tcW w:type="dxa" w:w="7038"/>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Identifiant public d'une vulnérabilité connue.</w:t>
            </w:r>
          </w:p>
        </w:tc>
      </w:tr>
      <w:tr>
        <w:trPr>
          <w:cantSplit/>
        </w:trPr>
        <w:tc>
          <w:tcPr>
            <w:tcW w:type="dxa" w:w="26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Shift left</w:t>
            </w:r>
          </w:p>
        </w:tc>
        <w:tc>
          <w:tcPr>
            <w:tcW w:type="dxa" w:w="7038"/>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Intégrer la sécurité dès les premières phases de développement.</w:t>
            </w:r>
          </w:p>
        </w:tc>
      </w:tr>
      <w:tr>
        <w:trPr>
          <w:cantSplit/>
        </w:trPr>
        <w:tc>
          <w:tcPr>
            <w:tcW w:type="dxa" w:w="26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Chiffrement au repos / en transit</w:t>
            </w:r>
          </w:p>
        </w:tc>
        <w:tc>
          <w:tcPr>
            <w:tcW w:type="dxa" w:w="7038"/>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Protection des données stockées / pendant leur circulation.</w:t>
            </w:r>
          </w:p>
        </w:tc>
      </w:tr>
    </w:tbl>
    <w:p>
      <w:pPr>
        <w:pStyle w:val="Heading1"/>
        <w:pageBreakBefore/>
      </w:pPr>
      <w:r>
        <w:t xml:space="preserve">Sources officielles et vérifications</w:t>
      </w:r>
    </w:p>
    <w:p>
      <w:pPr>
        <w:keepLines/>
        <w:pBdr>
          <w:left w:val="single" w:color="2563EB" w:sz="18" w:space="8"/>
        </w:pBdr>
        <w:shd w:fill="DBEAFE" w:color="auto" w:val="clear"/>
        <w:spacing w:after="180" w:before="100" w:line="276"/>
        <w:ind w:left="200" w:right="100"/>
      </w:pPr>
      <w:r>
        <w:rPr>
          <w:b/>
          <w:bCs/>
        </w:rPr>
        <w:t xml:space="preserve">Vérification : </w:t>
      </w:r>
      <w:r>
        <w:t xml:space="preserve">Contenu relu le 28 octobre 2026 en consultant les pages indiquées ci-dessous. Les pages évoluent : en cas de doute, la documentation officielle fait foi.</w:t>
      </w:r>
    </w:p>
    <w:p>
      <w:pPr>
        <w:pStyle w:val="Heading2"/>
      </w:pPr>
      <w:r>
        <w:t xml:space="preserve">Points vérifiés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00"/>
        <w:gridCol w:w="5338"/>
      </w:tblGrid>
      <w:tr>
        <w:trPr>
          <w:tblHeader/>
        </w:trPr>
        <w:tc>
          <w:tcPr>
            <w:tcW w:type="dxa" w:w="4300"/>
            <w:tcBorders>
              <w:top w:val="single" w:color="CBD5E1" w:sz="4"/>
              <w:left w:val="single" w:color="CBD5E1" w:sz="4"/>
              <w:bottom w:val="single" w:color="CBD5E1" w:sz="4"/>
              <w:right w:val="single" w:color="CBD5E1" w:sz="4"/>
            </w:tcBorders>
            <w:shd w:fill="1E3A5F" w:color="auto" w:val="clear"/>
            <w:tcMar>
              <w:top w:type="dxa" w:w="70"/>
              <w:left w:type="dxa" w:w="110"/>
              <w:bottom w:type="dxa" w:w="70"/>
              <w:right w:type="dxa" w:w="110"/>
            </w:tcMar>
          </w:tcPr>
          <w:p>
            <w:r>
              <w:rPr>
                <w:b/>
                <w:bCs/>
                <w:color w:val="FFFFFF"/>
                <w:sz w:val="18"/>
                <w:szCs w:val="18"/>
              </w:rPr>
              <w:t xml:space="preserve">Point vérifié</w:t>
            </w:r>
          </w:p>
        </w:tc>
        <w:tc>
          <w:tcPr>
            <w:tcW w:type="dxa" w:w="5338"/>
            <w:tcBorders>
              <w:top w:val="single" w:color="CBD5E1" w:sz="4"/>
              <w:left w:val="single" w:color="CBD5E1" w:sz="4"/>
              <w:bottom w:val="single" w:color="CBD5E1" w:sz="4"/>
              <w:right w:val="single" w:color="CBD5E1" w:sz="4"/>
            </w:tcBorders>
            <w:shd w:fill="1E3A5F" w:color="auto" w:val="clear"/>
            <w:tcMar>
              <w:top w:type="dxa" w:w="70"/>
              <w:left w:type="dxa" w:w="110"/>
              <w:bottom w:type="dxa" w:w="70"/>
              <w:right w:type="dxa" w:w="110"/>
            </w:tcMar>
          </w:tcPr>
          <w:p>
            <w:r>
              <w:rPr>
                <w:b/>
                <w:bCs/>
                <w:color w:val="FFFFFF"/>
                <w:sz w:val="18"/>
                <w:szCs w:val="18"/>
              </w:rPr>
              <w:t xml:space="preserve">Source officielle</w:t>
            </w:r>
          </w:p>
        </w:tc>
      </w:tr>
      <w:tr>
        <w:trPr>
          <w:cantSplit/>
        </w:trPr>
        <w:tc>
          <w:tcPr>
            <w:tcW w:type="dxa" w:w="43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Responsabilité partagée AWS : sécurité du cloud / dans le cloud</w:t>
            </w:r>
          </w:p>
        </w:tc>
        <w:tc>
          <w:tcPr>
            <w:tcW w:type="dxa" w:w="5338"/>
            <w:tcBorders>
              <w:top w:val="single" w:color="CBD5E1" w:sz="4"/>
              <w:left w:val="single" w:color="CBD5E1" w:sz="4"/>
              <w:bottom w:val="single" w:color="CBD5E1" w:sz="4"/>
              <w:right w:val="single" w:color="CBD5E1" w:sz="4"/>
            </w:tcBorders>
            <w:tcMar>
              <w:top w:type="dxa" w:w="70"/>
              <w:left w:type="dxa" w:w="110"/>
              <w:bottom w:type="dxa" w:w="70"/>
              <w:right w:type="dxa" w:w="110"/>
            </w:tcMar>
          </w:tcPr>
          <w:p>
            <w:hyperlink w:history="1" r:id="rIdqhu8wet6rqstj33hpz3jc">
              <w:r>
                <w:rPr>
                  <w:color w:val="1D4ED8"/>
                  <w:sz w:val="18"/>
                  <w:szCs w:val="18"/>
                  <w:u w:val="single"/>
                </w:rPr>
                <w:t xml:space="preserve">aws.amazon.com/compliance/shared-responsibility-model</w:t>
              </w:r>
            </w:hyperlink>
          </w:p>
        </w:tc>
      </w:tr>
      <w:tr>
        <w:trPr>
          <w:cantSplit/>
        </w:trPr>
        <w:tc>
          <w:tcPr>
            <w:tcW w:type="dxa" w:w="43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Bonnes pratiques IAM : identifiants temporaires, MFA, moindre privilège, protection du compte racine</w:t>
            </w:r>
          </w:p>
        </w:tc>
        <w:tc>
          <w:tcPr>
            <w:tcW w:type="dxa" w:w="5338"/>
            <w:tcBorders>
              <w:top w:val="single" w:color="CBD5E1" w:sz="4"/>
              <w:left w:val="single" w:color="CBD5E1" w:sz="4"/>
              <w:bottom w:val="single" w:color="CBD5E1" w:sz="4"/>
              <w:right w:val="single" w:color="CBD5E1" w:sz="4"/>
            </w:tcBorders>
            <w:tcMar>
              <w:top w:type="dxa" w:w="70"/>
              <w:left w:type="dxa" w:w="110"/>
              <w:bottom w:type="dxa" w:w="70"/>
              <w:right w:type="dxa" w:w="110"/>
            </w:tcMar>
          </w:tcPr>
          <w:p>
            <w:hyperlink w:history="1" r:id="rIdgj-cglt6ljcxzl7xakphv">
              <w:r>
                <w:rPr>
                  <w:color w:val="1D4ED8"/>
                  <w:sz w:val="18"/>
                  <w:szCs w:val="18"/>
                  <w:u w:val="single"/>
                </w:rPr>
                <w:t xml:space="preserve">docs.aws.amazon.com/IAM/latest/UserGuide/best-practices.html</w:t>
              </w:r>
            </w:hyperlink>
          </w:p>
        </w:tc>
      </w:tr>
      <w:tr>
        <w:trPr>
          <w:cantSplit/>
        </w:trPr>
        <w:tc>
          <w:tcPr>
            <w:tcW w:type="dxa" w:w="43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Zero Trust : aucune confiance implicite fondée sur l'emplacement réseau ; authentification et autorisation avant chaque session</w:t>
            </w:r>
          </w:p>
        </w:tc>
        <w:tc>
          <w:tcPr>
            <w:tcW w:type="dxa" w:w="5338"/>
            <w:tcBorders>
              <w:top w:val="single" w:color="CBD5E1" w:sz="4"/>
              <w:left w:val="single" w:color="CBD5E1" w:sz="4"/>
              <w:bottom w:val="single" w:color="CBD5E1" w:sz="4"/>
              <w:right w:val="single" w:color="CBD5E1" w:sz="4"/>
            </w:tcBorders>
            <w:tcMar>
              <w:top w:type="dxa" w:w="70"/>
              <w:left w:type="dxa" w:w="110"/>
              <w:bottom w:type="dxa" w:w="70"/>
              <w:right w:type="dxa" w:w="110"/>
            </w:tcMar>
          </w:tcPr>
          <w:p>
            <w:hyperlink w:history="1" r:id="rIdx59loc4hjg3m9pgvcnnqa">
              <w:r>
                <w:rPr>
                  <w:color w:val="1D4ED8"/>
                  <w:sz w:val="18"/>
                  <w:szCs w:val="18"/>
                  <w:u w:val="single"/>
                </w:rPr>
                <w:t xml:space="preserve">csrc.nist.gov/Pubs/sp/800/207/Final</w:t>
              </w:r>
            </w:hyperlink>
          </w:p>
        </w:tc>
      </w:tr>
      <w:tr>
        <w:trPr>
          <w:cantSplit/>
        </w:trPr>
        <w:tc>
          <w:tcPr>
            <w:tcW w:type="dxa" w:w="43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Qualification SecNumCloud (ANSSI) ; elle ne préjuge pas du niveau de sécurité des services déployés par les clients</w:t>
            </w:r>
          </w:p>
        </w:tc>
        <w:tc>
          <w:tcPr>
            <w:tcW w:type="dxa" w:w="5338"/>
            <w:tcBorders>
              <w:top w:val="single" w:color="CBD5E1" w:sz="4"/>
              <w:left w:val="single" w:color="CBD5E1" w:sz="4"/>
              <w:bottom w:val="single" w:color="CBD5E1" w:sz="4"/>
              <w:right w:val="single" w:color="CBD5E1" w:sz="4"/>
            </w:tcBorders>
            <w:tcMar>
              <w:top w:type="dxa" w:w="70"/>
              <w:left w:type="dxa" w:w="110"/>
              <w:bottom w:type="dxa" w:w="70"/>
              <w:right w:type="dxa" w:w="110"/>
            </w:tcMar>
          </w:tcPr>
          <w:p>
            <w:hyperlink w:history="1" r:id="rIdw2wr2ut4zelu-6q2akilc">
              <w:r>
                <w:rPr>
                  <w:color w:val="1D4ED8"/>
                  <w:sz w:val="18"/>
                  <w:szCs w:val="18"/>
                  <w:u w:val="single"/>
                </w:rPr>
                <w:t xml:space="preserve">cyber.gouv.fr/enjeux-technologiques/cloud</w:t>
              </w:r>
            </w:hyperlink>
          </w:p>
        </w:tc>
      </w:tr>
      <w:tr>
        <w:trPr>
          <w:cantSplit/>
        </w:trPr>
        <w:tc>
          <w:tcPr>
            <w:tcW w:type="dxa" w:w="43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Secrets Kubernetes non chiffrés par défaut ; chiffrement au repos, RBAC</w:t>
            </w:r>
          </w:p>
        </w:tc>
        <w:tc>
          <w:tcPr>
            <w:tcW w:type="dxa" w:w="5338"/>
            <w:tcBorders>
              <w:top w:val="single" w:color="CBD5E1" w:sz="4"/>
              <w:left w:val="single" w:color="CBD5E1" w:sz="4"/>
              <w:bottom w:val="single" w:color="CBD5E1" w:sz="4"/>
              <w:right w:val="single" w:color="CBD5E1" w:sz="4"/>
            </w:tcBorders>
            <w:tcMar>
              <w:top w:type="dxa" w:w="70"/>
              <w:left w:type="dxa" w:w="110"/>
              <w:bottom w:type="dxa" w:w="70"/>
              <w:right w:type="dxa" w:w="110"/>
            </w:tcMar>
          </w:tcPr>
          <w:p>
            <w:hyperlink w:history="1" r:id="rIdwgqj9u6qckf2awj-m0kf-">
              <w:r>
                <w:rPr>
                  <w:color w:val="1D4ED8"/>
                  <w:sz w:val="18"/>
                  <w:szCs w:val="18"/>
                  <w:u w:val="single"/>
                </w:rPr>
                <w:t xml:space="preserve">kubernetes.io/docs/concepts/security/secrets-good-practices</w:t>
              </w:r>
            </w:hyperlink>
          </w:p>
        </w:tc>
      </w:tr>
      <w:tr>
        <w:trPr>
          <w:cantSplit/>
        </w:trPr>
        <w:tc>
          <w:tcPr>
            <w:tcW w:type="dxa" w:w="43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Secret Detection GitLab : offres Free et Premium, modèle de CI et stage </w:t>
            </w:r>
            <w:r>
              <w:rPr>
                <w:rFonts w:ascii="Consolas" w:cs="Consolas" w:eastAsia="Consolas" w:hAnsi="Consolas"/>
                <w:color w:val="9A3412"/>
                <w:sz w:val="18"/>
                <w:szCs w:val="18"/>
              </w:rPr>
              <w:t xml:space="preserve">test</w:t>
            </w:r>
          </w:p>
        </w:tc>
        <w:tc>
          <w:tcPr>
            <w:tcW w:type="dxa" w:w="5338"/>
            <w:tcBorders>
              <w:top w:val="single" w:color="CBD5E1" w:sz="4"/>
              <w:left w:val="single" w:color="CBD5E1" w:sz="4"/>
              <w:bottom w:val="single" w:color="CBD5E1" w:sz="4"/>
              <w:right w:val="single" w:color="CBD5E1" w:sz="4"/>
            </w:tcBorders>
            <w:tcMar>
              <w:top w:type="dxa" w:w="70"/>
              <w:left w:type="dxa" w:w="110"/>
              <w:bottom w:type="dxa" w:w="70"/>
              <w:right w:type="dxa" w:w="110"/>
            </w:tcMar>
          </w:tcPr>
          <w:p>
            <w:hyperlink w:history="1" r:id="rIdotq1yqbyeefb2uz1wormj">
              <w:r>
                <w:rPr>
                  <w:color w:val="1D4ED8"/>
                  <w:sz w:val="18"/>
                  <w:szCs w:val="18"/>
                  <w:u w:val="single"/>
                </w:rPr>
                <w:t xml:space="preserve">archives.docs.gitlab.com/16.0/ee/user/application_security/secret_detection</w:t>
              </w:r>
            </w:hyperlink>
          </w:p>
        </w:tc>
      </w:tr>
      <w:tr>
        <w:trPr>
          <w:cantSplit/>
        </w:trPr>
        <w:tc>
          <w:tcPr>
            <w:tcW w:type="dxa" w:w="43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OIDC GitLab vers les clouds : identifiants temporaires, moindre privilège</w:t>
            </w:r>
          </w:p>
        </w:tc>
        <w:tc>
          <w:tcPr>
            <w:tcW w:type="dxa" w:w="5338"/>
            <w:tcBorders>
              <w:top w:val="single" w:color="CBD5E1" w:sz="4"/>
              <w:left w:val="single" w:color="CBD5E1" w:sz="4"/>
              <w:bottom w:val="single" w:color="CBD5E1" w:sz="4"/>
              <w:right w:val="single" w:color="CBD5E1" w:sz="4"/>
            </w:tcBorders>
            <w:tcMar>
              <w:top w:type="dxa" w:w="70"/>
              <w:left w:type="dxa" w:w="110"/>
              <w:bottom w:type="dxa" w:w="70"/>
              <w:right w:type="dxa" w:w="110"/>
            </w:tcMar>
          </w:tcPr>
          <w:p>
            <w:hyperlink w:history="1" r:id="rIdzkac0nteuiipz350dsf7x">
              <w:r>
                <w:rPr>
                  <w:color w:val="1D4ED8"/>
                  <w:sz w:val="18"/>
                  <w:szCs w:val="18"/>
                  <w:u w:val="single"/>
                </w:rPr>
                <w:t xml:space="preserve">docs.gitlab.com/ee/ci/cloud_services</w:t>
              </w:r>
            </w:hyperlink>
          </w:p>
        </w:tc>
      </w:tr>
    </w:tbl>
    <w:p>
      <w:pPr>
        <w:spacing w:after="120"/>
      </w:pPr>
    </w:p>
    <w:p>
      <w:pPr>
        <w:pStyle w:val="Heading2"/>
      </w:pPr>
      <w:r>
        <w:t xml:space="preserve">Corrections apportées à la version précédente</w:t>
      </w:r>
    </w:p>
    <w:p>
      <w:pPr>
        <w:pStyle w:val="ListParagraph"/>
        <w:numPr>
          <w:ilvl w:val="0"/>
          <w:numId w:val="2"/>
        </w:numPr>
        <w:spacing w:after="60" w:line="276"/>
      </w:pPr>
      <w:r>
        <w:rPr>
          <w:b/>
          <w:bCs/>
        </w:rPr>
        <w:t xml:space="preserve">Zero Trust</w:t>
      </w:r>
      <w:r>
        <w:t xml:space="preserve"> : la formule « ne jamais faire confiance, toujours vérifier », mal attribuée à une source officielle, est remplacée par la définition conforme à la publication NIST SP 800-207.</w:t>
      </w:r>
    </w:p>
    <w:p>
      <w:pPr>
        <w:pStyle w:val="ListParagraph"/>
        <w:numPr>
          <w:ilvl w:val="0"/>
          <w:numId w:val="2"/>
        </w:numPr>
        <w:spacing w:after="60" w:line="276"/>
      </w:pPr>
      <w:r>
        <w:rPr>
          <w:b/>
          <w:bCs/>
        </w:rPr>
        <w:t xml:space="preserve">Responsabilité partagée</w:t>
      </w:r>
      <w:r>
        <w:t xml:space="preserve"> : ajout de la précision de l'ANSSI (une offre qualifiée SecNumCloud ne garantit pas la sécurité de ce que le client y déploie).</w:t>
      </w:r>
    </w:p>
    <w:p>
      <w:pPr>
        <w:pStyle w:val="ListParagraph"/>
        <w:numPr>
          <w:ilvl w:val="0"/>
          <w:numId w:val="2"/>
        </w:numPr>
        <w:spacing w:after="60" w:line="276"/>
      </w:pPr>
      <w:r>
        <w:rPr>
          <w:b/>
          <w:bCs/>
        </w:rPr>
        <w:t xml:space="preserve">IAM</w:t>
      </w:r>
      <w:r>
        <w:t xml:space="preserve"> : ajout de la recommandation d'identifiants temporaires et de l'absence de clé d'accès pour le compte racine.</w:t>
      </w:r>
    </w:p>
    <w:p>
      <w:pPr>
        <w:pStyle w:val="ListParagraph"/>
        <w:numPr>
          <w:ilvl w:val="0"/>
          <w:numId w:val="2"/>
        </w:numPr>
        <w:spacing w:after="60" w:line="276"/>
      </w:pPr>
      <w:r>
        <w:t xml:space="preserve">Référentiels : ajout de </w:t>
      </w:r>
      <w:r>
        <w:rPr>
          <w:b/>
          <w:bCs/>
        </w:rPr>
        <w:t xml:space="preserve">SecNumCloud</w:t>
      </w:r>
      <w:r>
        <w:t xml:space="preserve"> (ANSSI) et de </w:t>
      </w:r>
      <w:r>
        <w:rPr>
          <w:b/>
          <w:bCs/>
        </w:rPr>
        <w:t xml:space="preserve">NIST SP 800-207</w:t>
      </w:r>
      <w:r>
        <w:t xml:space="preserve">.</w:t>
      </w:r>
    </w:p>
    <w:p>
      <w:pPr>
        <w:pStyle w:val="ListParagraph"/>
        <w:numPr>
          <w:ilvl w:val="0"/>
          <w:numId w:val="2"/>
        </w:numPr>
        <w:spacing w:after="60" w:line="276"/>
      </w:pPr>
      <w:r>
        <w:t xml:space="preserve">Modèles de sécurité GitLab : texte sur les offres précisé (détection de secrets en offre Free/Premium, autres scanners selon l'offre).</w:t>
      </w:r>
    </w:p>
    <w:p>
      <w:pPr>
        <w:pStyle w:val="Heading2"/>
      </w:pPr>
      <w:r>
        <w:t xml:space="preserve">Points non confirmés par une source officielle</w:t>
      </w:r>
    </w:p>
    <w:p>
      <w:pPr>
        <w:keepLines/>
        <w:pBdr>
          <w:left w:val="single" w:color="DC2626" w:sz="18" w:space="8"/>
        </w:pBdr>
        <w:shd w:fill="FEE2E2" w:color="auto" w:val="clear"/>
        <w:spacing w:after="180" w:before="100" w:line="276"/>
        <w:ind w:left="200" w:right="100"/>
      </w:pPr>
      <w:r>
        <w:rPr>
          <w:b/>
          <w:bCs/>
        </w:rPr>
        <w:t xml:space="preserve">À confirmer : </w:t>
      </w:r>
      <w:r>
        <w:t xml:space="preserve">Les éléments suivants viennent de connaissances générales ou de sources non officielles : ne les considère pas comme vérifiés.</w:t>
      </w:r>
    </w:p>
    <w:p>
      <w:pPr>
        <w:pStyle w:val="ListParagraph"/>
        <w:numPr>
          <w:ilvl w:val="0"/>
          <w:numId w:val="2"/>
        </w:numPr>
        <w:spacing w:after="60" w:line="276"/>
      </w:pPr>
      <w:r>
        <w:t xml:space="preserve">Référentiels CIS Benchmarks, OWASP, MITRE ATT&amp;CK, ISO 27001 : cités comme références générales, non consultés lors de cette vérification.</w:t>
      </w:r>
    </w:p>
    <w:p>
      <w:pPr>
        <w:pStyle w:val="ListParagraph"/>
        <w:numPr>
          <w:ilvl w:val="0"/>
          <w:numId w:val="2"/>
        </w:numPr>
        <w:spacing w:after="60" w:line="276"/>
      </w:pPr>
      <w:r>
        <w:t xml:space="preserve">Noms des services de sécurité AWS et Azure du tableau comparatif (GuardDuty, Security Hub, Defender for Cloud, Sentinel…) : connaissances générales.</w:t>
      </w:r>
    </w:p>
    <w:p>
      <w:pPr>
        <w:pStyle w:val="ListParagraph"/>
        <w:numPr>
          <w:ilvl w:val="0"/>
          <w:numId w:val="2"/>
        </w:numPr>
        <w:spacing w:after="60" w:line="276"/>
      </w:pPr>
      <w:r>
        <w:t xml:space="preserve">Outils cités (Prowler, ScoutSuite, Trivy, gitleaks) : non vérifiés auprès de leur documentation.</w:t>
      </w:r>
    </w:p>
    <w:p>
      <w:pPr>
        <w:pStyle w:val="ListParagraph"/>
        <w:numPr>
          <w:ilvl w:val="0"/>
          <w:numId w:val="2"/>
        </w:numPr>
        <w:spacing w:after="60" w:line="276"/>
      </w:pPr>
      <w:r>
        <w:t xml:space="preserve">Les étapes de réponse à incident reprennent un schéma courant ; elles ne remplacent pas la procédure de ton organisation.</w:t>
      </w:r>
    </w:p>
    <w:p>
      <w:pPr>
        <w:pStyle w:val="Heading2"/>
      </w:pPr>
      <w:r>
        <w:t xml:space="preserve">Pour aller plus loin (pages non relues lors de la vérification)</w:t>
      </w:r>
    </w:p>
    <w:p>
      <w:pPr>
        <w:pStyle w:val="ListParagraph"/>
        <w:numPr>
          <w:ilvl w:val="0"/>
          <w:numId w:val="2"/>
        </w:numPr>
        <w:spacing w:after="60" w:line="276"/>
      </w:pPr>
      <w:r>
        <w:t xml:space="preserve">ANSSI : </w:t>
      </w:r>
      <w:hyperlink w:history="1" r:id="rIdrf8mz-gpjqhpbqe2fx1z_">
        <w:r>
          <w:rPr>
            <w:color w:val="1D4ED8"/>
            <w:u w:val="single"/>
          </w:rPr>
          <w:t xml:space="preserve">cyber.gouv.fr/</w:t>
        </w:r>
      </w:hyperlink>
    </w:p>
    <w:p>
      <w:pPr>
        <w:pStyle w:val="ListParagraph"/>
        <w:numPr>
          <w:ilvl w:val="0"/>
          <w:numId w:val="2"/>
        </w:numPr>
        <w:spacing w:after="60" w:line="276"/>
      </w:pPr>
      <w:r>
        <w:t xml:space="preserve">CIS Benchmarks : </w:t>
      </w:r>
      <w:hyperlink w:history="1" r:id="rIdetemsxk5ymtcol6grbj3n">
        <w:r>
          <w:rPr>
            <w:color w:val="1D4ED8"/>
            <w:u w:val="single"/>
          </w:rPr>
          <w:t xml:space="preserve">www.cisecurity.org/cis-benchmarks</w:t>
        </w:r>
      </w:hyperlink>
    </w:p>
    <w:p>
      <w:pPr>
        <w:pStyle w:val="ListParagraph"/>
        <w:numPr>
          <w:ilvl w:val="0"/>
          <w:numId w:val="2"/>
        </w:numPr>
        <w:spacing w:after="60" w:line="276"/>
      </w:pPr>
      <w:r>
        <w:t xml:space="preserve">OWASP : </w:t>
      </w:r>
      <w:hyperlink w:history="1" r:id="rIdopjcbth-2mauotddrdhij">
        <w:r>
          <w:rPr>
            <w:color w:val="1D4ED8"/>
            <w:u w:val="single"/>
          </w:rPr>
          <w:t xml:space="preserve">owasp.org/</w:t>
        </w:r>
      </w:hyperlink>
    </w:p>
    <w:sectPr>
      <w:headerReference w:type="default" r:id="rId7"/>
      <w:footerReference w:type="default" r:id="rId8"/>
      <w:pgSz w:w="11906" w:h="16838" w:orient="portrait"/>
      <w:pgMar w:top="1247"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4A3B8"/>
        <w:sz w:val="18"/>
        <w:szCs w:val="18"/>
      </w:rPr>
      <w:t xml:space="preserve">Page </w:t>
    </w:r>
    <w:r>
      <w:rPr>
        <w:color w:val="94A3B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4A3B8"/>
        <w:sz w:val="18"/>
        <w:szCs w:val="18"/>
      </w:rPr>
      <w:t xml:space="preserve">Sécurité Cloud | Fiche de cours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360"/>
      </w:pPr>
    </w:lvl>
  </w:abstractNum>
  <w:abstractNum w:abstractNumId="4" w15:restartNumberingAfterBreak="0">
    <w:multiLevelType w:val="hybridMultilevel"/>
    <w:lvl w:ilvl="0" w15:tentative="1">
      <w:start w:val="1"/>
      <w:numFmt w:val="decimal"/>
      <w:lvlText w:val="%1."/>
      <w:lvlJc w:val="left"/>
      <w:pPr>
        <w:ind w:left="560" w:hanging="360"/>
      </w:pPr>
    </w:lvl>
  </w:abstractNum>
  <w:abstractNum w:abstractNumId="5" w15:restartNumberingAfterBreak="0">
    <w:multiLevelType w:val="hybridMultilevel"/>
    <w:lvl w:ilvl="0" w15:tentative="1">
      <w:start w:val="1"/>
      <w:numFmt w:val="decimal"/>
      <w:lvlText w:val="%1."/>
      <w:lvlJc w:val="left"/>
      <w:pPr>
        <w:ind w:left="560" w:hanging="360"/>
      </w:pPr>
    </w:lvl>
  </w:abstractNum>
  <w:abstractNum w:abstractNumId="6" w15:restartNumberingAfterBreak="0">
    <w:multiLevelType w:val="hybridMultilevel"/>
    <w:lvl w:ilvl="0" w15:tentative="1">
      <w:start w:val="1"/>
      <w:numFmt w:val="decimal"/>
      <w:lvlText w:val="%1."/>
      <w:lvlJc w:val="left"/>
      <w:pPr>
        <w:ind w:left="560" w:hanging="360"/>
      </w:pPr>
    </w:lvl>
  </w:abstractNum>
  <w:abstractNum w:abstractNumId="7" w15:restartNumberingAfterBreak="0">
    <w:multiLevelType w:val="hybridMultilevel"/>
    <w:lvl w:ilvl="0" w15:tentative="1">
      <w:start w:val="1"/>
      <w:numFmt w:val="decimal"/>
      <w:lvlText w:val="%1."/>
      <w:lvlJc w:val="left"/>
      <w:pPr>
        <w:ind w:left="560" w:hanging="360"/>
      </w:pPr>
    </w:lvl>
  </w:abstractNum>
  <w:abstractNum w:abstractNumId="8" w15:restartNumberingAfterBreak="0">
    <w:multiLevelType w:val="hybridMultilevel"/>
    <w:lvl w:ilvl="0" w15:tentative="1">
      <w:start w:val="1"/>
      <w:numFmt w:val="decimal"/>
      <w:lvlText w:val="%1."/>
      <w:lvlJc w:val="left"/>
      <w:pPr>
        <w:ind w:left="560" w:hanging="360"/>
      </w:pPr>
    </w:lvl>
  </w:abstractNum>
  <w:abstractNum w:abstractNumId="9" w15:restartNumberingAfterBreak="0">
    <w:multiLevelType w:val="hybridMultilevel"/>
    <w:lvl w:ilvl="0" w15:tentative="1">
      <w:start w:val="1"/>
      <w:numFmt w:val="decimal"/>
      <w:lvlText w:val="%1."/>
      <w:lvlJc w:val="left"/>
      <w:pPr>
        <w:ind w:left="560" w:hanging="360"/>
      </w:pPr>
    </w:lvl>
  </w:abstractNum>
  <w:abstractNum w:abstractNumId="10" w15:restartNumberingAfterBreak="0">
    <w:multiLevelType w:val="hybridMultilevel"/>
    <w:lvl w:ilvl="0" w15:tentative="1">
      <w:start w:val="1"/>
      <w:numFmt w:val="decimal"/>
      <w:lvlText w:val="%1."/>
      <w:lvlJc w:val="left"/>
      <w:pPr>
        <w:ind w:left="560" w:hanging="360"/>
      </w:pPr>
    </w:lvl>
  </w:abstractNum>
  <w:abstractNum w:abstractNumId="11" w15:restartNumberingAfterBreak="0">
    <w:multiLevelType w:val="hybridMultilevel"/>
    <w:lvl w:ilvl="0" w15:tentative="1">
      <w:start w:val="1"/>
      <w:numFmt w:val="decimal"/>
      <w:lvlText w:val="%1."/>
      <w:lvlJc w:val="left"/>
      <w:pPr>
        <w:ind w:left="560" w:hanging="360"/>
      </w:pPr>
    </w:lvl>
  </w:abstractNum>
  <w:abstractNum w:abstractNumId="12" w15:restartNumberingAfterBreak="0">
    <w:multiLevelType w:val="hybridMultilevel"/>
    <w:lvl w:ilvl="0" w15:tentative="1">
      <w:start w:val="1"/>
      <w:numFmt w:val="decimal"/>
      <w:lvlText w:val="%1."/>
      <w:lvlJc w:val="left"/>
      <w:pPr>
        <w:ind w:left="560" w:hanging="360"/>
      </w:pPr>
    </w:lvl>
  </w:abstractNum>
  <w:abstractNum w:abstractNumId="13" w15:restartNumberingAfterBreak="0">
    <w:multiLevelType w:val="hybridMultilevel"/>
    <w:lvl w:ilvl="0" w15:tentative="1">
      <w:start w:val="1"/>
      <w:numFmt w:val="decimal"/>
      <w:lvlText w:val="%1."/>
      <w:lvlJc w:val="left"/>
      <w:pPr>
        <w:ind w:left="560" w:hanging="360"/>
      </w:pPr>
    </w:lvl>
  </w:abstractNum>
  <w:abstractNum w:abstractNumId="14" w15:restartNumberingAfterBreak="0">
    <w:multiLevelType w:val="hybridMultilevel"/>
    <w:lvl w:ilvl="0" w15:tentative="1">
      <w:start w:val="1"/>
      <w:numFmt w:val="decimal"/>
      <w:lvlText w:val="%1."/>
      <w:lvlJc w:val="left"/>
      <w:pPr>
        <w:ind w:left="560" w:hanging="360"/>
      </w:pPr>
    </w:lvl>
  </w:abstractNum>
  <w:abstractNum w:abstractNumId="15" w15:restartNumberingAfterBreak="0">
    <w:multiLevelType w:val="hybridMultilevel"/>
    <w:lvl w:ilvl="0" w15:tentative="1">
      <w:start w:val="1"/>
      <w:numFmt w:val="decimal"/>
      <w:lvlText w:val="%1."/>
      <w:lvlJc w:val="left"/>
      <w:pPr>
        <w:ind w:left="560" w:hanging="360"/>
      </w:pPr>
    </w:lvl>
  </w:abstractNum>
  <w:abstractNum w:abstractNumId="16" w15:restartNumberingAfterBreak="0">
    <w:multiLevelType w:val="hybridMultilevel"/>
    <w:lvl w:ilvl="0" w15:tentative="1">
      <w:start w:val="1"/>
      <w:numFmt w:val="decimal"/>
      <w:lvlText w:val="%1."/>
      <w:lvlJc w:val="left"/>
      <w:pPr>
        <w:ind w:left="560" w:hanging="360"/>
      </w:pPr>
    </w:lvl>
  </w:abstractNum>
  <w:abstractNum w:abstractNumId="17" w15:restartNumberingAfterBreak="0">
    <w:multiLevelType w:val="hybridMultilevel"/>
    <w:lvl w:ilvl="0" w15:tentative="1">
      <w:start w:val="1"/>
      <w:numFmt w:val="decimal"/>
      <w:lvlText w:val="%1."/>
      <w:lvlJc w:val="left"/>
      <w:pPr>
        <w:ind w:left="560" w:hanging="360"/>
      </w:pPr>
    </w:lvl>
  </w:abstractNum>
  <w:abstractNum w:abstractNumId="18" w15:restartNumberingAfterBreak="0">
    <w:multiLevelType w:val="hybridMultilevel"/>
    <w:lvl w:ilvl="0" w15:tentative="1">
      <w:start w:val="1"/>
      <w:numFmt w:val="decimal"/>
      <w:lvlText w:val="%1."/>
      <w:lvlJc w:val="left"/>
      <w:pPr>
        <w:ind w:left="560" w:hanging="360"/>
      </w:pPr>
    </w:lvl>
  </w:abstractNum>
  <w:abstractNum w:abstractNumId="19" w15:restartNumberingAfterBreak="0">
    <w:multiLevelType w:val="hybridMultilevel"/>
    <w:lvl w:ilvl="0" w15:tentative="1">
      <w:start w:val="1"/>
      <w:numFmt w:val="decimal"/>
      <w:lvlText w:val="%1."/>
      <w:lvlJc w:val="left"/>
      <w:pPr>
        <w:ind w:left="560" w:hanging="360"/>
      </w:pPr>
    </w:lvl>
  </w:abstractNum>
  <w:abstractNum w:abstractNumId="20" w15:restartNumberingAfterBreak="0">
    <w:multiLevelType w:val="hybridMultilevel"/>
    <w:lvl w:ilvl="0" w15:tentative="1">
      <w:start w:val="1"/>
      <w:numFmt w:val="decimal"/>
      <w:lvlText w:val="%1."/>
      <w:lvlJc w:val="left"/>
      <w:pPr>
        <w:ind w:left="560" w:hanging="360"/>
      </w:pPr>
    </w:lvl>
  </w:abstractNum>
  <w:abstractNum w:abstractNumId="21" w15:restartNumberingAfterBreak="0">
    <w:multiLevelType w:val="hybridMultilevel"/>
    <w:lvl w:ilvl="0" w15:tentative="1">
      <w:start w:val="1"/>
      <w:numFmt w:val="decimal"/>
      <w:lvlText w:val="%1."/>
      <w:lvlJc w:val="left"/>
      <w:pPr>
        <w:ind w:left="560" w:hanging="360"/>
      </w:pPr>
    </w:lvl>
  </w:abstractNum>
  <w:abstractNum w:abstractNumId="22" w15:restartNumberingAfterBreak="0">
    <w:multiLevelType w:val="hybridMultilevel"/>
    <w:lvl w:ilvl="0" w15:tentative="1">
      <w:start w:val="1"/>
      <w:numFmt w:val="decimal"/>
      <w:lvlText w:val="%1."/>
      <w:lvlJc w:val="left"/>
      <w:pPr>
        <w:ind w:left="560" w:hanging="360"/>
      </w:pPr>
    </w:lvl>
  </w:abstractNum>
  <w:abstractNum w:abstractNumId="23" w15:restartNumberingAfterBreak="0">
    <w:multiLevelType w:val="hybridMultilevel"/>
    <w:lvl w:ilvl="0" w15:tentative="1">
      <w:start w:val="1"/>
      <w:numFmt w:val="decimal"/>
      <w:lvlText w:val="%1."/>
      <w:lvlJc w:val="left"/>
      <w:pPr>
        <w:ind w:left="560" w:hanging="360"/>
      </w:pPr>
    </w:lvl>
  </w:abstractNum>
  <w:abstractNum w:abstractNumId="24" w15:restartNumberingAfterBreak="0">
    <w:multiLevelType w:val="hybridMultilevel"/>
    <w:lvl w:ilvl="0" w15:tentative="1">
      <w:start w:val="1"/>
      <w:numFmt w:val="decimal"/>
      <w:lvlText w:val="%1."/>
      <w:lvlJc w:val="left"/>
      <w:pPr>
        <w:ind w:left="560" w:hanging="360"/>
      </w:pPr>
    </w:lvl>
  </w:abstractNum>
  <w:abstractNum w:abstractNumId="25" w15:restartNumberingAfterBreak="0">
    <w:multiLevelType w:val="hybridMultilevel"/>
    <w:lvl w:ilvl="0" w15:tentative="1">
      <w:start w:val="1"/>
      <w:numFmt w:val="decimal"/>
      <w:lvlText w:val="%1."/>
      <w:lvlJc w:val="left"/>
      <w:pPr>
        <w:ind w:left="560" w:hanging="360"/>
      </w:pPr>
    </w:lvl>
  </w:abstractNum>
  <w:abstractNum w:abstractNumId="26" w15:restartNumberingAfterBreak="0">
    <w:multiLevelType w:val="hybridMultilevel"/>
    <w:lvl w:ilvl="0" w15:tentative="1">
      <w:start w:val="1"/>
      <w:numFmt w:val="decimal"/>
      <w:lvlText w:val="%1."/>
      <w:lvlJc w:val="left"/>
      <w:pPr>
        <w:ind w:left="560" w:hanging="360"/>
      </w:pPr>
    </w:lvl>
  </w:abstractNum>
  <w:abstractNum w:abstractNumId="27" w15:restartNumberingAfterBreak="0">
    <w:multiLevelType w:val="hybridMultilevel"/>
    <w:lvl w:ilvl="0" w15:tentative="1">
      <w:start w:val="1"/>
      <w:numFmt w:val="decimal"/>
      <w:lvlText w:val="%1."/>
      <w:lvlJc w:val="left"/>
      <w:pPr>
        <w:ind w:left="560" w:hanging="360"/>
      </w:pPr>
    </w:lvl>
  </w:abstractNum>
  <w:abstractNum w:abstractNumId="28" w15:restartNumberingAfterBreak="0">
    <w:multiLevelType w:val="hybridMultilevel"/>
    <w:lvl w:ilvl="0" w15:tentative="1">
      <w:start w:val="1"/>
      <w:numFmt w:val="decimal"/>
      <w:lvlText w:val="%1."/>
      <w:lvlJc w:val="left"/>
      <w:pPr>
        <w:ind w:left="560" w:hanging="360"/>
      </w:pPr>
    </w:lvl>
  </w:abstractNum>
  <w:abstractNum w:abstractNumId="29" w15:restartNumberingAfterBreak="0">
    <w:multiLevelType w:val="hybridMultilevel"/>
    <w:lvl w:ilvl="0" w15:tentative="1">
      <w:start w:val="1"/>
      <w:numFmt w:val="decimal"/>
      <w:lvlText w:val="%1."/>
      <w:lvlJc w:val="left"/>
      <w:pPr>
        <w:ind w:left="560" w:hanging="360"/>
      </w:pPr>
    </w:lvl>
  </w:abstractNum>
  <w:abstractNum w:abstractNumId="30" w15:restartNumberingAfterBreak="0">
    <w:multiLevelType w:val="hybridMultilevel"/>
    <w:lvl w:ilvl="0" w15:tentative="1">
      <w:start w:val="1"/>
      <w:numFmt w:val="decimal"/>
      <w:lvlText w:val="%1."/>
      <w:lvlJc w:val="left"/>
      <w:pPr>
        <w:ind w:left="560" w:hanging="360"/>
      </w:pPr>
    </w:lvl>
  </w:abstractNum>
  <w:abstractNum w:abstractNumId="31" w15:restartNumberingAfterBreak="0">
    <w:multiLevelType w:val="hybridMultilevel"/>
    <w:lvl w:ilvl="0" w15:tentative="1">
      <w:start w:val="1"/>
      <w:numFmt w:val="decimal"/>
      <w:lvlText w:val="%1."/>
      <w:lvlJc w:val="left"/>
      <w:pPr>
        <w:ind w:left="560" w:hanging="360"/>
      </w:pPr>
    </w:lvl>
  </w:abstractNum>
  <w:abstractNum w:abstractNumId="32" w15:restartNumberingAfterBreak="0">
    <w:multiLevelType w:val="hybridMultilevel"/>
    <w:lvl w:ilvl="0" w15:tentative="1">
      <w:start w:val="1"/>
      <w:numFmt w:val="decimal"/>
      <w:lvlText w:val="%1."/>
      <w:lvlJc w:val="left"/>
      <w:pPr>
        <w:ind w:left="56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BD5E1" w:sz="6" w:space="4"/>
      </w:pBdr>
      <w:spacing w:after="160" w:before="360"/>
      <w:outlineLvl w:val="0"/>
    </w:pPr>
    <w:rPr>
      <w:rFonts w:ascii="Calibri" w:cs="Calibri" w:eastAsia="Calibri" w:hAnsi="Calibri"/>
      <w:b/>
      <w:bCs/>
      <w:color w:val="1E3A5F"/>
      <w:sz w:val="20"/>
      <w:szCs w:val="20"/>
    </w:rPr>
  </w:style>
  <w:style w:type="paragraph" w:styleId="Heading2">
    <w:name w:val="Heading 2"/>
    <w:basedOn w:val="Normal"/>
    <w:next w:val="Normal"/>
    <w:qFormat/>
    <w:pPr>
      <w:spacing w:after="120" w:before="280"/>
      <w:outlineLvl w:val="1"/>
    </w:pPr>
    <w:rPr>
      <w:rFonts w:ascii="Calibri" w:cs="Calibri" w:eastAsia="Calibri" w:hAnsi="Calibri"/>
      <w:b/>
      <w:bCs/>
      <w:color w:val="1E3A5F"/>
      <w:sz w:val="20"/>
      <w:szCs w:val="20"/>
    </w:rPr>
  </w:style>
  <w:style w:type="paragraph" w:styleId="Heading3">
    <w:name w:val="Heading 3"/>
    <w:basedOn w:val="Normal"/>
    <w:next w:val="Normal"/>
    <w:qFormat/>
    <w:pPr>
      <w:spacing w:after="80" w:before="200"/>
      <w:outlineLvl w:val="2"/>
    </w:pPr>
    <w:rPr>
      <w:rFonts w:ascii="Calibri" w:cs="Calibri" w:eastAsia="Calibri" w:hAnsi="Calibri"/>
      <w:b/>
      <w:bCs/>
      <w:color w:val="D97706"/>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qhu8wet6rqstj33hpz3jc" Type="http://schemas.openxmlformats.org/officeDocument/2006/relationships/hyperlink" Target="https://aws.amazon.com/compliance/shared-responsibility-model/" TargetMode="External"/><Relationship Id="rIdgj-cglt6ljcxzl7xakphv" Type="http://schemas.openxmlformats.org/officeDocument/2006/relationships/hyperlink" Target="https://docs.aws.amazon.com/IAM/latest/UserGuide/best-practices.html" TargetMode="External"/><Relationship Id="rIdx59loc4hjg3m9pgvcnnqa" Type="http://schemas.openxmlformats.org/officeDocument/2006/relationships/hyperlink" Target="https://csrc.nist.gov/Pubs/sp/800/207/Final" TargetMode="External"/><Relationship Id="rIdw2wr2ut4zelu-6q2akilc" Type="http://schemas.openxmlformats.org/officeDocument/2006/relationships/hyperlink" Target="https://cyber.gouv.fr/enjeux-technologiques/cloud/" TargetMode="External"/><Relationship Id="rIdwgqj9u6qckf2awj-m0kf-" Type="http://schemas.openxmlformats.org/officeDocument/2006/relationships/hyperlink" Target="https://kubernetes.io/docs/concepts/security/secrets-good-practices/" TargetMode="External"/><Relationship Id="rIdotq1yqbyeefb2uz1wormj" Type="http://schemas.openxmlformats.org/officeDocument/2006/relationships/hyperlink" Target="https://archives.docs.gitlab.com/16.0/ee/user/application_security/secret_detection" TargetMode="External"/><Relationship Id="rIdzkac0nteuiipz350dsf7x" Type="http://schemas.openxmlformats.org/officeDocument/2006/relationships/hyperlink" Target="https://docs.gitlab.com/ee/ci/cloud_services" TargetMode="External"/><Relationship Id="rIdrf8mz-gpjqhpbqe2fx1z_" Type="http://schemas.openxmlformats.org/officeDocument/2006/relationships/hyperlink" Target="https://cyber.gouv.fr/" TargetMode="External"/><Relationship Id="rIdetemsxk5ymtcol6grbj3n" Type="http://schemas.openxmlformats.org/officeDocument/2006/relationships/hyperlink" Target="https://www.cisecurity.org/cis-benchmarks" TargetMode="External"/><Relationship Id="rIdopjcbth-2mauotddrdhij" Type="http://schemas.openxmlformats.org/officeDocument/2006/relationships/hyperlink" Target="https://owasp.org/" TargetMode="External"/><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Sécurité Cloud</dc:title>
  <dc:creator>Claude</dc:creator>
  <cp:lastModifiedBy>Un-named</cp:lastModifiedBy>
  <cp:revision>1</cp:revision>
  <dcterms:created xsi:type="dcterms:W3CDTF">2026-10-28T08:12:28.382Z</dcterms:created>
  <dcterms:modified xsi:type="dcterms:W3CDTF">2026-10-28T08:12:28.382Z</dcterms:modified>
</cp:coreProperties>
</file>

<file path=docProps/custom.xml><?xml version="1.0" encoding="utf-8"?>
<Properties xmlns="http://schemas.openxmlformats.org/officeDocument/2006/custom-properties" xmlns:vt="http://schemas.openxmlformats.org/officeDocument/2006/docPropsVTypes"/>
</file>