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97BF" w14:textId="77777777" w:rsidR="00C2047F" w:rsidRPr="001B7D6E" w:rsidRDefault="00A01582">
      <w:pPr>
        <w:spacing w:before="1200" w:after="100"/>
        <w:rPr>
          <w:lang w:val="en-US"/>
        </w:rPr>
      </w:pPr>
      <w:r w:rsidRPr="001B7D6E">
        <w:rPr>
          <w:b/>
          <w:bCs/>
          <w:color w:val="FF9900"/>
          <w:spacing w:val="20"/>
          <w:lang w:val="en-US"/>
        </w:rPr>
        <w:t>AWS FOR DEVOPS · INTRODUCTION</w:t>
      </w:r>
    </w:p>
    <w:p w14:paraId="2B0750EE" w14:textId="77777777" w:rsidR="00C2047F" w:rsidRPr="001B7D6E" w:rsidRDefault="00A01582">
      <w:pPr>
        <w:spacing w:after="200"/>
        <w:rPr>
          <w:lang w:val="en-US"/>
        </w:rPr>
      </w:pPr>
      <w:r w:rsidRPr="001B7D6E">
        <w:rPr>
          <w:rFonts w:ascii="Cambria" w:eastAsia="Cambria" w:hAnsi="Cambria" w:cs="Cambria"/>
          <w:b/>
          <w:bCs/>
          <w:color w:val="232F3E"/>
          <w:sz w:val="60"/>
          <w:szCs w:val="60"/>
          <w:lang w:val="en-US"/>
        </w:rPr>
        <w:t>Amazon Web Services</w:t>
      </w:r>
    </w:p>
    <w:p w14:paraId="52B88C6F" w14:textId="77777777" w:rsidR="00C2047F" w:rsidRDefault="00A01582">
      <w:pPr>
        <w:spacing w:after="300"/>
      </w:pPr>
      <w:r>
        <w:rPr>
          <w:i/>
          <w:iCs/>
          <w:color w:val="5A6472"/>
          <w:sz w:val="26"/>
          <w:szCs w:val="26"/>
        </w:rPr>
        <w:t>Qu'est-ce que c'est, à quoi ça sert, et comment ça marche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79CF67CF"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232F3E"/>
            <w:tcMar>
              <w:top w:w="200" w:type="dxa"/>
              <w:left w:w="250" w:type="dxa"/>
              <w:bottom w:w="200" w:type="dxa"/>
              <w:right w:w="250" w:type="dxa"/>
            </w:tcMar>
            <w:vAlign w:val="center"/>
          </w:tcPr>
          <w:p w14:paraId="0CF04D3A" w14:textId="77777777" w:rsidR="00C2047F" w:rsidRDefault="00A01582">
            <w:pPr>
              <w:spacing w:after="80"/>
            </w:pPr>
            <w:r>
              <w:rPr>
                <w:color w:val="FFFFFF"/>
              </w:rPr>
              <w:t>Support d'introduction : bases du cloud computing, organisation d'AWS et usages côté DevOps.</w:t>
            </w:r>
          </w:p>
        </w:tc>
      </w:tr>
    </w:tbl>
    <w:p w14:paraId="24CE63D1" w14:textId="77777777" w:rsidR="00C2047F" w:rsidRDefault="00C2047F">
      <w:pPr>
        <w:spacing w:after="300"/>
      </w:pPr>
    </w:p>
    <w:p w14:paraId="1CD806E5" w14:textId="77777777" w:rsidR="00C2047F" w:rsidRDefault="00A01582">
      <w:r>
        <w:rPr>
          <w:color w:val="5A6472"/>
          <w:sz w:val="20"/>
          <w:szCs w:val="20"/>
        </w:rPr>
        <w:t xml:space="preserve">Source : </w:t>
      </w:r>
      <w:hyperlink r:id="rId7" w:history="1">
        <w:r>
          <w:rPr>
            <w:color w:val="146EB4"/>
            <w:sz w:val="20"/>
            <w:szCs w:val="20"/>
            <w:u w:val="single"/>
          </w:rPr>
          <w:t>https://devopslesson.com/tutorials/aws/introduction-to-aws</w:t>
        </w:r>
      </w:hyperlink>
    </w:p>
    <w:p w14:paraId="268D3AFC" w14:textId="77777777" w:rsidR="00C2047F" w:rsidRDefault="00A01582">
      <w:r>
        <w:br w:type="page"/>
      </w:r>
    </w:p>
    <w:p w14:paraId="131CAD71" w14:textId="77777777" w:rsidR="00C2047F" w:rsidRDefault="00A01582">
      <w:pPr>
        <w:pStyle w:val="Titre1"/>
        <w:spacing w:before="200" w:after="200"/>
      </w:pPr>
      <w:r>
        <w:rPr>
          <w:b/>
          <w:bCs/>
          <w:color w:val="232F3E"/>
        </w:rPr>
        <w:lastRenderedPageBreak/>
        <w:t>1. Qu'est-ce qu'AWS, en termes simples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1B8C9773"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232F3E"/>
            <w:tcMar>
              <w:top w:w="200" w:type="dxa"/>
              <w:left w:w="250" w:type="dxa"/>
              <w:bottom w:w="200" w:type="dxa"/>
              <w:right w:w="250" w:type="dxa"/>
            </w:tcMar>
            <w:vAlign w:val="center"/>
          </w:tcPr>
          <w:p w14:paraId="4E367E00" w14:textId="77777777" w:rsidR="00C2047F" w:rsidRDefault="00A01582">
            <w:pPr>
              <w:spacing w:after="80"/>
            </w:pPr>
            <w:r>
              <w:rPr>
                <w:color w:val="FFFFFF"/>
              </w:rPr>
              <w:t>AWS est une plateforme de cloud computing qui permet de louer serveurs, stockage, bases de données et réseau à la demande, plutôt que d'acheter et de gérer son propre matériel.</w:t>
            </w:r>
          </w:p>
        </w:tc>
      </w:tr>
    </w:tbl>
    <w:p w14:paraId="7B9ADB42" w14:textId="77777777" w:rsidR="00C2047F" w:rsidRDefault="00C2047F">
      <w:pPr>
        <w:spacing w:after="200"/>
      </w:pPr>
    </w:p>
    <w:p w14:paraId="7EDA73ED" w14:textId="77777777" w:rsidR="00C2047F" w:rsidRDefault="00A01582">
      <w:pPr>
        <w:spacing w:after="160"/>
      </w:pPr>
      <w:r>
        <w:t>On paie uniquement ce que l'on consomme, on peut monter ou descendre en charge en quelques minutes, et Amazon gère les data centers sous-jacents. Amazon a lancé AWS publiquement en 2006, après avoir constaté que les outils construits pour ses propres équipes pouvaient aider d'autres entreprises à avancer plus vite. AWS est aujourd'hui le premier fournisseur cloud par part de marché.</w:t>
      </w:r>
    </w:p>
    <w:p w14:paraId="1D9E3C2B" w14:textId="77777777" w:rsidR="00C2047F" w:rsidRDefault="00A01582">
      <w:pPr>
        <w:pStyle w:val="Titre2"/>
        <w:spacing w:before="120" w:after="120"/>
      </w:pPr>
      <w:r>
        <w:rPr>
          <w:b/>
          <w:bCs/>
          <w:color w:val="232F3E"/>
        </w:rPr>
        <w:t>Avant vs avec AWS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C2047F" w14:paraId="0C264B67" w14:textId="77777777">
        <w:tblPrEx>
          <w:tblCellMar>
            <w:top w:w="0" w:type="dxa"/>
            <w:bottom w:w="0" w:type="dxa"/>
          </w:tblCellMar>
        </w:tblPrEx>
        <w:tc>
          <w:tcPr>
            <w:tcW w:w="4873" w:type="dxa"/>
            <w:shd w:val="clear" w:color="auto" w:fill="F2F3F5"/>
            <w:tcMar>
              <w:top w:w="150" w:type="dxa"/>
              <w:left w:w="200" w:type="dxa"/>
              <w:bottom w:w="150" w:type="dxa"/>
              <w:right w:w="200" w:type="dxa"/>
            </w:tcMar>
          </w:tcPr>
          <w:p w14:paraId="5A76F4D8" w14:textId="77777777" w:rsidR="00C2047F" w:rsidRDefault="00A01582">
            <w:pPr>
              <w:spacing w:after="120"/>
            </w:pPr>
            <w:r>
              <w:rPr>
                <w:b/>
                <w:bCs/>
                <w:color w:val="232F3E"/>
              </w:rPr>
              <w:t>Sans cloud</w:t>
            </w:r>
          </w:p>
          <w:p w14:paraId="209BD74A" w14:textId="77777777" w:rsidR="00C2047F" w:rsidRDefault="00A01582">
            <w:pPr>
              <w:spacing w:after="80"/>
            </w:pPr>
            <w:r>
              <w:t>Acheter le matériel</w:t>
            </w:r>
          </w:p>
          <w:p w14:paraId="159EFD0A" w14:textId="77777777" w:rsidR="00C2047F" w:rsidRDefault="00A01582">
            <w:pPr>
              <w:spacing w:after="80"/>
            </w:pPr>
            <w:r>
              <w:t>Installer en salle, refroidir, patcher</w:t>
            </w:r>
          </w:p>
          <w:p w14:paraId="0F5E233B" w14:textId="77777777" w:rsidR="00C2047F" w:rsidRDefault="00A01582">
            <w:pPr>
              <w:spacing w:after="80"/>
            </w:pPr>
            <w:r>
              <w:t>Remplacer en cas de panne</w:t>
            </w:r>
          </w:p>
          <w:p w14:paraId="297A438F" w14:textId="77777777" w:rsidR="00C2047F" w:rsidRDefault="00A01582">
            <w:pPr>
              <w:spacing w:after="80"/>
            </w:pPr>
            <w:r>
              <w:t>Semaines d'attente</w:t>
            </w:r>
          </w:p>
        </w:tc>
        <w:tc>
          <w:tcPr>
            <w:tcW w:w="4873" w:type="dxa"/>
            <w:shd w:val="clear" w:color="auto" w:fill="232F3E"/>
            <w:tcMar>
              <w:top w:w="150" w:type="dxa"/>
              <w:left w:w="200" w:type="dxa"/>
              <w:bottom w:w="150" w:type="dxa"/>
              <w:right w:w="200" w:type="dxa"/>
            </w:tcMar>
          </w:tcPr>
          <w:p w14:paraId="527E9678" w14:textId="77777777" w:rsidR="00C2047F" w:rsidRDefault="00A01582">
            <w:pPr>
              <w:spacing w:after="120"/>
            </w:pPr>
            <w:r>
              <w:rPr>
                <w:b/>
                <w:bCs/>
                <w:color w:val="FF9900"/>
              </w:rPr>
              <w:t>Avec AWS</w:t>
            </w:r>
          </w:p>
          <w:p w14:paraId="5D5F6B69" w14:textId="77777777" w:rsidR="00C2047F" w:rsidRDefault="00A01582">
            <w:pPr>
              <w:spacing w:after="80"/>
            </w:pPr>
            <w:r>
              <w:rPr>
                <w:color w:val="FFFFFF"/>
              </w:rPr>
              <w:t>Demande via API ou console</w:t>
            </w:r>
          </w:p>
          <w:p w14:paraId="30A8719D" w14:textId="77777777" w:rsidR="00C2047F" w:rsidRDefault="00A01582">
            <w:pPr>
              <w:spacing w:after="80"/>
            </w:pPr>
            <w:r>
              <w:rPr>
                <w:color w:val="FFFFFF"/>
              </w:rPr>
              <w:t>Serveur prêt en quelques secondes</w:t>
            </w:r>
          </w:p>
          <w:p w14:paraId="491B5F0A" w14:textId="77777777" w:rsidR="00C2047F" w:rsidRDefault="00A01582">
            <w:pPr>
              <w:spacing w:after="80"/>
            </w:pPr>
            <w:r>
              <w:rPr>
                <w:color w:val="FFFFFF"/>
              </w:rPr>
              <w:t>Maintenance gérée par AWS, redondance intégrée</w:t>
            </w:r>
          </w:p>
          <w:p w14:paraId="3A19D5A7" w14:textId="77777777" w:rsidR="00C2047F" w:rsidRDefault="00A01582">
            <w:pPr>
              <w:spacing w:after="80"/>
            </w:pPr>
            <w:r>
              <w:rPr>
                <w:color w:val="FFFFFF"/>
              </w:rPr>
              <w:t>On coupe la ressource = on ne paie plus</w:t>
            </w:r>
          </w:p>
        </w:tc>
      </w:tr>
    </w:tbl>
    <w:p w14:paraId="342758D4" w14:textId="77777777" w:rsidR="00C2047F" w:rsidRDefault="00C2047F">
      <w:pPr>
        <w:spacing w:after="300"/>
      </w:pPr>
    </w:p>
    <w:p w14:paraId="64878F83" w14:textId="77777777" w:rsidR="00C2047F" w:rsidRDefault="00A01582">
      <w:pPr>
        <w:pStyle w:val="Titre1"/>
        <w:spacing w:before="200" w:after="200"/>
      </w:pPr>
      <w:r>
        <w:rPr>
          <w:b/>
          <w:bCs/>
          <w:color w:val="232F3E"/>
        </w:rPr>
        <w:t>2. Trois avantages qui comptent immédiatement</w:t>
      </w:r>
    </w:p>
    <w:p w14:paraId="3F996DE8" w14:textId="77777777" w:rsidR="00C2047F" w:rsidRDefault="00A01582">
      <w:pPr>
        <w:spacing w:after="160"/>
      </w:pPr>
      <w:r>
        <w:t>Ce qui explique pourquoi les équipes techniques adoptent AWS pour leurs projets.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11F8920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F9900"/>
            <w:tcMar>
              <w:top w:w="200" w:type="dxa"/>
              <w:left w:w="250" w:type="dxa"/>
              <w:bottom w:w="200" w:type="dxa"/>
              <w:right w:w="250" w:type="dxa"/>
            </w:tcMar>
            <w:vAlign w:val="center"/>
          </w:tcPr>
          <w:p w14:paraId="7C1A2489" w14:textId="77777777" w:rsidR="00C2047F" w:rsidRDefault="00A01582">
            <w:pPr>
              <w:spacing w:after="80"/>
            </w:pPr>
            <w:r>
              <w:rPr>
                <w:b/>
                <w:bCs/>
                <w:color w:val="232F3E"/>
              </w:rPr>
              <w:t xml:space="preserve">1. Portée mondiale — </w:t>
            </w:r>
            <w:r>
              <w:rPr>
                <w:color w:val="232F3E"/>
              </w:rPr>
              <w:t>déployer au plus près des utilisateurs grâce à de nombreuses régions géographiques dans le monde.</w:t>
            </w:r>
          </w:p>
        </w:tc>
      </w:tr>
    </w:tbl>
    <w:p w14:paraId="0806227C" w14:textId="77777777" w:rsidR="00C2047F" w:rsidRDefault="00C2047F">
      <w:pPr>
        <w:spacing w:after="15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4A04F84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46EB4"/>
            <w:tcMar>
              <w:top w:w="200" w:type="dxa"/>
              <w:left w:w="250" w:type="dxa"/>
              <w:bottom w:w="200" w:type="dxa"/>
              <w:right w:w="250" w:type="dxa"/>
            </w:tcMar>
            <w:vAlign w:val="center"/>
          </w:tcPr>
          <w:p w14:paraId="6E6594A9" w14:textId="77777777" w:rsidR="00C2047F" w:rsidRDefault="00A01582">
            <w:pPr>
              <w:spacing w:after="80"/>
            </w:pPr>
            <w:r>
              <w:rPr>
                <w:b/>
                <w:bCs/>
                <w:color w:val="FFFFFF"/>
              </w:rPr>
              <w:t xml:space="preserve">2. Paiement à l'usage — </w:t>
            </w:r>
            <w:r>
              <w:rPr>
                <w:color w:val="FFFFFF"/>
              </w:rPr>
              <w:t>payer les heures de calcul, les requêtes, le stockage et le transfert consommés, sans matériel à acheter d'avance.</w:t>
            </w:r>
          </w:p>
        </w:tc>
      </w:tr>
    </w:tbl>
    <w:p w14:paraId="3BB59063" w14:textId="77777777" w:rsidR="00C2047F" w:rsidRDefault="00C2047F">
      <w:pPr>
        <w:spacing w:after="15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6D7CAEB8"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232F3E"/>
            <w:tcMar>
              <w:top w:w="200" w:type="dxa"/>
              <w:left w:w="250" w:type="dxa"/>
              <w:bottom w:w="200" w:type="dxa"/>
              <w:right w:w="250" w:type="dxa"/>
            </w:tcMar>
            <w:vAlign w:val="center"/>
          </w:tcPr>
          <w:p w14:paraId="3F710294" w14:textId="77777777" w:rsidR="00C2047F" w:rsidRDefault="00A01582">
            <w:pPr>
              <w:spacing w:after="80"/>
            </w:pPr>
            <w:r>
              <w:rPr>
                <w:b/>
                <w:bCs/>
                <w:color w:val="FFFFFF"/>
              </w:rPr>
              <w:t xml:space="preserve">3. Services managés — </w:t>
            </w:r>
            <w:r>
              <w:rPr>
                <w:color w:val="FFFFFF"/>
              </w:rPr>
              <w:t>AWS prend en charge les tâches indifférenciées : mise à jour des moteurs de base de données, plans de contrôle, remplacement du matériel défaillant.</w:t>
            </w:r>
          </w:p>
        </w:tc>
      </w:tr>
    </w:tbl>
    <w:p w14:paraId="6347C992" w14:textId="77777777" w:rsidR="00C2047F" w:rsidRDefault="00C2047F">
      <w:pPr>
        <w:spacing w:after="300"/>
      </w:pPr>
    </w:p>
    <w:p w14:paraId="540CC246" w14:textId="77777777" w:rsidR="00C2047F" w:rsidRDefault="00A01582">
      <w:pPr>
        <w:pStyle w:val="Titre1"/>
        <w:spacing w:before="200" w:after="200"/>
      </w:pPr>
      <w:r>
        <w:rPr>
          <w:b/>
          <w:bCs/>
          <w:color w:val="232F3E"/>
        </w:rPr>
        <w:t>3. Comment AWS est organisé : Régions et zones de disponibilité</w:t>
      </w:r>
    </w:p>
    <w:p w14:paraId="0885E847" w14:textId="77777777" w:rsidR="00C2047F" w:rsidRDefault="00A01582">
      <w:pPr>
        <w:spacing w:after="160"/>
      </w:pPr>
      <w:r>
        <w:t>Une Région est une zone géographique (par exemple eu-west-1, en Irlande). Chaque Région contient plusieurs zones de disponibilité (AZ) : des centres de données isolés, avec alimentation et réseau indépendants. Faire tourner une application sur au moins deux AZ est la base de la haute disponibilité sur AWS : si une zone tombe, les autres continuent de servir le trafic.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372244DD" w14:textId="77777777">
        <w:tblPrEx>
          <w:tblCellMar>
            <w:top w:w="0" w:type="dxa"/>
            <w:bottom w:w="0" w:type="dxa"/>
          </w:tblCellMar>
        </w:tblPrEx>
        <w:tc>
          <w:tcPr>
            <w:tcW w:w="9746" w:type="dxa"/>
            <w:tcBorders>
              <w:top w:val="dashed" w:sz="16" w:space="0" w:color="FF9900"/>
              <w:left w:val="dashed" w:sz="16" w:space="0" w:color="FF9900"/>
              <w:bottom w:val="dashed" w:sz="16" w:space="0" w:color="FF9900"/>
              <w:right w:val="dashed" w:sz="16" w:space="0" w:color="FF9900"/>
            </w:tcBorders>
            <w:shd w:val="clear" w:color="auto" w:fill="2E3B4E"/>
            <w:tcMar>
              <w:top w:w="250" w:type="dxa"/>
              <w:left w:w="250" w:type="dxa"/>
              <w:bottom w:w="250" w:type="dxa"/>
              <w:right w:w="250" w:type="dxa"/>
            </w:tcMar>
          </w:tcPr>
          <w:p w14:paraId="142C8E0A" w14:textId="77777777" w:rsidR="00C2047F" w:rsidRDefault="00A01582">
            <w:pPr>
              <w:spacing w:after="200"/>
            </w:pPr>
            <w:r>
              <w:rPr>
                <w:b/>
                <w:bCs/>
                <w:color w:val="FF9900"/>
              </w:rPr>
              <w:lastRenderedPageBreak/>
              <w:t>RÉGION — eu-west-1 (Irlande)</w:t>
            </w:r>
          </w:p>
          <w:tbl>
            <w:tblP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6"/>
              <w:gridCol w:w="3015"/>
              <w:gridCol w:w="3015"/>
            </w:tblGrid>
            <w:tr w:rsidR="00C2047F" w14:paraId="0FB6188F" w14:textId="77777777">
              <w:tblPrEx>
                <w:tblCellMar>
                  <w:top w:w="0" w:type="dxa"/>
                  <w:bottom w:w="0" w:type="dxa"/>
                </w:tblCellMar>
              </w:tblPrEx>
              <w:tc>
                <w:tcPr>
                  <w:tcW w:w="3015" w:type="dxa"/>
                  <w:tcBorders>
                    <w:top w:val="single" w:sz="6" w:space="0" w:color="FFFFFF"/>
                    <w:left w:val="single" w:sz="6" w:space="0" w:color="FFFFFF"/>
                    <w:bottom w:val="single" w:sz="6" w:space="0" w:color="FFFFFF"/>
                    <w:right w:val="single" w:sz="6" w:space="0" w:color="FFFFFF"/>
                  </w:tcBorders>
                  <w:shd w:val="clear" w:color="auto" w:fill="146EB4"/>
                  <w:tcMar>
                    <w:top w:w="150" w:type="dxa"/>
                    <w:left w:w="150" w:type="dxa"/>
                    <w:bottom w:w="150" w:type="dxa"/>
                    <w:right w:w="150" w:type="dxa"/>
                  </w:tcMar>
                </w:tcPr>
                <w:p w14:paraId="0C51C97D" w14:textId="77777777" w:rsidR="00C2047F" w:rsidRDefault="00A01582">
                  <w:pPr>
                    <w:spacing w:after="100"/>
                  </w:pPr>
                  <w:r>
                    <w:rPr>
                      <w:b/>
                      <w:bCs/>
                      <w:color w:val="FFFFFF"/>
                      <w:sz w:val="19"/>
                      <w:szCs w:val="19"/>
                    </w:rPr>
                    <w:t>Zone de disponibilité 1</w:t>
                  </w:r>
                </w:p>
                <w:p w14:paraId="38AB6833" w14:textId="77777777" w:rsidR="00C2047F" w:rsidRDefault="00A01582">
                  <w:pPr>
                    <w:spacing w:after="40"/>
                  </w:pPr>
                  <w:r>
                    <w:rPr>
                      <w:color w:val="E6F0FA"/>
                      <w:sz w:val="18"/>
                      <w:szCs w:val="18"/>
                    </w:rPr>
                    <w:t>Centre de données</w:t>
                  </w:r>
                </w:p>
                <w:p w14:paraId="22C93150" w14:textId="77777777" w:rsidR="00C2047F" w:rsidRDefault="00A01582">
                  <w:pPr>
                    <w:spacing w:after="40"/>
                  </w:pPr>
                  <w:r>
                    <w:rPr>
                      <w:color w:val="E6F0FA"/>
                      <w:sz w:val="18"/>
                      <w:szCs w:val="18"/>
                    </w:rPr>
                    <w:t>Alimentation indépendante</w:t>
                  </w:r>
                </w:p>
                <w:p w14:paraId="1B759A2A" w14:textId="77777777" w:rsidR="00C2047F" w:rsidRDefault="00A01582">
                  <w:r>
                    <w:rPr>
                      <w:color w:val="E6F0FA"/>
                      <w:sz w:val="18"/>
                      <w:szCs w:val="18"/>
                    </w:rPr>
                    <w:t>Réseau indépendant</w:t>
                  </w:r>
                </w:p>
              </w:tc>
              <w:tc>
                <w:tcPr>
                  <w:tcW w:w="3015" w:type="dxa"/>
                  <w:tcBorders>
                    <w:top w:val="single" w:sz="6" w:space="0" w:color="FFFFFF"/>
                    <w:left w:val="single" w:sz="6" w:space="0" w:color="FFFFFF"/>
                    <w:bottom w:val="single" w:sz="6" w:space="0" w:color="FFFFFF"/>
                    <w:right w:val="single" w:sz="6" w:space="0" w:color="FFFFFF"/>
                  </w:tcBorders>
                  <w:shd w:val="clear" w:color="auto" w:fill="146EB4"/>
                  <w:tcMar>
                    <w:top w:w="150" w:type="dxa"/>
                    <w:left w:w="150" w:type="dxa"/>
                    <w:bottom w:w="150" w:type="dxa"/>
                    <w:right w:w="150" w:type="dxa"/>
                  </w:tcMar>
                </w:tcPr>
                <w:p w14:paraId="09A7F768" w14:textId="77777777" w:rsidR="00C2047F" w:rsidRDefault="00A01582">
                  <w:pPr>
                    <w:spacing w:after="100"/>
                  </w:pPr>
                  <w:r>
                    <w:rPr>
                      <w:b/>
                      <w:bCs/>
                      <w:color w:val="FFFFFF"/>
                      <w:sz w:val="19"/>
                      <w:szCs w:val="19"/>
                    </w:rPr>
                    <w:t>Zone de disponibilité 2</w:t>
                  </w:r>
                </w:p>
                <w:p w14:paraId="0BCB0276" w14:textId="77777777" w:rsidR="00C2047F" w:rsidRDefault="00A01582">
                  <w:pPr>
                    <w:spacing w:after="40"/>
                  </w:pPr>
                  <w:r>
                    <w:rPr>
                      <w:color w:val="E6F0FA"/>
                      <w:sz w:val="18"/>
                      <w:szCs w:val="18"/>
                    </w:rPr>
                    <w:t>Centre de données</w:t>
                  </w:r>
                </w:p>
                <w:p w14:paraId="062A2CC2" w14:textId="77777777" w:rsidR="00C2047F" w:rsidRDefault="00A01582">
                  <w:pPr>
                    <w:spacing w:after="40"/>
                  </w:pPr>
                  <w:r>
                    <w:rPr>
                      <w:color w:val="E6F0FA"/>
                      <w:sz w:val="18"/>
                      <w:szCs w:val="18"/>
                    </w:rPr>
                    <w:t>Alimentation indépendante</w:t>
                  </w:r>
                </w:p>
                <w:p w14:paraId="1B03B152" w14:textId="77777777" w:rsidR="00C2047F" w:rsidRDefault="00A01582">
                  <w:r>
                    <w:rPr>
                      <w:color w:val="E6F0FA"/>
                      <w:sz w:val="18"/>
                      <w:szCs w:val="18"/>
                    </w:rPr>
                    <w:t>Réseau indépendant</w:t>
                  </w:r>
                </w:p>
              </w:tc>
              <w:tc>
                <w:tcPr>
                  <w:tcW w:w="3015" w:type="dxa"/>
                  <w:tcBorders>
                    <w:top w:val="single" w:sz="6" w:space="0" w:color="FFFFFF"/>
                    <w:left w:val="single" w:sz="6" w:space="0" w:color="FFFFFF"/>
                    <w:bottom w:val="single" w:sz="6" w:space="0" w:color="FFFFFF"/>
                    <w:right w:val="single" w:sz="6" w:space="0" w:color="FFFFFF"/>
                  </w:tcBorders>
                  <w:shd w:val="clear" w:color="auto" w:fill="146EB4"/>
                  <w:tcMar>
                    <w:top w:w="150" w:type="dxa"/>
                    <w:left w:w="150" w:type="dxa"/>
                    <w:bottom w:w="150" w:type="dxa"/>
                    <w:right w:w="150" w:type="dxa"/>
                  </w:tcMar>
                </w:tcPr>
                <w:p w14:paraId="77B65C05" w14:textId="77777777" w:rsidR="00C2047F" w:rsidRDefault="00A01582">
                  <w:pPr>
                    <w:spacing w:after="100"/>
                  </w:pPr>
                  <w:r>
                    <w:rPr>
                      <w:b/>
                      <w:bCs/>
                      <w:color w:val="FFFFFF"/>
                      <w:sz w:val="19"/>
                      <w:szCs w:val="19"/>
                    </w:rPr>
                    <w:t>Zone de disponibilité 3</w:t>
                  </w:r>
                </w:p>
                <w:p w14:paraId="29F525BA" w14:textId="77777777" w:rsidR="00C2047F" w:rsidRDefault="00A01582">
                  <w:pPr>
                    <w:spacing w:after="40"/>
                  </w:pPr>
                  <w:r>
                    <w:rPr>
                      <w:color w:val="E6F0FA"/>
                      <w:sz w:val="18"/>
                      <w:szCs w:val="18"/>
                    </w:rPr>
                    <w:t>Centre de données</w:t>
                  </w:r>
                </w:p>
                <w:p w14:paraId="3CB5186D" w14:textId="77777777" w:rsidR="00C2047F" w:rsidRDefault="00A01582">
                  <w:pPr>
                    <w:spacing w:after="40"/>
                  </w:pPr>
                  <w:r>
                    <w:rPr>
                      <w:color w:val="E6F0FA"/>
                      <w:sz w:val="18"/>
                      <w:szCs w:val="18"/>
                    </w:rPr>
                    <w:t>Alimentation indépendante</w:t>
                  </w:r>
                </w:p>
                <w:p w14:paraId="0A76EEDC" w14:textId="77777777" w:rsidR="00C2047F" w:rsidRDefault="00A01582">
                  <w:r>
                    <w:rPr>
                      <w:color w:val="E6F0FA"/>
                      <w:sz w:val="18"/>
                      <w:szCs w:val="18"/>
                    </w:rPr>
                    <w:t>Réseau indépendant</w:t>
                  </w:r>
                </w:p>
              </w:tc>
            </w:tr>
          </w:tbl>
          <w:p w14:paraId="57D8E6FC" w14:textId="77777777" w:rsidR="00C2047F" w:rsidRDefault="00C2047F"/>
        </w:tc>
      </w:tr>
    </w:tbl>
    <w:p w14:paraId="38B89AAB" w14:textId="77777777" w:rsidR="00C2047F" w:rsidRDefault="00C2047F">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63B0F17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3A2A1E"/>
            <w:tcMar>
              <w:top w:w="200" w:type="dxa"/>
              <w:left w:w="250" w:type="dxa"/>
              <w:bottom w:w="200" w:type="dxa"/>
              <w:right w:w="250" w:type="dxa"/>
            </w:tcMar>
            <w:vAlign w:val="center"/>
          </w:tcPr>
          <w:p w14:paraId="1D12576F" w14:textId="77777777" w:rsidR="00C2047F" w:rsidRDefault="00A01582">
            <w:pPr>
              <w:spacing w:after="80"/>
            </w:pPr>
            <w:r>
              <w:rPr>
                <w:b/>
                <w:bCs/>
                <w:i/>
                <w:iCs/>
                <w:color w:val="F9E795"/>
              </w:rPr>
              <w:t xml:space="preserve">À éviter : </w:t>
            </w:r>
            <w:r>
              <w:rPr>
                <w:i/>
                <w:iCs/>
                <w:color w:val="F9E795"/>
              </w:rPr>
              <w:t>tout lancer dans une seule AZ (aucune résilience), ou déployer par erreur dans la mauvaise Région.</w:t>
            </w:r>
          </w:p>
        </w:tc>
      </w:tr>
    </w:tbl>
    <w:p w14:paraId="162C98FC" w14:textId="77777777" w:rsidR="00C2047F" w:rsidRDefault="00C2047F">
      <w:pPr>
        <w:spacing w:after="300"/>
      </w:pPr>
    </w:p>
    <w:p w14:paraId="47F5AFD9" w14:textId="77777777" w:rsidR="00C2047F" w:rsidRDefault="00A01582">
      <w:pPr>
        <w:pStyle w:val="Titre1"/>
        <w:spacing w:before="200" w:after="200"/>
      </w:pPr>
      <w:r>
        <w:rPr>
          <w:b/>
          <w:bCs/>
          <w:color w:val="232F3E"/>
        </w:rPr>
        <w:t>4. Les grandes catégories de services AWS</w:t>
      </w:r>
    </w:p>
    <w:p w14:paraId="3767E96E" w14:textId="77777777" w:rsidR="00C2047F" w:rsidRDefault="00A01582">
      <w:pPr>
        <w:spacing w:after="160"/>
      </w:pPr>
      <w:r>
        <w:t>AWS offre des niveaux d'abstraction : EC2 se rapproche d'un serveur classique, Lambda supprime presque toute gestion de serveur, S3 expose du stockage d'objets durable via API. Le bon choix dépend du niveau de contrôle souhaité par rapport à l'effort opérationnel que l'on veut éviter.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946"/>
      </w:tblGrid>
      <w:tr w:rsidR="00C2047F" w14:paraId="00D04589" w14:textId="77777777">
        <w:tblPrEx>
          <w:tblCellMar>
            <w:top w:w="0" w:type="dxa"/>
            <w:bottom w:w="0" w:type="dxa"/>
          </w:tblCellMar>
        </w:tblPrEx>
        <w:trPr>
          <w:tblHeader/>
        </w:trPr>
        <w:tc>
          <w:tcPr>
            <w:tcW w:w="2200" w:type="dxa"/>
            <w:shd w:val="clear" w:color="auto" w:fill="232F3E"/>
            <w:tcMar>
              <w:top w:w="120" w:type="dxa"/>
              <w:left w:w="150" w:type="dxa"/>
              <w:bottom w:w="120" w:type="dxa"/>
              <w:right w:w="150" w:type="dxa"/>
            </w:tcMar>
            <w:vAlign w:val="center"/>
          </w:tcPr>
          <w:p w14:paraId="2872F362" w14:textId="77777777" w:rsidR="00C2047F" w:rsidRDefault="00A01582">
            <w:r>
              <w:rPr>
                <w:b/>
                <w:bCs/>
                <w:color w:val="FFFFFF"/>
                <w:sz w:val="21"/>
                <w:szCs w:val="21"/>
              </w:rPr>
              <w:t>Catégorie</w:t>
            </w:r>
          </w:p>
        </w:tc>
        <w:tc>
          <w:tcPr>
            <w:tcW w:w="3600" w:type="dxa"/>
            <w:shd w:val="clear" w:color="auto" w:fill="232F3E"/>
            <w:tcMar>
              <w:top w:w="120" w:type="dxa"/>
              <w:left w:w="150" w:type="dxa"/>
              <w:bottom w:w="120" w:type="dxa"/>
              <w:right w:w="150" w:type="dxa"/>
            </w:tcMar>
            <w:vAlign w:val="center"/>
          </w:tcPr>
          <w:p w14:paraId="5CEFC8F2" w14:textId="77777777" w:rsidR="00C2047F" w:rsidRDefault="00A01582">
            <w:r>
              <w:rPr>
                <w:b/>
                <w:bCs/>
                <w:color w:val="FFFFFF"/>
                <w:sz w:val="21"/>
                <w:szCs w:val="21"/>
              </w:rPr>
              <w:t>Exemples de services</w:t>
            </w:r>
          </w:p>
        </w:tc>
        <w:tc>
          <w:tcPr>
            <w:tcW w:w="3946" w:type="dxa"/>
            <w:shd w:val="clear" w:color="auto" w:fill="232F3E"/>
            <w:tcMar>
              <w:top w:w="120" w:type="dxa"/>
              <w:left w:w="150" w:type="dxa"/>
              <w:bottom w:w="120" w:type="dxa"/>
              <w:right w:w="150" w:type="dxa"/>
            </w:tcMar>
            <w:vAlign w:val="center"/>
          </w:tcPr>
          <w:p w14:paraId="75FCDDA7" w14:textId="77777777" w:rsidR="00C2047F" w:rsidRDefault="00A01582">
            <w:r>
              <w:rPr>
                <w:b/>
                <w:bCs/>
                <w:color w:val="FFFFFF"/>
                <w:sz w:val="21"/>
                <w:szCs w:val="21"/>
              </w:rPr>
              <w:t>Usage typique en DevOps</w:t>
            </w:r>
          </w:p>
        </w:tc>
      </w:tr>
      <w:tr w:rsidR="00C2047F" w14:paraId="60384040" w14:textId="77777777">
        <w:tblPrEx>
          <w:tblCellMar>
            <w:top w:w="0" w:type="dxa"/>
            <w:bottom w:w="0" w:type="dxa"/>
          </w:tblCellMar>
        </w:tblPrEx>
        <w:tc>
          <w:tcPr>
            <w:tcW w:w="2200" w:type="dxa"/>
            <w:shd w:val="clear" w:color="auto" w:fill="146EB4"/>
            <w:tcMar>
              <w:top w:w="120" w:type="dxa"/>
              <w:left w:w="150" w:type="dxa"/>
              <w:bottom w:w="120" w:type="dxa"/>
              <w:right w:w="150" w:type="dxa"/>
            </w:tcMar>
            <w:vAlign w:val="center"/>
          </w:tcPr>
          <w:p w14:paraId="5108419B" w14:textId="77777777" w:rsidR="00C2047F" w:rsidRDefault="00A01582">
            <w:r>
              <w:rPr>
                <w:b/>
                <w:bCs/>
                <w:color w:val="FFFFFF"/>
                <w:sz w:val="20"/>
                <w:szCs w:val="20"/>
              </w:rPr>
              <w:t>Compute</w:t>
            </w:r>
          </w:p>
        </w:tc>
        <w:tc>
          <w:tcPr>
            <w:tcW w:w="3600" w:type="dxa"/>
            <w:shd w:val="clear" w:color="auto" w:fill="F2F3F5"/>
            <w:tcMar>
              <w:top w:w="120" w:type="dxa"/>
              <w:left w:w="150" w:type="dxa"/>
              <w:bottom w:w="120" w:type="dxa"/>
              <w:right w:w="150" w:type="dxa"/>
            </w:tcMar>
            <w:vAlign w:val="center"/>
          </w:tcPr>
          <w:p w14:paraId="44C9B0ED" w14:textId="77777777" w:rsidR="00C2047F" w:rsidRDefault="00A01582">
            <w:r>
              <w:rPr>
                <w:sz w:val="20"/>
                <w:szCs w:val="20"/>
              </w:rPr>
              <w:t>EC2, Lambda, ECS, EKS</w:t>
            </w:r>
          </w:p>
        </w:tc>
        <w:tc>
          <w:tcPr>
            <w:tcW w:w="3946" w:type="dxa"/>
            <w:shd w:val="clear" w:color="auto" w:fill="F2F3F5"/>
            <w:tcMar>
              <w:top w:w="120" w:type="dxa"/>
              <w:left w:w="150" w:type="dxa"/>
              <w:bottom w:w="120" w:type="dxa"/>
              <w:right w:w="150" w:type="dxa"/>
            </w:tcMar>
            <w:vAlign w:val="center"/>
          </w:tcPr>
          <w:p w14:paraId="08953C55" w14:textId="77777777" w:rsidR="00C2047F" w:rsidRDefault="00A01582">
            <w:r>
              <w:rPr>
                <w:sz w:val="20"/>
                <w:szCs w:val="20"/>
              </w:rPr>
              <w:t>Exécuter applications, jobs et conteneurs</w:t>
            </w:r>
          </w:p>
        </w:tc>
      </w:tr>
      <w:tr w:rsidR="00C2047F" w14:paraId="6811F12D" w14:textId="77777777">
        <w:tblPrEx>
          <w:tblCellMar>
            <w:top w:w="0" w:type="dxa"/>
            <w:bottom w:w="0" w:type="dxa"/>
          </w:tblCellMar>
        </w:tblPrEx>
        <w:tc>
          <w:tcPr>
            <w:tcW w:w="2200" w:type="dxa"/>
            <w:shd w:val="clear" w:color="auto" w:fill="146EB4"/>
            <w:tcMar>
              <w:top w:w="120" w:type="dxa"/>
              <w:left w:w="150" w:type="dxa"/>
              <w:bottom w:w="120" w:type="dxa"/>
              <w:right w:w="150" w:type="dxa"/>
            </w:tcMar>
            <w:vAlign w:val="center"/>
          </w:tcPr>
          <w:p w14:paraId="6905BA01" w14:textId="77777777" w:rsidR="00C2047F" w:rsidRDefault="00A01582">
            <w:r>
              <w:rPr>
                <w:b/>
                <w:bCs/>
                <w:color w:val="FFFFFF"/>
                <w:sz w:val="20"/>
                <w:szCs w:val="20"/>
              </w:rPr>
              <w:t>Stockage</w:t>
            </w:r>
          </w:p>
        </w:tc>
        <w:tc>
          <w:tcPr>
            <w:tcW w:w="3600" w:type="dxa"/>
            <w:shd w:val="clear" w:color="auto" w:fill="FFFFFF"/>
            <w:tcMar>
              <w:top w:w="120" w:type="dxa"/>
              <w:left w:w="150" w:type="dxa"/>
              <w:bottom w:w="120" w:type="dxa"/>
              <w:right w:w="150" w:type="dxa"/>
            </w:tcMar>
            <w:vAlign w:val="center"/>
          </w:tcPr>
          <w:p w14:paraId="1BBDA1A4" w14:textId="77777777" w:rsidR="00C2047F" w:rsidRDefault="00A01582">
            <w:r>
              <w:rPr>
                <w:sz w:val="20"/>
                <w:szCs w:val="20"/>
              </w:rPr>
              <w:t>S3, EBS, EFS</w:t>
            </w:r>
          </w:p>
        </w:tc>
        <w:tc>
          <w:tcPr>
            <w:tcW w:w="3946" w:type="dxa"/>
            <w:shd w:val="clear" w:color="auto" w:fill="FFFFFF"/>
            <w:tcMar>
              <w:top w:w="120" w:type="dxa"/>
              <w:left w:w="150" w:type="dxa"/>
              <w:bottom w:w="120" w:type="dxa"/>
              <w:right w:w="150" w:type="dxa"/>
            </w:tcMar>
            <w:vAlign w:val="center"/>
          </w:tcPr>
          <w:p w14:paraId="54EECBEC" w14:textId="77777777" w:rsidR="00C2047F" w:rsidRDefault="00A01582">
            <w:r>
              <w:rPr>
                <w:sz w:val="20"/>
                <w:szCs w:val="20"/>
              </w:rPr>
              <w:t>Stocker artefacts, sauvegardes, logs, fichiers</w:t>
            </w:r>
          </w:p>
        </w:tc>
      </w:tr>
      <w:tr w:rsidR="00C2047F" w14:paraId="57D72F24" w14:textId="77777777">
        <w:tblPrEx>
          <w:tblCellMar>
            <w:top w:w="0" w:type="dxa"/>
            <w:bottom w:w="0" w:type="dxa"/>
          </w:tblCellMar>
        </w:tblPrEx>
        <w:tc>
          <w:tcPr>
            <w:tcW w:w="2200" w:type="dxa"/>
            <w:shd w:val="clear" w:color="auto" w:fill="146EB4"/>
            <w:tcMar>
              <w:top w:w="120" w:type="dxa"/>
              <w:left w:w="150" w:type="dxa"/>
              <w:bottom w:w="120" w:type="dxa"/>
              <w:right w:w="150" w:type="dxa"/>
            </w:tcMar>
            <w:vAlign w:val="center"/>
          </w:tcPr>
          <w:p w14:paraId="135E4064" w14:textId="77777777" w:rsidR="00C2047F" w:rsidRDefault="00A01582">
            <w:r>
              <w:rPr>
                <w:b/>
                <w:bCs/>
                <w:color w:val="FFFFFF"/>
                <w:sz w:val="20"/>
                <w:szCs w:val="20"/>
              </w:rPr>
              <w:t>Réseau</w:t>
            </w:r>
          </w:p>
        </w:tc>
        <w:tc>
          <w:tcPr>
            <w:tcW w:w="3600" w:type="dxa"/>
            <w:shd w:val="clear" w:color="auto" w:fill="F2F3F5"/>
            <w:tcMar>
              <w:top w:w="120" w:type="dxa"/>
              <w:left w:w="150" w:type="dxa"/>
              <w:bottom w:w="120" w:type="dxa"/>
              <w:right w:w="150" w:type="dxa"/>
            </w:tcMar>
            <w:vAlign w:val="center"/>
          </w:tcPr>
          <w:p w14:paraId="21D8E52B" w14:textId="77777777" w:rsidR="00C2047F" w:rsidRDefault="00A01582">
            <w:r>
              <w:rPr>
                <w:sz w:val="20"/>
                <w:szCs w:val="20"/>
              </w:rPr>
              <w:t>VPC, Route 53, ELB, CloudFront</w:t>
            </w:r>
          </w:p>
        </w:tc>
        <w:tc>
          <w:tcPr>
            <w:tcW w:w="3946" w:type="dxa"/>
            <w:shd w:val="clear" w:color="auto" w:fill="F2F3F5"/>
            <w:tcMar>
              <w:top w:w="120" w:type="dxa"/>
              <w:left w:w="150" w:type="dxa"/>
              <w:bottom w:w="120" w:type="dxa"/>
              <w:right w:w="150" w:type="dxa"/>
            </w:tcMar>
            <w:vAlign w:val="center"/>
          </w:tcPr>
          <w:p w14:paraId="18DC55E0" w14:textId="77777777" w:rsidR="00C2047F" w:rsidRDefault="00A01582">
            <w:r>
              <w:rPr>
                <w:sz w:val="20"/>
                <w:szCs w:val="20"/>
              </w:rPr>
              <w:t>Connecter les services et distribuer le trafic</w:t>
            </w:r>
          </w:p>
        </w:tc>
      </w:tr>
      <w:tr w:rsidR="00C2047F" w14:paraId="35601D4D" w14:textId="77777777">
        <w:tblPrEx>
          <w:tblCellMar>
            <w:top w:w="0" w:type="dxa"/>
            <w:bottom w:w="0" w:type="dxa"/>
          </w:tblCellMar>
        </w:tblPrEx>
        <w:tc>
          <w:tcPr>
            <w:tcW w:w="2200" w:type="dxa"/>
            <w:shd w:val="clear" w:color="auto" w:fill="146EB4"/>
            <w:tcMar>
              <w:top w:w="120" w:type="dxa"/>
              <w:left w:w="150" w:type="dxa"/>
              <w:bottom w:w="120" w:type="dxa"/>
              <w:right w:w="150" w:type="dxa"/>
            </w:tcMar>
            <w:vAlign w:val="center"/>
          </w:tcPr>
          <w:p w14:paraId="75385DD4" w14:textId="77777777" w:rsidR="00C2047F" w:rsidRDefault="00A01582">
            <w:r>
              <w:rPr>
                <w:b/>
                <w:bCs/>
                <w:color w:val="FFFFFF"/>
                <w:sz w:val="20"/>
                <w:szCs w:val="20"/>
              </w:rPr>
              <w:t>Bases de données</w:t>
            </w:r>
          </w:p>
        </w:tc>
        <w:tc>
          <w:tcPr>
            <w:tcW w:w="3600" w:type="dxa"/>
            <w:shd w:val="clear" w:color="auto" w:fill="FFFFFF"/>
            <w:tcMar>
              <w:top w:w="120" w:type="dxa"/>
              <w:left w:w="150" w:type="dxa"/>
              <w:bottom w:w="120" w:type="dxa"/>
              <w:right w:w="150" w:type="dxa"/>
            </w:tcMar>
            <w:vAlign w:val="center"/>
          </w:tcPr>
          <w:p w14:paraId="0E74817C" w14:textId="77777777" w:rsidR="00C2047F" w:rsidRDefault="00A01582">
            <w:r>
              <w:rPr>
                <w:sz w:val="20"/>
                <w:szCs w:val="20"/>
              </w:rPr>
              <w:t>RDS, DynamoDB, ElastiCache</w:t>
            </w:r>
          </w:p>
        </w:tc>
        <w:tc>
          <w:tcPr>
            <w:tcW w:w="3946" w:type="dxa"/>
            <w:shd w:val="clear" w:color="auto" w:fill="FFFFFF"/>
            <w:tcMar>
              <w:top w:w="120" w:type="dxa"/>
              <w:left w:w="150" w:type="dxa"/>
              <w:bottom w:w="120" w:type="dxa"/>
              <w:right w:w="150" w:type="dxa"/>
            </w:tcMar>
            <w:vAlign w:val="center"/>
          </w:tcPr>
          <w:p w14:paraId="26982214" w14:textId="77777777" w:rsidR="00C2047F" w:rsidRDefault="00A01582">
            <w:r>
              <w:rPr>
                <w:sz w:val="20"/>
                <w:szCs w:val="20"/>
              </w:rPr>
              <w:t>Persister les données transactionnelles et le cache</w:t>
            </w:r>
          </w:p>
        </w:tc>
      </w:tr>
      <w:tr w:rsidR="00C2047F" w14:paraId="5879145D" w14:textId="77777777">
        <w:tblPrEx>
          <w:tblCellMar>
            <w:top w:w="0" w:type="dxa"/>
            <w:bottom w:w="0" w:type="dxa"/>
          </w:tblCellMar>
        </w:tblPrEx>
        <w:tc>
          <w:tcPr>
            <w:tcW w:w="2200" w:type="dxa"/>
            <w:shd w:val="clear" w:color="auto" w:fill="146EB4"/>
            <w:tcMar>
              <w:top w:w="120" w:type="dxa"/>
              <w:left w:w="150" w:type="dxa"/>
              <w:bottom w:w="120" w:type="dxa"/>
              <w:right w:w="150" w:type="dxa"/>
            </w:tcMar>
            <w:vAlign w:val="center"/>
          </w:tcPr>
          <w:p w14:paraId="4350EA1D" w14:textId="77777777" w:rsidR="00C2047F" w:rsidRDefault="00A01582">
            <w:r>
              <w:rPr>
                <w:b/>
                <w:bCs/>
                <w:color w:val="FFFFFF"/>
                <w:sz w:val="20"/>
                <w:szCs w:val="20"/>
              </w:rPr>
              <w:t>Outils DevOps</w:t>
            </w:r>
          </w:p>
        </w:tc>
        <w:tc>
          <w:tcPr>
            <w:tcW w:w="3600" w:type="dxa"/>
            <w:shd w:val="clear" w:color="auto" w:fill="F2F3F5"/>
            <w:tcMar>
              <w:top w:w="120" w:type="dxa"/>
              <w:left w:w="150" w:type="dxa"/>
              <w:bottom w:w="120" w:type="dxa"/>
              <w:right w:w="150" w:type="dxa"/>
            </w:tcMar>
            <w:vAlign w:val="center"/>
          </w:tcPr>
          <w:p w14:paraId="12323DE5" w14:textId="77777777" w:rsidR="00C2047F" w:rsidRDefault="00A01582">
            <w:r>
              <w:rPr>
                <w:sz w:val="20"/>
                <w:szCs w:val="20"/>
              </w:rPr>
              <w:t>CodeBuild, CodePipeline, CloudWatch</w:t>
            </w:r>
          </w:p>
        </w:tc>
        <w:tc>
          <w:tcPr>
            <w:tcW w:w="3946" w:type="dxa"/>
            <w:shd w:val="clear" w:color="auto" w:fill="F2F3F5"/>
            <w:tcMar>
              <w:top w:w="120" w:type="dxa"/>
              <w:left w:w="150" w:type="dxa"/>
              <w:bottom w:w="120" w:type="dxa"/>
              <w:right w:w="150" w:type="dxa"/>
            </w:tcMar>
            <w:vAlign w:val="center"/>
          </w:tcPr>
          <w:p w14:paraId="2C7D2820" w14:textId="77777777" w:rsidR="00C2047F" w:rsidRDefault="00A01582">
            <w:r>
              <w:rPr>
                <w:sz w:val="20"/>
                <w:szCs w:val="20"/>
              </w:rPr>
              <w:t>Automatiser la livraison et l'observabilité</w:t>
            </w:r>
          </w:p>
        </w:tc>
      </w:tr>
    </w:tbl>
    <w:p w14:paraId="380F0B3A" w14:textId="77777777" w:rsidR="00C2047F" w:rsidRDefault="00C2047F">
      <w:pPr>
        <w:spacing w:after="300"/>
      </w:pPr>
    </w:p>
    <w:p w14:paraId="342E88F0" w14:textId="77777777" w:rsidR="00C2047F" w:rsidRDefault="00A01582">
      <w:pPr>
        <w:pStyle w:val="Titre1"/>
        <w:spacing w:before="200" w:after="200"/>
      </w:pPr>
      <w:r>
        <w:rPr>
          <w:b/>
          <w:bCs/>
          <w:color w:val="232F3E"/>
        </w:rPr>
        <w:t>5. Découvrir AWS sans risque : le Free Tier</w:t>
      </w:r>
    </w:p>
    <w:p w14:paraId="784822FF" w14:textId="77777777" w:rsidR="00C2047F" w:rsidRDefault="00A01582">
      <w:pPr>
        <w:spacing w:after="160"/>
      </w:pPr>
      <w:r>
        <w:t>Trois formules gratuites permettent de suivre tout un parcours d'apprentissage DevOps sans facture surprise, à condition de poser une alerte de facturation dès le premier jour.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22FEE28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F9900"/>
            <w:tcMar>
              <w:top w:w="200" w:type="dxa"/>
              <w:left w:w="250" w:type="dxa"/>
              <w:bottom w:w="200" w:type="dxa"/>
              <w:right w:w="250" w:type="dxa"/>
            </w:tcMar>
            <w:vAlign w:val="center"/>
          </w:tcPr>
          <w:p w14:paraId="0273793E" w14:textId="77777777" w:rsidR="00C2047F" w:rsidRDefault="00A01582">
            <w:pPr>
              <w:spacing w:after="80"/>
            </w:pPr>
            <w:r>
              <w:rPr>
                <w:b/>
                <w:bCs/>
                <w:color w:val="232F3E"/>
              </w:rPr>
              <w:t xml:space="preserve">Toujours gratuit — </w:t>
            </w:r>
            <w:r>
              <w:rPr>
                <w:color w:val="232F3E"/>
              </w:rPr>
              <w:t>des offres qui n'expirent jamais, par exemple 1 million de requêtes AWS Lambda par mois.</w:t>
            </w:r>
          </w:p>
        </w:tc>
      </w:tr>
    </w:tbl>
    <w:p w14:paraId="2744B521" w14:textId="77777777" w:rsidR="00C2047F" w:rsidRDefault="00C2047F">
      <w:pPr>
        <w:spacing w:after="15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29DD864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46EB4"/>
            <w:tcMar>
              <w:top w:w="200" w:type="dxa"/>
              <w:left w:w="250" w:type="dxa"/>
              <w:bottom w:w="200" w:type="dxa"/>
              <w:right w:w="250" w:type="dxa"/>
            </w:tcMar>
            <w:vAlign w:val="center"/>
          </w:tcPr>
          <w:p w14:paraId="11E56EEF" w14:textId="77777777" w:rsidR="00C2047F" w:rsidRDefault="00A01582">
            <w:pPr>
              <w:spacing w:after="80"/>
            </w:pPr>
            <w:r>
              <w:rPr>
                <w:b/>
                <w:bCs/>
                <w:color w:val="FFFFFF"/>
              </w:rPr>
              <w:t xml:space="preserve">12 mois gratuits — </w:t>
            </w:r>
            <w:r>
              <w:rPr>
                <w:color w:val="FFFFFF"/>
              </w:rPr>
              <w:t>valables un an après la création du compte : par exemple 750 h/mois d'une petite instance EC2, 5 Go de stockage S3.</w:t>
            </w:r>
          </w:p>
        </w:tc>
      </w:tr>
    </w:tbl>
    <w:p w14:paraId="327598F4" w14:textId="77777777" w:rsidR="00C2047F" w:rsidRDefault="00C2047F">
      <w:pPr>
        <w:spacing w:after="15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2835E78C"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232F3E"/>
            <w:tcMar>
              <w:top w:w="200" w:type="dxa"/>
              <w:left w:w="250" w:type="dxa"/>
              <w:bottom w:w="200" w:type="dxa"/>
              <w:right w:w="250" w:type="dxa"/>
            </w:tcMar>
            <w:vAlign w:val="center"/>
          </w:tcPr>
          <w:p w14:paraId="64799AD6" w14:textId="77777777" w:rsidR="00C2047F" w:rsidRDefault="00A01582">
            <w:pPr>
              <w:spacing w:after="80"/>
            </w:pPr>
            <w:r>
              <w:rPr>
                <w:b/>
                <w:bCs/>
                <w:color w:val="FFFFFF"/>
              </w:rPr>
              <w:lastRenderedPageBreak/>
              <w:t xml:space="preserve">Essais de courte durée — </w:t>
            </w:r>
            <w:r>
              <w:rPr>
                <w:color w:val="FFFFFF"/>
              </w:rPr>
              <w:t>débloquent certains services pour une fenêtre de temps limitée, le temps de les tester.</w:t>
            </w:r>
          </w:p>
        </w:tc>
      </w:tr>
    </w:tbl>
    <w:p w14:paraId="3700BD9A" w14:textId="77777777" w:rsidR="00C2047F" w:rsidRDefault="00C2047F">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08CBA27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2E3B4E"/>
            <w:tcMar>
              <w:top w:w="200" w:type="dxa"/>
              <w:left w:w="250" w:type="dxa"/>
              <w:bottom w:w="200" w:type="dxa"/>
              <w:right w:w="250" w:type="dxa"/>
            </w:tcMar>
            <w:vAlign w:val="center"/>
          </w:tcPr>
          <w:p w14:paraId="32768B52" w14:textId="77777777" w:rsidR="00C2047F" w:rsidRDefault="00A01582">
            <w:pPr>
              <w:spacing w:after="80"/>
            </w:pPr>
            <w:r>
              <w:rPr>
                <w:color w:val="F9E795"/>
              </w:rPr>
              <w:t>⚠</w:t>
            </w:r>
            <w:r>
              <w:rPr>
                <w:color w:val="F9E795"/>
              </w:rPr>
              <w:t xml:space="preserve"> </w:t>
            </w:r>
            <w:r>
              <w:rPr>
                <w:i/>
                <w:iCs/>
                <w:color w:val="F9E795"/>
              </w:rPr>
              <w:t>Le moyen le plus rapide d'avoir une facture inattendue : laisser tourner une grosse instance ou une passerelle NAT après un test.</w:t>
            </w:r>
          </w:p>
        </w:tc>
      </w:tr>
    </w:tbl>
    <w:p w14:paraId="07250C6C" w14:textId="77777777" w:rsidR="00C2047F" w:rsidRDefault="00A01582">
      <w:r>
        <w:br w:type="page"/>
      </w:r>
    </w:p>
    <w:p w14:paraId="335A4681" w14:textId="77777777" w:rsidR="00C2047F" w:rsidRDefault="00A01582">
      <w:pPr>
        <w:pStyle w:val="Titre1"/>
        <w:spacing w:before="200" w:after="200"/>
      </w:pPr>
      <w:r>
        <w:rPr>
          <w:b/>
          <w:bCs/>
          <w:color w:val="232F3E"/>
        </w:rPr>
        <w:lastRenderedPageBreak/>
        <w:t>6. Comment les équipes DevOps utilisent AWS</w:t>
      </w:r>
    </w:p>
    <w:p w14:paraId="294F9057" w14:textId="77777777" w:rsidR="00C2047F" w:rsidRDefault="00A01582">
      <w:pPr>
        <w:spacing w:after="160"/>
      </w:pPr>
      <w:r>
        <w:t>AWS n'est pas qu'un endroit où faire tourner des serveurs : c'est le socle de toute la chaîne de livraison logicielle.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1949"/>
        <w:gridCol w:w="1949"/>
        <w:gridCol w:w="1949"/>
        <w:gridCol w:w="1949"/>
      </w:tblGrid>
      <w:tr w:rsidR="00C2047F" w14:paraId="19CEAEBC" w14:textId="77777777">
        <w:tblPrEx>
          <w:tblCellMar>
            <w:top w:w="0" w:type="dxa"/>
            <w:bottom w:w="0" w:type="dxa"/>
          </w:tblCellMar>
        </w:tblPrEx>
        <w:tc>
          <w:tcPr>
            <w:tcW w:w="1949" w:type="dxa"/>
            <w:tcBorders>
              <w:top w:val="single" w:sz="4" w:space="0" w:color="FFFFFF"/>
              <w:left w:val="single" w:sz="4" w:space="0" w:color="FFFFFF"/>
              <w:bottom w:val="single" w:sz="4" w:space="0" w:color="FFFFFF"/>
              <w:right w:val="single" w:sz="4" w:space="0" w:color="FFFFFF"/>
            </w:tcBorders>
            <w:shd w:val="clear" w:color="auto" w:fill="232F3E"/>
            <w:tcMar>
              <w:top w:w="150" w:type="dxa"/>
              <w:left w:w="100" w:type="dxa"/>
              <w:bottom w:w="150" w:type="dxa"/>
              <w:right w:w="100" w:type="dxa"/>
            </w:tcMar>
          </w:tcPr>
          <w:p w14:paraId="6C612C66" w14:textId="77777777" w:rsidR="00C2047F" w:rsidRDefault="00A01582">
            <w:pPr>
              <w:spacing w:after="100"/>
              <w:jc w:val="center"/>
            </w:pPr>
            <w:r>
              <w:rPr>
                <w:rFonts w:ascii="Cambria" w:eastAsia="Cambria" w:hAnsi="Cambria" w:cs="Cambria"/>
                <w:b/>
                <w:bCs/>
                <w:color w:val="FFFFFF"/>
                <w:sz w:val="28"/>
                <w:szCs w:val="28"/>
              </w:rPr>
              <w:t>1</w:t>
            </w:r>
          </w:p>
          <w:p w14:paraId="66F13A3E" w14:textId="77777777" w:rsidR="00C2047F" w:rsidRDefault="00A01582">
            <w:pPr>
              <w:spacing w:after="80"/>
              <w:jc w:val="center"/>
            </w:pPr>
            <w:r>
              <w:rPr>
                <w:b/>
                <w:bCs/>
                <w:color w:val="FFFFFF"/>
                <w:sz w:val="19"/>
                <w:szCs w:val="19"/>
              </w:rPr>
              <w:t>Infra as Code</w:t>
            </w:r>
          </w:p>
          <w:p w14:paraId="4F5439A9" w14:textId="77777777" w:rsidR="00C2047F" w:rsidRDefault="00A01582">
            <w:pPr>
              <w:jc w:val="center"/>
            </w:pPr>
            <w:r>
              <w:rPr>
                <w:color w:val="E6ECF3"/>
                <w:sz w:val="16"/>
                <w:szCs w:val="16"/>
              </w:rPr>
              <w:t>Terraform, CloudFormation</w:t>
            </w:r>
          </w:p>
        </w:tc>
        <w:tc>
          <w:tcPr>
            <w:tcW w:w="1949" w:type="dxa"/>
            <w:tcBorders>
              <w:top w:val="single" w:sz="4" w:space="0" w:color="FFFFFF"/>
              <w:left w:val="single" w:sz="4" w:space="0" w:color="FFFFFF"/>
              <w:bottom w:val="single" w:sz="4" w:space="0" w:color="FFFFFF"/>
              <w:right w:val="single" w:sz="4" w:space="0" w:color="FFFFFF"/>
            </w:tcBorders>
            <w:shd w:val="clear" w:color="auto" w:fill="146EB4"/>
            <w:tcMar>
              <w:top w:w="150" w:type="dxa"/>
              <w:left w:w="100" w:type="dxa"/>
              <w:bottom w:w="150" w:type="dxa"/>
              <w:right w:w="100" w:type="dxa"/>
            </w:tcMar>
          </w:tcPr>
          <w:p w14:paraId="6D34D9C4" w14:textId="77777777" w:rsidR="00C2047F" w:rsidRDefault="00A01582">
            <w:pPr>
              <w:spacing w:after="100"/>
              <w:jc w:val="center"/>
            </w:pPr>
            <w:r>
              <w:rPr>
                <w:rFonts w:ascii="Cambria" w:eastAsia="Cambria" w:hAnsi="Cambria" w:cs="Cambria"/>
                <w:b/>
                <w:bCs/>
                <w:color w:val="FFFFFF"/>
                <w:sz w:val="28"/>
                <w:szCs w:val="28"/>
              </w:rPr>
              <w:t>2</w:t>
            </w:r>
          </w:p>
          <w:p w14:paraId="1F931816" w14:textId="77777777" w:rsidR="00C2047F" w:rsidRDefault="00A01582">
            <w:pPr>
              <w:spacing w:after="80"/>
              <w:jc w:val="center"/>
            </w:pPr>
            <w:r>
              <w:rPr>
                <w:b/>
                <w:bCs/>
                <w:color w:val="FFFFFF"/>
                <w:sz w:val="19"/>
                <w:szCs w:val="19"/>
              </w:rPr>
              <w:t>Intégration continue</w:t>
            </w:r>
          </w:p>
          <w:p w14:paraId="690FBC69" w14:textId="77777777" w:rsidR="00C2047F" w:rsidRDefault="00A01582">
            <w:pPr>
              <w:jc w:val="center"/>
            </w:pPr>
            <w:r>
              <w:rPr>
                <w:color w:val="E6ECF3"/>
                <w:sz w:val="16"/>
                <w:szCs w:val="16"/>
              </w:rPr>
              <w:t>CodeBuild, CodePipeline</w:t>
            </w:r>
          </w:p>
        </w:tc>
        <w:tc>
          <w:tcPr>
            <w:tcW w:w="1949" w:type="dxa"/>
            <w:tcBorders>
              <w:top w:val="single" w:sz="4" w:space="0" w:color="FFFFFF"/>
              <w:left w:val="single" w:sz="4" w:space="0" w:color="FFFFFF"/>
              <w:bottom w:val="single" w:sz="4" w:space="0" w:color="FFFFFF"/>
              <w:right w:val="single" w:sz="4" w:space="0" w:color="FFFFFF"/>
            </w:tcBorders>
            <w:shd w:val="clear" w:color="auto" w:fill="FF9900"/>
            <w:tcMar>
              <w:top w:w="150" w:type="dxa"/>
              <w:left w:w="100" w:type="dxa"/>
              <w:bottom w:w="150" w:type="dxa"/>
              <w:right w:w="100" w:type="dxa"/>
            </w:tcMar>
          </w:tcPr>
          <w:p w14:paraId="1BBBFFBC" w14:textId="77777777" w:rsidR="00C2047F" w:rsidRDefault="00A01582">
            <w:pPr>
              <w:spacing w:after="100"/>
              <w:jc w:val="center"/>
            </w:pPr>
            <w:r>
              <w:rPr>
                <w:rFonts w:ascii="Cambria" w:eastAsia="Cambria" w:hAnsi="Cambria" w:cs="Cambria"/>
                <w:b/>
                <w:bCs/>
                <w:color w:val="232F3E"/>
                <w:sz w:val="28"/>
                <w:szCs w:val="28"/>
              </w:rPr>
              <w:t>3</w:t>
            </w:r>
          </w:p>
          <w:p w14:paraId="164E7EE1" w14:textId="77777777" w:rsidR="00C2047F" w:rsidRDefault="00A01582">
            <w:pPr>
              <w:spacing w:after="80"/>
              <w:jc w:val="center"/>
            </w:pPr>
            <w:r>
              <w:rPr>
                <w:b/>
                <w:bCs/>
                <w:color w:val="232F3E"/>
                <w:sz w:val="19"/>
                <w:szCs w:val="19"/>
              </w:rPr>
              <w:t>Déploiement</w:t>
            </w:r>
          </w:p>
          <w:p w14:paraId="5C663E53" w14:textId="77777777" w:rsidR="00C2047F" w:rsidRDefault="00A01582">
            <w:pPr>
              <w:jc w:val="center"/>
            </w:pPr>
            <w:r>
              <w:rPr>
                <w:color w:val="232F3E"/>
                <w:sz w:val="16"/>
                <w:szCs w:val="16"/>
              </w:rPr>
              <w:t>ECS, EKS (Kubernetes managé)</w:t>
            </w:r>
          </w:p>
        </w:tc>
        <w:tc>
          <w:tcPr>
            <w:tcW w:w="1949" w:type="dxa"/>
            <w:tcBorders>
              <w:top w:val="single" w:sz="4" w:space="0" w:color="FFFFFF"/>
              <w:left w:val="single" w:sz="4" w:space="0" w:color="FFFFFF"/>
              <w:bottom w:val="single" w:sz="4" w:space="0" w:color="FFFFFF"/>
              <w:right w:val="single" w:sz="4" w:space="0" w:color="FFFFFF"/>
            </w:tcBorders>
            <w:shd w:val="clear" w:color="auto" w:fill="146EB4"/>
            <w:tcMar>
              <w:top w:w="150" w:type="dxa"/>
              <w:left w:w="100" w:type="dxa"/>
              <w:bottom w:w="150" w:type="dxa"/>
              <w:right w:w="100" w:type="dxa"/>
            </w:tcMar>
          </w:tcPr>
          <w:p w14:paraId="5971E605" w14:textId="77777777" w:rsidR="00C2047F" w:rsidRDefault="00A01582">
            <w:pPr>
              <w:spacing w:after="100"/>
              <w:jc w:val="center"/>
            </w:pPr>
            <w:r>
              <w:rPr>
                <w:rFonts w:ascii="Cambria" w:eastAsia="Cambria" w:hAnsi="Cambria" w:cs="Cambria"/>
                <w:b/>
                <w:bCs/>
                <w:color w:val="FFFFFF"/>
                <w:sz w:val="28"/>
                <w:szCs w:val="28"/>
              </w:rPr>
              <w:t>4</w:t>
            </w:r>
          </w:p>
          <w:p w14:paraId="01922EED" w14:textId="77777777" w:rsidR="00C2047F" w:rsidRDefault="00A01582">
            <w:pPr>
              <w:spacing w:after="80"/>
              <w:jc w:val="center"/>
            </w:pPr>
            <w:r>
              <w:rPr>
                <w:b/>
                <w:bCs/>
                <w:color w:val="FFFFFF"/>
                <w:sz w:val="19"/>
                <w:szCs w:val="19"/>
              </w:rPr>
              <w:t>Supervision</w:t>
            </w:r>
          </w:p>
          <w:p w14:paraId="601EFD28" w14:textId="77777777" w:rsidR="00C2047F" w:rsidRDefault="00A01582">
            <w:pPr>
              <w:jc w:val="center"/>
            </w:pPr>
            <w:r>
              <w:rPr>
                <w:color w:val="E6ECF3"/>
                <w:sz w:val="16"/>
                <w:szCs w:val="16"/>
              </w:rPr>
              <w:t>CloudWatch (métriques, logs, alarmes)</w:t>
            </w:r>
          </w:p>
        </w:tc>
        <w:tc>
          <w:tcPr>
            <w:tcW w:w="1949" w:type="dxa"/>
            <w:tcBorders>
              <w:top w:val="single" w:sz="4" w:space="0" w:color="FFFFFF"/>
              <w:left w:val="single" w:sz="4" w:space="0" w:color="FFFFFF"/>
              <w:bottom w:val="single" w:sz="4" w:space="0" w:color="FFFFFF"/>
              <w:right w:val="single" w:sz="4" w:space="0" w:color="FFFFFF"/>
            </w:tcBorders>
            <w:shd w:val="clear" w:color="auto" w:fill="232F3E"/>
            <w:tcMar>
              <w:top w:w="150" w:type="dxa"/>
              <w:left w:w="100" w:type="dxa"/>
              <w:bottom w:w="150" w:type="dxa"/>
              <w:right w:w="100" w:type="dxa"/>
            </w:tcMar>
          </w:tcPr>
          <w:p w14:paraId="1FE2D72E" w14:textId="77777777" w:rsidR="00C2047F" w:rsidRDefault="00A01582">
            <w:pPr>
              <w:spacing w:after="100"/>
              <w:jc w:val="center"/>
            </w:pPr>
            <w:r>
              <w:rPr>
                <w:rFonts w:ascii="Cambria" w:eastAsia="Cambria" w:hAnsi="Cambria" w:cs="Cambria"/>
                <w:b/>
                <w:bCs/>
                <w:color w:val="FFFFFF"/>
                <w:sz w:val="28"/>
                <w:szCs w:val="28"/>
              </w:rPr>
              <w:t>5</w:t>
            </w:r>
          </w:p>
          <w:p w14:paraId="5C65B103" w14:textId="77777777" w:rsidR="00C2047F" w:rsidRDefault="00A01582">
            <w:pPr>
              <w:spacing w:after="80"/>
              <w:jc w:val="center"/>
            </w:pPr>
            <w:r>
              <w:rPr>
                <w:b/>
                <w:bCs/>
                <w:color w:val="FFFFFF"/>
                <w:sz w:val="19"/>
                <w:szCs w:val="19"/>
              </w:rPr>
              <w:t>Sécurité des accès</w:t>
            </w:r>
          </w:p>
          <w:p w14:paraId="4444ADDC" w14:textId="77777777" w:rsidR="00C2047F" w:rsidRDefault="00A01582">
            <w:pPr>
              <w:jc w:val="center"/>
            </w:pPr>
            <w:r>
              <w:rPr>
                <w:color w:val="E6ECF3"/>
                <w:sz w:val="16"/>
                <w:szCs w:val="16"/>
              </w:rPr>
              <w:t>IAM (rôles et policies)</w:t>
            </w:r>
          </w:p>
        </w:tc>
      </w:tr>
    </w:tbl>
    <w:p w14:paraId="291225A9" w14:textId="77777777" w:rsidR="00C2047F" w:rsidRDefault="00C2047F">
      <w:pPr>
        <w:spacing w:after="2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C2047F" w14:paraId="5E248427"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232F3E"/>
            <w:tcMar>
              <w:top w:w="200" w:type="dxa"/>
              <w:left w:w="250" w:type="dxa"/>
              <w:bottom w:w="200" w:type="dxa"/>
              <w:right w:w="250" w:type="dxa"/>
            </w:tcMar>
            <w:vAlign w:val="center"/>
          </w:tcPr>
          <w:p w14:paraId="383B832F" w14:textId="77777777" w:rsidR="00C2047F" w:rsidRDefault="00A01582">
            <w:pPr>
              <w:spacing w:after="80"/>
            </w:pPr>
            <w:r>
              <w:rPr>
                <w:b/>
                <w:bCs/>
                <w:i/>
                <w:iCs/>
                <w:color w:val="FFFFFF"/>
              </w:rPr>
              <w:t xml:space="preserve">Le fil conducteur : automatiser. </w:t>
            </w:r>
            <w:r>
              <w:rPr>
                <w:i/>
                <w:iCs/>
                <w:color w:val="FFFFFF"/>
              </w:rPr>
              <w:t>Tout ce qu'une équipe DevOps fait deux fois sur AWS, elle cherche à l'encoder une fois pour le rendre reproductible, revu et sûr.</w:t>
            </w:r>
          </w:p>
        </w:tc>
      </w:tr>
    </w:tbl>
    <w:p w14:paraId="39EEC374" w14:textId="77777777" w:rsidR="00C2047F" w:rsidRDefault="00C2047F">
      <w:pPr>
        <w:spacing w:after="300"/>
      </w:pPr>
    </w:p>
    <w:p w14:paraId="17CD1993" w14:textId="77777777" w:rsidR="00C2047F" w:rsidRDefault="00A01582">
      <w:pPr>
        <w:pStyle w:val="Titre1"/>
        <w:spacing w:before="200" w:after="200"/>
      </w:pPr>
      <w:r>
        <w:rPr>
          <w:b/>
          <w:bCs/>
          <w:color w:val="232F3E"/>
        </w:rPr>
        <w:t>7. Pour aller plus loin</w:t>
      </w:r>
    </w:p>
    <w:p w14:paraId="325AED7A" w14:textId="77777777" w:rsidR="00C2047F" w:rsidRDefault="00A01582">
      <w:pPr>
        <w:pStyle w:val="Paragraphedeliste"/>
        <w:numPr>
          <w:ilvl w:val="0"/>
          <w:numId w:val="1"/>
        </w:numPr>
        <w:spacing w:after="120"/>
      </w:pPr>
      <w:r>
        <w:t>Infrastructure globale AWS (Régions, AZ, Edge Locations)</w:t>
      </w:r>
    </w:p>
    <w:p w14:paraId="65552953" w14:textId="77777777" w:rsidR="00C2047F" w:rsidRDefault="00A01582">
      <w:pPr>
        <w:pStyle w:val="Paragraphedeliste"/>
        <w:numPr>
          <w:ilvl w:val="0"/>
          <w:numId w:val="1"/>
        </w:numPr>
        <w:spacing w:after="120"/>
      </w:pPr>
      <w:r>
        <w:t>Configuration d'un compte AWS (MFA, alerte de facturation)</w:t>
      </w:r>
    </w:p>
    <w:p w14:paraId="0F1F4459" w14:textId="77777777" w:rsidR="00C2047F" w:rsidRDefault="00A01582">
      <w:pPr>
        <w:pStyle w:val="Paragraphedeliste"/>
        <w:numPr>
          <w:ilvl w:val="0"/>
          <w:numId w:val="1"/>
        </w:numPr>
        <w:spacing w:after="120"/>
      </w:pPr>
      <w:r>
        <w:t>AWS IAM — gestion des accès</w:t>
      </w:r>
    </w:p>
    <w:p w14:paraId="3D8DD316" w14:textId="77777777" w:rsidR="00C2047F" w:rsidRDefault="00A01582">
      <w:pPr>
        <w:pStyle w:val="Paragraphedeliste"/>
        <w:numPr>
          <w:ilvl w:val="0"/>
          <w:numId w:val="1"/>
        </w:numPr>
        <w:spacing w:after="120"/>
      </w:pPr>
      <w:r>
        <w:t>AWS EC2 — premiers serveurs virtuels</w:t>
      </w:r>
    </w:p>
    <w:p w14:paraId="04E7DB25" w14:textId="77777777" w:rsidR="00C2047F" w:rsidRDefault="00C2047F">
      <w:pPr>
        <w:spacing w:after="200"/>
      </w:pPr>
    </w:p>
    <w:p w14:paraId="4DCEE059" w14:textId="77777777" w:rsidR="00C2047F" w:rsidRDefault="00A01582">
      <w:pPr>
        <w:pBdr>
          <w:top w:val="single" w:sz="4" w:space="8" w:color="DADFE5"/>
        </w:pBdr>
        <w:spacing w:before="200" w:after="120"/>
      </w:pPr>
      <w:r>
        <w:rPr>
          <w:b/>
          <w:bCs/>
          <w:color w:val="5A6472"/>
          <w:sz w:val="20"/>
          <w:szCs w:val="20"/>
        </w:rPr>
        <w:t>Source de ce contenu</w:t>
      </w:r>
    </w:p>
    <w:p w14:paraId="1481A23B" w14:textId="77777777" w:rsidR="00C2047F" w:rsidRDefault="00A01582">
      <w:pPr>
        <w:spacing w:after="80"/>
      </w:pPr>
      <w:hyperlink r:id="rId8" w:history="1">
        <w:r>
          <w:rPr>
            <w:color w:val="146EB4"/>
            <w:sz w:val="21"/>
            <w:szCs w:val="21"/>
            <w:u w:val="single"/>
          </w:rPr>
          <w:t>https://devopslesson.com/tutorials/aws/introduction-to-aws</w:t>
        </w:r>
      </w:hyperlink>
    </w:p>
    <w:p w14:paraId="4C397A7D" w14:textId="77777777" w:rsidR="00C2047F" w:rsidRDefault="00A01582">
      <w:r>
        <w:rPr>
          <w:i/>
          <w:iCs/>
          <w:color w:val="5A6472"/>
          <w:sz w:val="18"/>
          <w:szCs w:val="18"/>
        </w:rPr>
        <w:t>Vishvesh Patel, DevOpsLesson — Introduction to AWS (mis à jour le 13/07/2026)</w:t>
      </w:r>
    </w:p>
    <w:sectPr w:rsidR="00C2047F">
      <w:headerReference w:type="even" r:id="rId9"/>
      <w:headerReference w:type="default" r:id="rId10"/>
      <w:footerReference w:type="even" r:id="rId11"/>
      <w:footerReference w:type="default" r:id="rId12"/>
      <w:headerReference w:type="first" r:id="rId13"/>
      <w:footerReference w:type="firs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F23D0" w14:textId="77777777" w:rsidR="00A01582" w:rsidRDefault="00A01582" w:rsidP="008B7FD1">
      <w:r>
        <w:separator/>
      </w:r>
    </w:p>
  </w:endnote>
  <w:endnote w:type="continuationSeparator" w:id="0">
    <w:p w14:paraId="2977FF20" w14:textId="77777777" w:rsidR="00A01582" w:rsidRDefault="00A01582" w:rsidP="008B7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4A22" w14:textId="77777777" w:rsidR="008B7FD1" w:rsidRDefault="008B7FD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955695"/>
      <w:docPartObj>
        <w:docPartGallery w:val="Page Numbers (Bottom of Page)"/>
        <w:docPartUnique/>
      </w:docPartObj>
    </w:sdtPr>
    <w:sdtContent>
      <w:p w14:paraId="7971F185" w14:textId="534F859D" w:rsidR="008B7FD1" w:rsidRDefault="008B7FD1">
        <w:pPr>
          <w:pStyle w:val="Pieddepage"/>
          <w:jc w:val="right"/>
        </w:pPr>
        <w:r>
          <w:fldChar w:fldCharType="begin"/>
        </w:r>
        <w:r>
          <w:instrText>PAGE   \* MERGEFORMAT</w:instrText>
        </w:r>
        <w:r>
          <w:fldChar w:fldCharType="separate"/>
        </w:r>
        <w:r>
          <w:t>2</w:t>
        </w:r>
        <w:r>
          <w:fldChar w:fldCharType="end"/>
        </w:r>
      </w:p>
    </w:sdtContent>
  </w:sdt>
  <w:p w14:paraId="68F0920E" w14:textId="77777777" w:rsidR="008B7FD1" w:rsidRDefault="008B7FD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62AAF" w14:textId="77777777" w:rsidR="008B7FD1" w:rsidRDefault="008B7F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C5D83" w14:textId="77777777" w:rsidR="00A01582" w:rsidRDefault="00A01582" w:rsidP="008B7FD1">
      <w:r>
        <w:separator/>
      </w:r>
    </w:p>
  </w:footnote>
  <w:footnote w:type="continuationSeparator" w:id="0">
    <w:p w14:paraId="5C2CEBE8" w14:textId="77777777" w:rsidR="00A01582" w:rsidRDefault="00A01582" w:rsidP="008B7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51B3" w14:textId="77777777" w:rsidR="008B7FD1" w:rsidRDefault="008B7FD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18B4" w14:textId="77777777" w:rsidR="008B7FD1" w:rsidRDefault="008B7FD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D34A" w14:textId="77777777" w:rsidR="008B7FD1" w:rsidRDefault="008B7FD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1E62"/>
    <w:multiLevelType w:val="hybridMultilevel"/>
    <w:tmpl w:val="147AE78E"/>
    <w:lvl w:ilvl="0" w:tplc="EE304D14">
      <w:start w:val="1"/>
      <w:numFmt w:val="bullet"/>
      <w:lvlText w:val="●"/>
      <w:lvlJc w:val="left"/>
      <w:pPr>
        <w:ind w:left="720" w:hanging="360"/>
      </w:pPr>
    </w:lvl>
    <w:lvl w:ilvl="1" w:tplc="4EB02D52">
      <w:start w:val="1"/>
      <w:numFmt w:val="bullet"/>
      <w:lvlText w:val="○"/>
      <w:lvlJc w:val="left"/>
      <w:pPr>
        <w:ind w:left="1440" w:hanging="360"/>
      </w:pPr>
    </w:lvl>
    <w:lvl w:ilvl="2" w:tplc="E85C922A">
      <w:start w:val="1"/>
      <w:numFmt w:val="bullet"/>
      <w:lvlText w:val="■"/>
      <w:lvlJc w:val="left"/>
      <w:pPr>
        <w:ind w:left="2160" w:hanging="360"/>
      </w:pPr>
    </w:lvl>
    <w:lvl w:ilvl="3" w:tplc="C20E1D6E">
      <w:start w:val="1"/>
      <w:numFmt w:val="bullet"/>
      <w:lvlText w:val="●"/>
      <w:lvlJc w:val="left"/>
      <w:pPr>
        <w:ind w:left="2880" w:hanging="360"/>
      </w:pPr>
    </w:lvl>
    <w:lvl w:ilvl="4" w:tplc="89A879A0">
      <w:start w:val="1"/>
      <w:numFmt w:val="bullet"/>
      <w:lvlText w:val="○"/>
      <w:lvlJc w:val="left"/>
      <w:pPr>
        <w:ind w:left="3600" w:hanging="360"/>
      </w:pPr>
    </w:lvl>
    <w:lvl w:ilvl="5" w:tplc="7338CB04">
      <w:start w:val="1"/>
      <w:numFmt w:val="bullet"/>
      <w:lvlText w:val="■"/>
      <w:lvlJc w:val="left"/>
      <w:pPr>
        <w:ind w:left="4320" w:hanging="360"/>
      </w:pPr>
    </w:lvl>
    <w:lvl w:ilvl="6" w:tplc="E4FC3A7E">
      <w:start w:val="1"/>
      <w:numFmt w:val="bullet"/>
      <w:lvlText w:val="●"/>
      <w:lvlJc w:val="left"/>
      <w:pPr>
        <w:ind w:left="5040" w:hanging="360"/>
      </w:pPr>
    </w:lvl>
    <w:lvl w:ilvl="7" w:tplc="61BCD25E">
      <w:start w:val="1"/>
      <w:numFmt w:val="bullet"/>
      <w:lvlText w:val="●"/>
      <w:lvlJc w:val="left"/>
      <w:pPr>
        <w:ind w:left="5760" w:hanging="360"/>
      </w:pPr>
    </w:lvl>
    <w:lvl w:ilvl="8" w:tplc="10FA8356">
      <w:start w:val="1"/>
      <w:numFmt w:val="bullet"/>
      <w:lvlText w:val="●"/>
      <w:lvlJc w:val="left"/>
      <w:pPr>
        <w:ind w:left="6480" w:hanging="360"/>
      </w:pPr>
    </w:lvl>
  </w:abstractNum>
  <w:num w:numId="1" w16cid:durableId="534346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47F"/>
    <w:rsid w:val="001B7D6E"/>
    <w:rsid w:val="008B7FD1"/>
    <w:rsid w:val="00A01582"/>
    <w:rsid w:val="00C2047F"/>
    <w:rsid w:val="00C62E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33F5A"/>
  <w15:docId w15:val="{8BD33D67-0252-421F-92DC-12EFB3F0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B7FD1"/>
    <w:pPr>
      <w:tabs>
        <w:tab w:val="center" w:pos="4536"/>
        <w:tab w:val="right" w:pos="9072"/>
      </w:tabs>
    </w:pPr>
  </w:style>
  <w:style w:type="character" w:customStyle="1" w:styleId="En-tteCar">
    <w:name w:val="En-tête Car"/>
    <w:basedOn w:val="Policepardfaut"/>
    <w:link w:val="En-tte"/>
    <w:uiPriority w:val="99"/>
    <w:rsid w:val="008B7FD1"/>
  </w:style>
  <w:style w:type="paragraph" w:styleId="Pieddepage">
    <w:name w:val="footer"/>
    <w:basedOn w:val="Normal"/>
    <w:link w:val="PieddepageCar"/>
    <w:uiPriority w:val="99"/>
    <w:unhideWhenUsed/>
    <w:rsid w:val="008B7FD1"/>
    <w:pPr>
      <w:tabs>
        <w:tab w:val="center" w:pos="4536"/>
        <w:tab w:val="right" w:pos="9072"/>
      </w:tabs>
    </w:pPr>
  </w:style>
  <w:style w:type="character" w:customStyle="1" w:styleId="PieddepageCar">
    <w:name w:val="Pied de page Car"/>
    <w:basedOn w:val="Policepardfaut"/>
    <w:link w:val="Pieddepage"/>
    <w:uiPriority w:val="99"/>
    <w:rsid w:val="008B7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opslesson.com/tutorials/aws/introduction-to-aw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devopslesson.com/tutorials/aws/introduction-to-aws"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795</Words>
  <Characters>4376</Characters>
  <Application>Microsoft Office Word</Application>
  <DocSecurity>0</DocSecurity>
  <Lines>36</Lines>
  <Paragraphs>10</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Ines Zounon</cp:lastModifiedBy>
  <cp:revision>3</cp:revision>
  <dcterms:created xsi:type="dcterms:W3CDTF">2026-09-11T16:17:00Z</dcterms:created>
  <dcterms:modified xsi:type="dcterms:W3CDTF">2026-09-11T16:18:00Z</dcterms:modified>
</cp:coreProperties>
</file>