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766E"/>
          <w:sz w:val="34"/>
        </w:rPr>
        <w:t>Transkript Nr. 2: STT modelių palyginimo Spike planavimas</w:t>
      </w:r>
    </w:p>
    <w:p>
      <w:pPr>
        <w:jc w:val="center"/>
      </w:pPr>
      <w:r>
        <w:rPr>
          <w:i/>
          <w:sz w:val="21"/>
        </w:rPr>
        <w:t>Išplėsta 60 min. online susitikimo versija ProMeet Insight AI projektui</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0F766E"/>
          </w:tcPr>
          <w:p>
            <w:r>
              <w:rPr>
                <w:b/>
                <w:color w:val="FFFFFF"/>
                <w:sz w:val="16"/>
              </w:rPr>
            </w:r>
            <w:r>
              <w:rPr>
                <w:b/>
                <w:color w:val="FFFFFF"/>
                <w:sz w:val="16"/>
              </w:rPr>
              <w:t>Laukas</w:t>
            </w:r>
          </w:p>
        </w:tc>
        <w:tc>
          <w:tcPr>
            <w:tcW w:type="dxa" w:w="5184"/>
            <w:vAlign w:val="top"/>
            <w:shd w:fill="0F766E"/>
          </w:tcPr>
          <w:p>
            <w:r>
              <w:rPr>
                <w:b/>
                <w:color w:val="FFFFFF"/>
                <w:sz w:val="16"/>
              </w:rPr>
            </w:r>
            <w:r>
              <w:rPr>
                <w:b/>
                <w:color w:val="FFFFFF"/>
                <w:sz w:val="16"/>
              </w:rPr>
              <w:t>Reikšmė</w:t>
            </w:r>
          </w:p>
        </w:tc>
      </w:tr>
      <w:tr>
        <w:tc>
          <w:tcPr>
            <w:tcW w:type="dxa" w:w="5184"/>
            <w:vAlign w:val="top"/>
          </w:tcPr>
          <w:p>
            <w:r/>
            <w:r>
              <w:rPr>
                <w:b/>
                <w:sz w:val="16"/>
              </w:rPr>
              <w:t>Susitikimo trukmė</w:t>
            </w:r>
          </w:p>
        </w:tc>
        <w:tc>
          <w:tcPr>
            <w:tcW w:type="dxa" w:w="5184"/>
            <w:vAlign w:val="top"/>
          </w:tcPr>
          <w:p>
            <w:r/>
            <w:r>
              <w:rPr>
                <w:b w:val="0"/>
                <w:sz w:val="16"/>
              </w:rPr>
              <w:t>60 min. intensyvi diskusija</w:t>
            </w:r>
          </w:p>
        </w:tc>
      </w:tr>
      <w:tr>
        <w:tc>
          <w:tcPr>
            <w:tcW w:type="dxa" w:w="5184"/>
            <w:vAlign w:val="top"/>
          </w:tcPr>
          <w:p>
            <w:r/>
            <w:r>
              <w:rPr>
                <w:b/>
                <w:sz w:val="16"/>
              </w:rPr>
              <w:t>Formatas</w:t>
            </w:r>
          </w:p>
        </w:tc>
        <w:tc>
          <w:tcPr>
            <w:tcW w:type="dxa" w:w="5184"/>
            <w:vAlign w:val="top"/>
          </w:tcPr>
          <w:p>
            <w:r/>
            <w:r>
              <w:rPr>
                <w:b w:val="0"/>
                <w:sz w:val="16"/>
              </w:rPr>
              <w:t>Online susitikimas; visi dalyviai dalyvauja nuotoliniu būdu</w:t>
            </w:r>
          </w:p>
        </w:tc>
      </w:tr>
      <w:tr>
        <w:tc>
          <w:tcPr>
            <w:tcW w:type="dxa" w:w="5184"/>
            <w:vAlign w:val="top"/>
          </w:tcPr>
          <w:p>
            <w:r/>
            <w:r>
              <w:rPr>
                <w:b/>
                <w:sz w:val="16"/>
              </w:rPr>
              <w:t>Pagrindinis tikslas</w:t>
            </w:r>
          </w:p>
        </w:tc>
        <w:tc>
          <w:tcPr>
            <w:tcW w:type="dxa" w:w="5184"/>
            <w:vAlign w:val="top"/>
          </w:tcPr>
          <w:p>
            <w:r/>
            <w:r>
              <w:rPr>
                <w:b w:val="0"/>
                <w:sz w:val="16"/>
              </w:rPr>
              <w:t>Pasiruošti STT modelių palyginimui pagal lietuvių / mišrios kalbos tikslumą, WER, diarization, kainą ir API integraciją.</w:t>
            </w:r>
          </w:p>
        </w:tc>
      </w:tr>
      <w:tr>
        <w:tc>
          <w:tcPr>
            <w:tcW w:type="dxa" w:w="5184"/>
            <w:vAlign w:val="top"/>
          </w:tcPr>
          <w:p>
            <w:r/>
            <w:r>
              <w:rPr>
                <w:b/>
                <w:sz w:val="16"/>
              </w:rPr>
              <w:t>Dalyviai</w:t>
            </w:r>
          </w:p>
        </w:tc>
        <w:tc>
          <w:tcPr>
            <w:tcW w:type="dxa" w:w="5184"/>
            <w:vAlign w:val="top"/>
          </w:tcPr>
          <w:p>
            <w:r/>
            <w:r>
              <w:rPr>
                <w:b w:val="0"/>
                <w:sz w:val="16"/>
              </w:rPr>
              <w:t>Akvilė Burokienė (projekto vadovė / PM, backlog ir Jira proceso savininkė); Ineta Lankelytė (STT ir transkripcijų kokybės atsakinga); Ūla Šveiterytė (QA / testavimo koordinatorė, Zephyr scenarijai ir Pass/Fail slenksčiai); Mantas Petrauskas (solution architect, integracijos ir architektūra); Rokas Vaitkus (DevOps / M365 integracijų specialistas); Agnė Urbonaitė (AI/NLP analitikė, modelių pasirinkimas ir DI kokybės vertinimas)</w:t>
            </w:r>
          </w:p>
        </w:tc>
      </w:tr>
      <w:tr>
        <w:tc>
          <w:tcPr>
            <w:tcW w:type="dxa" w:w="5184"/>
            <w:vAlign w:val="top"/>
          </w:tcPr>
          <w:p>
            <w:r/>
            <w:r>
              <w:rPr>
                <w:b/>
                <w:sz w:val="16"/>
              </w:rPr>
              <w:t>AI sistemos kontekstas</w:t>
            </w:r>
          </w:p>
        </w:tc>
        <w:tc>
          <w:tcPr>
            <w:tcW w:type="dxa" w:w="5184"/>
            <w:vAlign w:val="top"/>
          </w:tcPr>
          <w:p>
            <w:r/>
            <w:r>
              <w:rPr>
                <w:b w:val="0"/>
                <w:sz w:val="16"/>
              </w:rPr>
              <w:t>Transkripcijos validacija, užduočių identifikavimas, assignee/deadline/priority nustatymas, human approval, Jira ticket kūrimas arba papildymas.</w:t>
            </w:r>
          </w:p>
        </w:tc>
      </w:tr>
    </w:tbl>
    <w:p/>
    <w:p>
      <w:pPr>
        <w:pStyle w:val="Heading2"/>
      </w:pPr>
      <w:r>
        <w:t>Darbotvarkė</w:t>
      </w:r>
    </w:p>
    <w:p>
      <w:pPr>
        <w:pStyle w:val="ListBullet"/>
      </w:pPr>
      <w:r>
        <w:t>Peržiūrėti esamą projekto būseną ir su susitikimo tema susijusius backlog įrašus.</w:t>
      </w:r>
    </w:p>
    <w:p>
      <w:pPr>
        <w:pStyle w:val="ListBullet"/>
      </w:pPr>
      <w:r>
        <w:t>Suderinti sprendimus, kurie turi būti aiškiai atsekami transkripte.</w:t>
      </w:r>
    </w:p>
    <w:p>
      <w:pPr>
        <w:pStyle w:val="ListBullet"/>
      </w:pPr>
      <w:r>
        <w:t>Identifikuoti ToDo darbus, atsakingus asmenis, terminus ir Jira veiksmus.</w:t>
      </w:r>
    </w:p>
    <w:p>
      <w:pPr>
        <w:pStyle w:val="ListBullet"/>
      </w:pPr>
      <w:r>
        <w:t>Įvardyti rizikas, neaiškumus ir human approval situacijas.</w:t>
      </w:r>
    </w:p>
    <w:p>
      <w:pPr>
        <w:pStyle w:val="ListBullet"/>
      </w:pPr>
      <w:r>
        <w:t>Patvirtinti, kokie rezultatai keliauja į sprintą, testavimą arba Spike išvadą.</w:t>
      </w:r>
    </w:p>
    <w:p>
      <w:pPr>
        <w:pStyle w:val="Heading2"/>
      </w:pPr>
      <w:r>
        <w:t>Pokalbio transkriptas - išplėsta 60 min. versija</w:t>
      </w:r>
    </w:p>
    <w:p>
      <w:pPr>
        <w:spacing w:after="40"/>
      </w:pPr>
      <w:r>
        <w:rPr>
          <w:b/>
          <w:sz w:val="19"/>
        </w:rPr>
        <w:t xml:space="preserve">[00:22] Akvilė Burokienė: </w:t>
      </w:r>
      <w:r>
        <w:rPr>
          <w:sz w:val="19"/>
        </w:rPr>
        <w:t>Sveiki visi, pradedame. Susitikimo pabaigoje turi likti ne bendri ketinimai, o konkretūs darbai, kuriuos galima kelti į Jira. Šiandien dirbame su tema „STT modelių palyginimo Spike planavimas“, todėl prašau kiekvieno įvardyti ne tik nuomonę, bet ir ką po susitikimo reikės padaryti.</w:t>
      </w:r>
    </w:p>
    <w:p>
      <w:pPr>
        <w:spacing w:after="40"/>
      </w:pPr>
      <w:r>
        <w:rPr>
          <w:b/>
          <w:sz w:val="19"/>
        </w:rPr>
        <w:t xml:space="preserve">[00:59] Ineta Lankelytė: </w:t>
      </w:r>
      <w:r>
        <w:rPr>
          <w:sz w:val="19"/>
        </w:rPr>
        <w:t>Iš mano pusės pagrindinis klausimas yra STT modeliai. Jei šią dalį paliksime abstrakčią, vėliau AI modelis gali ištraukti per daug triukšmo arba sukurti netikslias užduotis.</w:t>
      </w:r>
    </w:p>
    <w:p>
      <w:pPr>
        <w:spacing w:after="40"/>
      </w:pPr>
      <w:r>
        <w:rPr>
          <w:b/>
          <w:sz w:val="19"/>
        </w:rPr>
        <w:t xml:space="preserve">[01:36] Ūla Šveiterytė: </w:t>
      </w:r>
      <w:r>
        <w:rPr>
          <w:sz w:val="19"/>
        </w:rPr>
        <w:t>Aš iš karto galvoju apie testavimą. Man reikia, kad kiekvienas sprendimas būtų patikrinamas: turėtume input fragmentą, laukiamą rezultatą, faktinį rezultatą ir aiškų Pass arba Fail.</w:t>
      </w:r>
    </w:p>
    <w:p>
      <w:pPr>
        <w:spacing w:after="40"/>
      </w:pPr>
      <w:r>
        <w:rPr>
          <w:b/>
          <w:sz w:val="19"/>
        </w:rPr>
        <w:t xml:space="preserve">[02:13] Mantas Petrauskas: </w:t>
      </w:r>
      <w:r>
        <w:rPr>
          <w:sz w:val="19"/>
        </w:rPr>
        <w:t>Man svarbi ir rizikų pusė. Kai kalbame apie WER, turime apsibrėžti, kada žmogus privalo peržiūrėti rezultatą, o kada sistema gali tik pasiūlyti veiksmą.</w:t>
      </w:r>
    </w:p>
    <w:p>
      <w:pPr>
        <w:spacing w:after="40"/>
      </w:pPr>
      <w:r>
        <w:rPr>
          <w:b/>
          <w:sz w:val="19"/>
        </w:rPr>
        <w:t xml:space="preserve">[03:50] Rokas Vaitkus: </w:t>
      </w:r>
      <w:r>
        <w:rPr>
          <w:sz w:val="19"/>
        </w:rPr>
        <w:t>Iš duomenų kokybės perspektyvos primenu, kad transkripcijos fragmentai bus nevienodi. Online susitikimuose vienas kalba tyliau, kitas pertraukia, kartais naudojame angliškus terminus, todėl source quote ir laiko žyma yra būtini.</w:t>
      </w:r>
    </w:p>
    <w:p>
      <w:pPr>
        <w:spacing w:after="40"/>
      </w:pPr>
      <w:r>
        <w:rPr>
          <w:b/>
          <w:sz w:val="19"/>
        </w:rPr>
        <w:t xml:space="preserve">[04:27] Agnė Urbonaitė: </w:t>
      </w:r>
      <w:r>
        <w:rPr>
          <w:sz w:val="19"/>
        </w:rPr>
        <w:t>Architektūriškai siūlau nesumaišyti atsakomybių. Vienas sluoksnis turi tvarkyti diarization, kitas turi validuoti struktūruotą rezultatą, o trečias turi nuspręsti, ar eiti į Jira, ar į peržiūrą.</w:t>
      </w:r>
    </w:p>
    <w:p>
      <w:pPr>
        <w:spacing w:after="40"/>
      </w:pPr>
      <w:r>
        <w:rPr>
          <w:b/>
          <w:sz w:val="19"/>
        </w:rPr>
        <w:t xml:space="preserve">[05:04] Akvilė Burokienė: </w:t>
      </w:r>
      <w:r>
        <w:rPr>
          <w:sz w:val="19"/>
        </w:rPr>
        <w:t>Gerai, tada pradėkime nuo situacijos. Ką turime šiandien ir ko trūksta, kad šią dalį galėtume laikyti pasiruošusia sprintui?</w:t>
      </w:r>
    </w:p>
    <w:p>
      <w:pPr>
        <w:spacing w:after="40"/>
      </w:pPr>
      <w:r>
        <w:rPr>
          <w:b/>
          <w:sz w:val="19"/>
        </w:rPr>
        <w:t xml:space="preserve">[06:41] Ineta Lankelytė: </w:t>
      </w:r>
      <w:r>
        <w:rPr>
          <w:sz w:val="19"/>
        </w:rPr>
        <w:t>Turime gana aiškų teorinį modelį, bet trūksta praktinio pavyzdžių rinkinio. Pavyzdžiui, jei transkripte pasakoma „pažiūrėkim kitą savaitę“, DI neturėtų automatiškai kurti užduoties. Bet jei sakoma „Agnė, paruošk modelių matricą iki penktadienio“, tai jau aiškus ToDo.</w:t>
      </w:r>
    </w:p>
    <w:p>
      <w:pPr>
        <w:spacing w:after="40"/>
      </w:pPr>
      <w:r>
        <w:rPr>
          <w:b/>
          <w:sz w:val="19"/>
        </w:rPr>
        <w:t xml:space="preserve">[07:18] Ūla Šveiterytė: </w:t>
      </w:r>
      <w:r>
        <w:rPr>
          <w:sz w:val="19"/>
        </w:rPr>
        <w:t>Toks skirtumas turi būti testų rinkinyje. Siūlau testinius fragmentus suskirstyti į aiškias užduotis, numanomas užduotis, diskusiją be veiksmo, sprendimus ir rizikas.</w:t>
      </w:r>
    </w:p>
    <w:p>
      <w:pPr>
        <w:spacing w:after="40"/>
      </w:pPr>
      <w:r>
        <w:rPr>
          <w:b/>
          <w:sz w:val="19"/>
        </w:rPr>
        <w:t xml:space="preserve">[08:55] Mantas Petrauskas: </w:t>
      </w:r>
      <w:r>
        <w:rPr>
          <w:sz w:val="19"/>
        </w:rPr>
        <w:t>Dar reikia atskiro atvejo, kai yra jautri informacija. Jei transkripte minimas klientas, sutarties vertė ar asmens duomenys, DI gali suprasti veiksmą, bet neturi visko perkelti į Jira aprašymą.</w:t>
      </w:r>
    </w:p>
    <w:p>
      <w:pPr>
        <w:spacing w:after="40"/>
      </w:pPr>
      <w:r>
        <w:rPr>
          <w:b/>
          <w:sz w:val="19"/>
        </w:rPr>
        <w:t xml:space="preserve">[09:32] Rokas Vaitkus: </w:t>
      </w:r>
      <w:r>
        <w:rPr>
          <w:sz w:val="19"/>
        </w:rPr>
        <w:t>Sutinku. Reikia duomenų minimizavimo taisyklės: į Jira keliauja tik tiek informacijos, kiek reikia užduočiai atlikti. Detalesnė citata gali būti rodoma PM peržiūroje, bet nebūtinai galutiniame ticket'e.</w:t>
      </w:r>
    </w:p>
    <w:p>
      <w:pPr>
        <w:spacing w:after="40"/>
      </w:pPr>
      <w:r>
        <w:rPr>
          <w:b/>
          <w:sz w:val="19"/>
        </w:rPr>
        <w:t xml:space="preserve">[10:09] Agnė Urbonaitė: </w:t>
      </w:r>
      <w:r>
        <w:rPr>
          <w:sz w:val="19"/>
        </w:rPr>
        <w:t>Tai reiškia, kad JSON struktūroje turime turėti atskirus laukus: vidinis source_quote ir išorinis Jira description. Jie negali būti automatiškai vienodi.</w:t>
      </w:r>
    </w:p>
    <w:p>
      <w:pPr>
        <w:spacing w:after="40"/>
      </w:pPr>
      <w:r>
        <w:rPr>
          <w:b/>
          <w:sz w:val="19"/>
        </w:rPr>
        <w:t xml:space="preserve">[11:46] Akvilė Burokienė: </w:t>
      </w:r>
      <w:r>
        <w:rPr>
          <w:sz w:val="19"/>
        </w:rPr>
        <w:t>Labai geras punktas. Pažymiu kaip sprendimą: triukšmas turi būti valdoma atskirai nuo galutinio Jira aprašymo.</w:t>
      </w:r>
    </w:p>
    <w:p>
      <w:pPr>
        <w:spacing w:after="40"/>
      </w:pPr>
      <w:r>
        <w:rPr>
          <w:b/>
          <w:sz w:val="19"/>
        </w:rPr>
        <w:t xml:space="preserve">[12:23] Ineta Lankelytė: </w:t>
      </w:r>
      <w:r>
        <w:rPr>
          <w:sz w:val="19"/>
        </w:rPr>
        <w:t>Jeigu kalbame apie modelius, manau, kad STT modeliai neturi būti sprendžiama vienu promptu. Reikia bent minimalaus pipeline: pirmiausia fragmentų atranka, tada struktūrizavimas, tada validacija.</w:t>
      </w:r>
    </w:p>
    <w:p>
      <w:pPr>
        <w:spacing w:after="40"/>
      </w:pPr>
      <w:r>
        <w:rPr>
          <w:b/>
          <w:sz w:val="19"/>
        </w:rPr>
        <w:t xml:space="preserve">[13:00] Ūla Šveiterytė: </w:t>
      </w:r>
      <w:r>
        <w:rPr>
          <w:sz w:val="19"/>
        </w:rPr>
        <w:t>Aš norėčiau, kad kiekvienas pipeline žingsnis turėtų savo klaidų kategorijas. Kitaip po testavimo nežinosime, ar problema yra transkripcijoje, modelyje, prompt'e, JSON validacijoje ar Jira integracijoje.</w:t>
      </w:r>
    </w:p>
    <w:p>
      <w:pPr>
        <w:spacing w:after="40"/>
      </w:pPr>
      <w:r>
        <w:rPr>
          <w:b/>
          <w:sz w:val="19"/>
        </w:rPr>
        <w:t xml:space="preserve">[14:37] Mantas Petrauskas: </w:t>
      </w:r>
      <w:r>
        <w:rPr>
          <w:sz w:val="19"/>
        </w:rPr>
        <w:t>Būtent. Ir kai turime klaidą, ji turi būti suprantama vartotojui. Ne „system error“, o konkrečiai: trūksta assignee, deadline neaiškus, nėra source quote arba Jira atmetė lauką.</w:t>
      </w:r>
    </w:p>
    <w:p>
      <w:pPr>
        <w:spacing w:after="40"/>
      </w:pPr>
      <w:r>
        <w:rPr>
          <w:b/>
          <w:sz w:val="19"/>
        </w:rPr>
        <w:t xml:space="preserve">[15:14] Rokas Vaitkus: </w:t>
      </w:r>
      <w:r>
        <w:rPr>
          <w:sz w:val="19"/>
        </w:rPr>
        <w:t>Pavyzdžiui, jei STT modelis vietoj „Ūla“ parašo „ūla“ arba visai praleidžia vardą, assignee resolver gali klaidingai priskirti užduotį. Tokiam atvejui reikia confidence slenksčio.</w:t>
      </w:r>
    </w:p>
    <w:p>
      <w:pPr>
        <w:spacing w:after="40"/>
      </w:pPr>
      <w:r>
        <w:rPr>
          <w:b/>
          <w:sz w:val="19"/>
        </w:rPr>
        <w:t xml:space="preserve">[16:51] Agnė Urbonaitė: </w:t>
      </w:r>
      <w:r>
        <w:rPr>
          <w:sz w:val="19"/>
        </w:rPr>
        <w:t>O jeigu Jira naudotojų kataloge yra dvi Agnės, sistema negali rinktis automatiškai. Ji turi parodyti PM pasirinkimą arba palikti assignee tuščią.</w:t>
      </w:r>
    </w:p>
    <w:p>
      <w:pPr>
        <w:spacing w:after="40"/>
      </w:pPr>
      <w:r>
        <w:rPr>
          <w:b/>
          <w:sz w:val="19"/>
        </w:rPr>
        <w:t xml:space="preserve">[17:28] Akvilė Burokienė: </w:t>
      </w:r>
      <w:r>
        <w:rPr>
          <w:sz w:val="19"/>
        </w:rPr>
        <w:t>Taigi pridedame taisyklę: kai yra keli galimi assignee arba mažas confidence, užduotis keliauja į human approval.</w:t>
      </w:r>
    </w:p>
    <w:p>
      <w:pPr>
        <w:spacing w:after="40"/>
      </w:pPr>
      <w:r>
        <w:rPr>
          <w:b/>
          <w:sz w:val="19"/>
        </w:rPr>
        <w:t xml:space="preserve">[18:05] Ineta Lankelytė: </w:t>
      </w:r>
      <w:r>
        <w:rPr>
          <w:sz w:val="19"/>
        </w:rPr>
        <w:t>Kalbant apie LT/EN terminai, siūlau nustatyti minimalų laukų rinkinį. Be task name, description ir source quote užduotis negali būti laikoma paruošta.</w:t>
      </w:r>
    </w:p>
    <w:p>
      <w:pPr>
        <w:spacing w:after="40"/>
      </w:pPr>
      <w:r>
        <w:rPr>
          <w:b/>
          <w:sz w:val="19"/>
        </w:rPr>
        <w:t xml:space="preserve">[19:42] Ūla Šveiterytė: </w:t>
      </w:r>
      <w:r>
        <w:rPr>
          <w:sz w:val="19"/>
        </w:rPr>
        <w:t>Aš papildyčiau: deadline gali būti neprivalomas, bet tada turi būti aiškiai pažymėta „deadline missing“ ir approval lange PM turi jį papildyti arba palikti kaip atvirą klausimą.</w:t>
      </w:r>
    </w:p>
    <w:p>
      <w:pPr>
        <w:spacing w:after="40"/>
      </w:pPr>
      <w:r>
        <w:rPr>
          <w:b/>
          <w:sz w:val="19"/>
        </w:rPr>
        <w:t xml:space="preserve">[20:19] Mantas Petrauskas: </w:t>
      </w:r>
      <w:r>
        <w:rPr>
          <w:sz w:val="19"/>
        </w:rPr>
        <w:t>Tai labai svarbu, nes automatinis deadline spėjimas gali būti pavojingas. „Iki kito sprinto“ gali reikšti skirtingas datas, jei sprintų kalendorius neintegruotas.</w:t>
      </w:r>
    </w:p>
    <w:p>
      <w:pPr>
        <w:spacing w:after="40"/>
      </w:pPr>
      <w:r>
        <w:rPr>
          <w:b/>
          <w:sz w:val="19"/>
        </w:rPr>
        <w:t xml:space="preserve">[21:56] Rokas Vaitkus: </w:t>
      </w:r>
      <w:r>
        <w:rPr>
          <w:sz w:val="19"/>
        </w:rPr>
        <w:t>Tada deadline resolver turi atskirti konkrečią datą, santykinę datą ir sąlyginį terminą. „Iki penktadienio“ galima paversti data, jei žinome susitikimo datą. „Kai klientas patvirtins“ nėra data.</w:t>
      </w:r>
    </w:p>
    <w:p>
      <w:pPr>
        <w:spacing w:after="40"/>
      </w:pPr>
      <w:r>
        <w:rPr>
          <w:b/>
          <w:sz w:val="19"/>
        </w:rPr>
        <w:t xml:space="preserve">[22:33] Agnė Urbonaitė: </w:t>
      </w:r>
      <w:r>
        <w:rPr>
          <w:sz w:val="19"/>
        </w:rPr>
        <w:t>Technologiškai tai galima daryti taisyklėmis ir LLM pagalba. Bet galutinė data į Jira turi keliauti tik tada, kai confidence pakankamas arba PM ją patvirtino.</w:t>
      </w:r>
    </w:p>
    <w:p>
      <w:pPr>
        <w:spacing w:after="40"/>
      </w:pPr>
      <w:r>
        <w:rPr>
          <w:b/>
          <w:sz w:val="19"/>
        </w:rPr>
        <w:t xml:space="preserve">[23:10] Akvilė Burokienė: </w:t>
      </w:r>
      <w:r>
        <w:rPr>
          <w:sz w:val="19"/>
        </w:rPr>
        <w:t>Sutarta. Dabar apie Jira. Tomas arba Mantas, ką turime žinoti prieš siųsdami duomenis į Jira API?</w:t>
      </w:r>
    </w:p>
    <w:p>
      <w:pPr>
        <w:spacing w:after="40"/>
      </w:pPr>
      <w:r>
        <w:rPr>
          <w:b/>
          <w:sz w:val="19"/>
        </w:rPr>
        <w:t xml:space="preserve">[24:47] Agnė Urbonaitė: </w:t>
      </w:r>
      <w:r>
        <w:rPr>
          <w:sz w:val="19"/>
        </w:rPr>
        <w:t>Jira issue kūrimui privalomi project key, issue type, summary ir description. Assignee, priority ir due date priklauso nuo projekto konfigūracijos. Todėl turime turėti field mapping lentelę.</w:t>
      </w:r>
    </w:p>
    <w:p>
      <w:pPr>
        <w:spacing w:after="40"/>
      </w:pPr>
      <w:r>
        <w:rPr>
          <w:b/>
          <w:sz w:val="19"/>
        </w:rPr>
        <w:t xml:space="preserve">[25:24] Ineta Lankelytė: </w:t>
      </w:r>
      <w:r>
        <w:rPr>
          <w:sz w:val="19"/>
        </w:rPr>
        <w:t>AI gali pasiūlyti priority, bet ar jis turėtų būti automatiškai priimamas? Jei susitikime sakoma „skubu“, tai dar nereiškia Critical.</w:t>
      </w:r>
    </w:p>
    <w:p>
      <w:pPr>
        <w:spacing w:after="40"/>
      </w:pPr>
      <w:r>
        <w:rPr>
          <w:b/>
          <w:sz w:val="19"/>
        </w:rPr>
        <w:t xml:space="preserve">[26:01] Ūla Šveiterytė: </w:t>
      </w:r>
      <w:r>
        <w:rPr>
          <w:sz w:val="19"/>
        </w:rPr>
        <w:t>Priority turėtų būti rekomendacinis laukas. Testuose pažymėsime, ar priority atitinka transkripte nurodytą riziką arba skubumą, bet PM turi galėti jį pakeisti.</w:t>
      </w:r>
    </w:p>
    <w:p>
      <w:pPr>
        <w:spacing w:after="40"/>
      </w:pPr>
      <w:r>
        <w:rPr>
          <w:b/>
          <w:sz w:val="19"/>
        </w:rPr>
        <w:t xml:space="preserve">[27:38] Mantas Petrauskas: </w:t>
      </w:r>
      <w:r>
        <w:rPr>
          <w:sz w:val="19"/>
        </w:rPr>
        <w:t>Ir nepamirškime audit trail: jei PM pakeičia priority iš High į Medium, tai turi būti užfiksuota. Vėliau galėsime analizuoti, kur AI dažniausiai klysta.</w:t>
      </w:r>
    </w:p>
    <w:p>
      <w:pPr>
        <w:spacing w:after="40"/>
      </w:pPr>
      <w:r>
        <w:rPr>
          <w:b/>
          <w:sz w:val="19"/>
        </w:rPr>
        <w:t xml:space="preserve">[28:15] Rokas Vaitkus: </w:t>
      </w:r>
      <w:r>
        <w:rPr>
          <w:sz w:val="19"/>
        </w:rPr>
        <w:t>Tokie PM pakeitimai yra vertingas mokymosi signalas. Net jei modelio netreniruosime iš karto, galime kaupti klaidų registrą.</w:t>
      </w:r>
    </w:p>
    <w:p>
      <w:pPr>
        <w:spacing w:after="40"/>
      </w:pPr>
      <w:r>
        <w:rPr>
          <w:b/>
          <w:sz w:val="19"/>
        </w:rPr>
        <w:t xml:space="preserve">[29:52] Agnė Urbonaitė: </w:t>
      </w:r>
      <w:r>
        <w:rPr>
          <w:sz w:val="19"/>
        </w:rPr>
        <w:t>Dėl saugumas siūlau atskirą testinį scenarijų. Turime patikrinti, ar sistema tinkamai elgiasi, kai duomenys nepilni, kai API neveikia, ir kai vartotojas paspaudžia Cancel.</w:t>
      </w:r>
    </w:p>
    <w:p>
      <w:pPr>
        <w:spacing w:after="40"/>
      </w:pPr>
      <w:r>
        <w:rPr>
          <w:b/>
          <w:sz w:val="19"/>
        </w:rPr>
        <w:t xml:space="preserve">[30:29] Akvilė Burokienė: </w:t>
      </w:r>
      <w:r>
        <w:rPr>
          <w:sz w:val="19"/>
        </w:rPr>
        <w:t>Gerai, matau, kad diskusija juda teisinga kryptimi. Dabar noriu pereiti prie konkrečių darbų. Ką kiekvienas pasiimame po šio susitikimo?</w:t>
      </w:r>
    </w:p>
    <w:p>
      <w:pPr>
        <w:spacing w:after="40"/>
      </w:pPr>
      <w:r>
        <w:rPr>
          <w:b/>
          <w:sz w:val="19"/>
        </w:rPr>
        <w:t xml:space="preserve">[30:06] Ineta Lankelytė: </w:t>
      </w:r>
      <w:r>
        <w:rPr>
          <w:sz w:val="19"/>
        </w:rPr>
        <w:t>Aš pasiimu parengti sprendimo aprašą dėl STT modeliai. Įtrauksiu alternatyvas, kodėl vienas variantas tinkamas MVP, o kitas gali būti paliktas pilotui.</w:t>
      </w:r>
    </w:p>
    <w:p>
      <w:pPr>
        <w:spacing w:after="40"/>
      </w:pPr>
      <w:r>
        <w:rPr>
          <w:b/>
          <w:sz w:val="19"/>
        </w:rPr>
        <w:t xml:space="preserve">[31:43] Ūla Šveiterytė: </w:t>
      </w:r>
      <w:r>
        <w:rPr>
          <w:sz w:val="19"/>
        </w:rPr>
        <w:t>Aš parengsiu testų lentelę. Joje bus scenarijus, input, expected result, actual result, Pass/Fail, komentaras ir susijęs reikalavimas iš backlog.</w:t>
      </w:r>
    </w:p>
    <w:p>
      <w:pPr>
        <w:spacing w:after="40"/>
      </w:pPr>
      <w:r>
        <w:rPr>
          <w:b/>
          <w:sz w:val="19"/>
        </w:rPr>
        <w:t xml:space="preserve">[32:20] Mantas Petrauskas: </w:t>
      </w:r>
      <w:r>
        <w:rPr>
          <w:sz w:val="19"/>
        </w:rPr>
        <w:t>Aš parengsiu rizikų ir governance komentarus dėl WER. Noriu, kad būtų aišku, ką sistema daro kaip assistant, o kur sprendimą priima žmogus.</w:t>
      </w:r>
    </w:p>
    <w:p>
      <w:pPr>
        <w:spacing w:after="40"/>
      </w:pPr>
      <w:r>
        <w:rPr>
          <w:b/>
          <w:sz w:val="19"/>
        </w:rPr>
        <w:t xml:space="preserve">[33:57] Rokas Vaitkus: </w:t>
      </w:r>
      <w:r>
        <w:rPr>
          <w:sz w:val="19"/>
        </w:rPr>
        <w:t>Aš paruošiu duomenų pavyzdžius: vieną aiškų transkriptą, vieną su triukšmu, vieną su kelių kalbėtojų persidengimu ir vieną su LT/EN terminais.</w:t>
      </w:r>
    </w:p>
    <w:p>
      <w:pPr>
        <w:spacing w:after="40"/>
      </w:pPr>
      <w:r>
        <w:rPr>
          <w:b/>
          <w:sz w:val="19"/>
        </w:rPr>
        <w:t xml:space="preserve">[34:34] Agnė Urbonaitė: </w:t>
      </w:r>
      <w:r>
        <w:rPr>
          <w:sz w:val="19"/>
        </w:rPr>
        <w:t>Aš pažiūrėsiu techninę dalį: kokie laukai turi keliauti tarp modulių, kokių klaidų tikimės ir kaip jas grąžiname į UI.</w:t>
      </w:r>
    </w:p>
    <w:p>
      <w:pPr>
        <w:spacing w:after="40"/>
      </w:pPr>
      <w:r>
        <w:rPr>
          <w:b/>
          <w:sz w:val="19"/>
        </w:rPr>
        <w:t xml:space="preserve">[35:11] Akvilė Burokienė: </w:t>
      </w:r>
      <w:r>
        <w:rPr>
          <w:sz w:val="19"/>
        </w:rPr>
        <w:t>Puiku. Dabar dar vienas klausimas: kaip šis susitikimas turi atrodyti, kai jį analizuos ProMeet Insight AI? Kokius signalus sistema turėtų ištraukti?</w:t>
      </w:r>
    </w:p>
    <w:p>
      <w:pPr>
        <w:spacing w:after="40"/>
      </w:pPr>
      <w:r>
        <w:rPr>
          <w:b/>
          <w:sz w:val="19"/>
        </w:rPr>
        <w:t xml:space="preserve">[36:48] Ineta Lankelytė: </w:t>
      </w:r>
      <w:r>
        <w:rPr>
          <w:sz w:val="19"/>
        </w:rPr>
        <w:t>Sistema turėtų atpažinti, kad čia buvo keli sprendimai, ne tik užduotys. Sprendimas dėl human approval, sprendimas dėl privalomo source quote ir sprendimas dėl deadline neapibrėžtumo.</w:t>
      </w:r>
    </w:p>
    <w:p>
      <w:pPr>
        <w:spacing w:after="40"/>
      </w:pPr>
      <w:r>
        <w:rPr>
          <w:b/>
          <w:sz w:val="19"/>
        </w:rPr>
        <w:t xml:space="preserve">[37:25] Ūla Šveiterytė: </w:t>
      </w:r>
      <w:r>
        <w:rPr>
          <w:sz w:val="19"/>
        </w:rPr>
        <w:t>Taip pat turėtų ištraukti bent keturis ToDo su aiškiais owner. Jei owner pasakytas kaip „aš pasiimu“, sistema turi suprasti, kas kalbėjo tuo metu.</w:t>
      </w:r>
    </w:p>
    <w:p>
      <w:pPr>
        <w:spacing w:after="40"/>
      </w:pPr>
      <w:r>
        <w:rPr>
          <w:b/>
          <w:sz w:val="19"/>
        </w:rPr>
        <w:t xml:space="preserve">[38:02] Mantas Petrauskas: </w:t>
      </w:r>
      <w:r>
        <w:rPr>
          <w:sz w:val="19"/>
        </w:rPr>
        <w:t>Ir turi pažymėti rizikas: jautrūs duomenys, neteisingas assignee, deadline interpretacija, Jira API klaidos. Tai nėra tiesiog komentarai, jie turi patekti į rizikų sąrašą.</w:t>
      </w:r>
    </w:p>
    <w:p>
      <w:pPr>
        <w:spacing w:after="40"/>
      </w:pPr>
      <w:r>
        <w:rPr>
          <w:b/>
          <w:sz w:val="19"/>
        </w:rPr>
        <w:t xml:space="preserve">[39:39] Rokas Vaitkus: </w:t>
      </w:r>
      <w:r>
        <w:rPr>
          <w:sz w:val="19"/>
        </w:rPr>
        <w:t>Man dar svarbu, kad sistema nepainiotų diskusijos su įsipareigojimu. Kai sakau „galėtume“, tai nėra ToDo. Kai sakau „aš paruošiu iki penktadienio“, tai yra ToDo.</w:t>
      </w:r>
    </w:p>
    <w:p>
      <w:pPr>
        <w:spacing w:after="40"/>
      </w:pPr>
      <w:r>
        <w:rPr>
          <w:b/>
          <w:sz w:val="19"/>
        </w:rPr>
        <w:t xml:space="preserve">[40:16] Agnė Urbonaitė: </w:t>
      </w:r>
      <w:r>
        <w:rPr>
          <w:sz w:val="19"/>
        </w:rPr>
        <w:t>Šitam padės source quote. PM matys, kuo remiantis AI sukūrė užduotį, ir galės pasakyti, ar tai tikrai buvo įsipareigojimas.</w:t>
      </w:r>
    </w:p>
    <w:p>
      <w:pPr>
        <w:spacing w:after="40"/>
      </w:pPr>
      <w:r>
        <w:rPr>
          <w:b/>
          <w:sz w:val="19"/>
        </w:rPr>
        <w:t xml:space="preserve">[41:53] Akvilė Burokienė: </w:t>
      </w:r>
      <w:r>
        <w:rPr>
          <w:sz w:val="19"/>
        </w:rPr>
        <w:t>Gerai. Dabar aptarkime, ką darysime, jei testai parodys prastą rezultatą. Ar stabdome MVP, ar mažiname automatizacijos lygį?</w:t>
      </w:r>
    </w:p>
    <w:p>
      <w:pPr>
        <w:spacing w:after="40"/>
      </w:pPr>
      <w:r>
        <w:rPr>
          <w:b/>
          <w:sz w:val="19"/>
        </w:rPr>
        <w:t xml:space="preserve">[42:30] Ineta Lankelytė: </w:t>
      </w:r>
      <w:r>
        <w:rPr>
          <w:sz w:val="19"/>
        </w:rPr>
        <w:t>Jei modelis prastai identifikuoja užduotis, siūlau ne stabdyti MVP, o pereiti į labiau konservatyvų režimą: generuoti kandidatus, bet viską privalomai tvirtina PM.</w:t>
      </w:r>
    </w:p>
    <w:p>
      <w:pPr>
        <w:spacing w:after="40"/>
      </w:pPr>
      <w:r>
        <w:rPr>
          <w:b/>
          <w:sz w:val="19"/>
        </w:rPr>
        <w:t xml:space="preserve">[43:07] Ūla Šveiterytė: </w:t>
      </w:r>
      <w:r>
        <w:rPr>
          <w:sz w:val="19"/>
        </w:rPr>
        <w:t>QA požiūriu tai priimtina. Svarbu, kad sistema nebūtų pristatoma kaip 100 procentų automatinė. Ji yra pagalbinis įrankis su kontrolės sluoksniu.</w:t>
      </w:r>
    </w:p>
    <w:p>
      <w:pPr>
        <w:spacing w:after="40"/>
      </w:pPr>
      <w:r>
        <w:rPr>
          <w:b/>
          <w:sz w:val="19"/>
        </w:rPr>
        <w:t xml:space="preserve">[44:44] Mantas Petrauskas: </w:t>
      </w:r>
      <w:r>
        <w:rPr>
          <w:sz w:val="19"/>
        </w:rPr>
        <w:t>Ir tai geriau atitinka AI Act limited risk logiką. Sistema nepriima autonominių sprendimų, o padeda žmogui suformuoti projektinius artefaktus.</w:t>
      </w:r>
    </w:p>
    <w:p>
      <w:pPr>
        <w:spacing w:after="40"/>
      </w:pPr>
      <w:r>
        <w:rPr>
          <w:b/>
          <w:sz w:val="19"/>
        </w:rPr>
        <w:t xml:space="preserve">[45:21] Rokas Vaitkus: </w:t>
      </w:r>
      <w:r>
        <w:rPr>
          <w:sz w:val="19"/>
        </w:rPr>
        <w:t>Praktikoje tai reiškia, kad pirmame pilote galime matuoti ne tik tikslumą, bet ir PM redagavimo procentą. Jei PM daug taiso, žinome, kur tobulinti modelį.</w:t>
      </w:r>
    </w:p>
    <w:p>
      <w:pPr>
        <w:spacing w:after="40"/>
      </w:pPr>
      <w:r>
        <w:rPr>
          <w:b/>
          <w:sz w:val="19"/>
        </w:rPr>
        <w:t xml:space="preserve">[46:58] Agnė Urbonaitė: </w:t>
      </w:r>
      <w:r>
        <w:rPr>
          <w:sz w:val="19"/>
        </w:rPr>
        <w:t>Technologiškai galime loginti kiekvieną redagavimą: kuris laukas keistas, kokia buvo AI reikšmė ir kokia patvirtinta reikšmė.</w:t>
      </w:r>
    </w:p>
    <w:p>
      <w:pPr>
        <w:spacing w:after="40"/>
      </w:pPr>
      <w:r>
        <w:rPr>
          <w:b/>
          <w:sz w:val="19"/>
        </w:rPr>
        <w:t xml:space="preserve">[47:35] Akvilė Burokienė: </w:t>
      </w:r>
      <w:r>
        <w:rPr>
          <w:sz w:val="19"/>
        </w:rPr>
        <w:t>Toks logas labai tinka dashboard. Eglė vėliau galės skaičiuoti adoption ir quality KPI.</w:t>
      </w:r>
    </w:p>
    <w:p>
      <w:pPr>
        <w:spacing w:after="40"/>
      </w:pPr>
      <w:r>
        <w:rPr>
          <w:b/>
          <w:sz w:val="19"/>
        </w:rPr>
        <w:t xml:space="preserve">[48:12] Ineta Lankelytė: </w:t>
      </w:r>
      <w:r>
        <w:rPr>
          <w:sz w:val="19"/>
        </w:rPr>
        <w:t>Taip, ir tai padės pagrįsti projekto vertę: kiek užduočių sukurta, kiek laiko sutaupyta, kiek klaidų išvengta dėl human approval.</w:t>
      </w:r>
    </w:p>
    <w:p>
      <w:pPr>
        <w:spacing w:after="40"/>
      </w:pPr>
      <w:r>
        <w:rPr>
          <w:b/>
          <w:sz w:val="19"/>
        </w:rPr>
        <w:t xml:space="preserve">[49:49] Ūla Šveiterytė: </w:t>
      </w:r>
      <w:r>
        <w:rPr>
          <w:sz w:val="19"/>
        </w:rPr>
        <w:t>Aš noriu, kad KPI nebūtų tik skaičiai dėl skaičių. Jie turi atsakyti, ar sistema tikrai padeda komandai dirbti greičiau ir kokybiškiau.</w:t>
      </w:r>
    </w:p>
    <w:p>
      <w:pPr>
        <w:spacing w:after="40"/>
      </w:pPr>
      <w:r>
        <w:rPr>
          <w:b/>
          <w:sz w:val="19"/>
        </w:rPr>
        <w:t xml:space="preserve">[50:26] Mantas Petrauskas: </w:t>
      </w:r>
      <w:r>
        <w:rPr>
          <w:sz w:val="19"/>
        </w:rPr>
        <w:t>Ir ar ji nesukuria papildomos rizikos. Jei Meeting Notes su jautria informacija beveik išsiunčiamas ne tam adresatui, tai turi būti rimtas incidento signalas.</w:t>
      </w:r>
    </w:p>
    <w:p>
      <w:pPr>
        <w:spacing w:after="40"/>
      </w:pPr>
      <w:r>
        <w:rPr>
          <w:b/>
          <w:sz w:val="19"/>
        </w:rPr>
        <w:t xml:space="preserve">[51:03] Rokas Vaitkus: </w:t>
      </w:r>
      <w:r>
        <w:rPr>
          <w:sz w:val="19"/>
        </w:rPr>
        <w:t>Todėl preview ir approve procesas privalo būti testuojamas taip pat rimtai kaip Jira issue kūrimas.</w:t>
      </w:r>
    </w:p>
    <w:p>
      <w:pPr>
        <w:spacing w:after="40"/>
      </w:pPr>
      <w:r>
        <w:rPr>
          <w:b/>
          <w:sz w:val="19"/>
        </w:rPr>
        <w:t xml:space="preserve">[52:40] Agnė Urbonaitė: </w:t>
      </w:r>
      <w:r>
        <w:rPr>
          <w:sz w:val="19"/>
        </w:rPr>
        <w:t>Aš pridėsiu tai į techninius scenarijus. Cancel turi fiksuotis audit trail, bet jokio el. laiško ar Jira pakeitimo neturi įvykti.</w:t>
      </w:r>
    </w:p>
    <w:p>
      <w:pPr>
        <w:spacing w:after="40"/>
      </w:pPr>
      <w:r>
        <w:rPr>
          <w:b/>
          <w:sz w:val="19"/>
        </w:rPr>
        <w:t xml:space="preserve">[53:17] Akvilė Burokienė: </w:t>
      </w:r>
      <w:r>
        <w:rPr>
          <w:sz w:val="19"/>
        </w:rPr>
        <w:t>Gerai, artėjame prie pabaigos. Pakartokime sprendimus, kad transkripte būtų aišku.</w:t>
      </w:r>
    </w:p>
    <w:p>
      <w:pPr>
        <w:spacing w:after="40"/>
      </w:pPr>
      <w:r>
        <w:rPr>
          <w:b/>
          <w:sz w:val="19"/>
        </w:rPr>
        <w:t xml:space="preserve">[54:54] Ineta Lankelytė: </w:t>
      </w:r>
      <w:r>
        <w:rPr>
          <w:sz w:val="19"/>
        </w:rPr>
        <w:t>Pirmas sprendimas: STT modeliai bus aprašytas kaip atskiras backlog arba Spike rezultatas, ne kaip neformali pastaba.</w:t>
      </w:r>
    </w:p>
    <w:p>
      <w:pPr>
        <w:spacing w:after="40"/>
      </w:pPr>
      <w:r>
        <w:rPr>
          <w:b/>
          <w:sz w:val="19"/>
        </w:rPr>
        <w:t xml:space="preserve">[55:31] Ūla Šveiterytė: </w:t>
      </w:r>
      <w:r>
        <w:rPr>
          <w:sz w:val="19"/>
        </w:rPr>
        <w:t>Antras sprendimas: kiekvienas AI sugeneruotas objektas turi būti vertinamas per laukus, o ne tik per bendrą semantinę santrauką.</w:t>
      </w:r>
    </w:p>
    <w:p>
      <w:pPr>
        <w:spacing w:after="40"/>
      </w:pPr>
      <w:r>
        <w:rPr>
          <w:b/>
          <w:sz w:val="19"/>
        </w:rPr>
        <w:t xml:space="preserve">[56:08] Mantas Petrauskas: </w:t>
      </w:r>
      <w:r>
        <w:rPr>
          <w:sz w:val="19"/>
        </w:rPr>
        <w:t>Trečias sprendimas: konfidencialumas ir žmogaus patvirtinimas yra privalomi kontrolės taškai, ne nice-to-have.</w:t>
      </w:r>
    </w:p>
    <w:p>
      <w:pPr>
        <w:spacing w:after="40"/>
      </w:pPr>
      <w:r>
        <w:rPr>
          <w:b/>
          <w:sz w:val="19"/>
        </w:rPr>
        <w:t xml:space="preserve">[57:45] Rokas Vaitkus: </w:t>
      </w:r>
      <w:r>
        <w:rPr>
          <w:sz w:val="19"/>
        </w:rPr>
        <w:t>Ketvirtas sprendimas: testiniams duomenims reikia realistiškų susitikimų su triukšmu, pertraukimais, neaiškiais terminais ir aiškiais ToDo.</w:t>
      </w:r>
    </w:p>
    <w:p>
      <w:pPr>
        <w:spacing w:after="40"/>
      </w:pPr>
      <w:r>
        <w:rPr>
          <w:b/>
          <w:sz w:val="19"/>
        </w:rPr>
        <w:t xml:space="preserve">[58:22] Agnė Urbonaitė: </w:t>
      </w:r>
      <w:r>
        <w:rPr>
          <w:sz w:val="19"/>
        </w:rPr>
        <w:t>Penktas sprendimas: į Jira keliauja tik validuotas ir patvirtintas payload, o ne neapdorotas LLM tekstas.</w:t>
      </w:r>
    </w:p>
    <w:p>
      <w:pPr>
        <w:spacing w:after="40"/>
      </w:pPr>
      <w:r>
        <w:rPr>
          <w:b/>
          <w:sz w:val="19"/>
        </w:rPr>
        <w:t xml:space="preserve">[59:59] Akvilė Burokienė: </w:t>
      </w:r>
      <w:r>
        <w:rPr>
          <w:sz w:val="19"/>
        </w:rPr>
        <w:t>Puiku. Uždarau susitikimą. Po šio pokalbio visi turime aiškius veiksmus, o transkriptas turėtų būti tinkamas testuoti ProMeet Insight AI užduočių identifikavimą.</w:t>
      </w:r>
    </w:p>
    <w:p>
      <w:pPr>
        <w:pStyle w:val="Heading2"/>
      </w:pPr>
      <w:r>
        <w:t>Pagrindiniai sprendimai</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0F766E"/>
          </w:tcPr>
          <w:p>
            <w:r>
              <w:rPr>
                <w:b/>
                <w:color w:val="FFFFFF"/>
                <w:sz w:val="16"/>
              </w:rPr>
            </w:r>
            <w:r>
              <w:rPr>
                <w:b/>
                <w:color w:val="FFFFFF"/>
                <w:sz w:val="16"/>
              </w:rPr>
              <w:t>Nr.</w:t>
            </w:r>
          </w:p>
        </w:tc>
        <w:tc>
          <w:tcPr>
            <w:tcW w:type="dxa" w:w="3456"/>
            <w:vAlign w:val="top"/>
            <w:shd w:fill="0F766E"/>
          </w:tcPr>
          <w:p>
            <w:r>
              <w:rPr>
                <w:b/>
                <w:color w:val="FFFFFF"/>
                <w:sz w:val="16"/>
              </w:rPr>
            </w:r>
            <w:r>
              <w:rPr>
                <w:b/>
                <w:color w:val="FFFFFF"/>
                <w:sz w:val="16"/>
              </w:rPr>
              <w:t>Sprendimas</w:t>
            </w:r>
          </w:p>
        </w:tc>
        <w:tc>
          <w:tcPr>
            <w:tcW w:type="dxa" w:w="3456"/>
            <w:vAlign w:val="top"/>
            <w:shd w:fill="0F766E"/>
          </w:tcPr>
          <w:p>
            <w:r>
              <w:rPr>
                <w:b/>
                <w:color w:val="FFFFFF"/>
                <w:sz w:val="16"/>
              </w:rPr>
            </w:r>
            <w:r>
              <w:rPr>
                <w:b/>
                <w:color w:val="FFFFFF"/>
                <w:sz w:val="16"/>
              </w:rPr>
              <w:t>Poveikis projektui</w:t>
            </w:r>
          </w:p>
        </w:tc>
      </w:tr>
      <w:tr>
        <w:tc>
          <w:tcPr>
            <w:tcW w:type="dxa" w:w="3456"/>
            <w:vAlign w:val="top"/>
          </w:tcPr>
          <w:p>
            <w:r/>
            <w:r>
              <w:rPr>
                <w:b w:val="0"/>
                <w:sz w:val="15"/>
              </w:rPr>
              <w:t>1</w:t>
            </w:r>
          </w:p>
        </w:tc>
        <w:tc>
          <w:tcPr>
            <w:tcW w:type="dxa" w:w="3456"/>
            <w:vAlign w:val="top"/>
          </w:tcPr>
          <w:p>
            <w:r/>
            <w:r>
              <w:rPr>
                <w:b w:val="0"/>
                <w:sz w:val="15"/>
              </w:rPr>
              <w:t>STT modeliai valdoma kaip atskiras sprendimo arba Spike rezultatas.</w:t>
            </w:r>
          </w:p>
        </w:tc>
        <w:tc>
          <w:tcPr>
            <w:tcW w:type="dxa" w:w="3456"/>
            <w:vAlign w:val="top"/>
          </w:tcPr>
          <w:p>
            <w:r/>
            <w:r>
              <w:rPr>
                <w:b w:val="0"/>
                <w:sz w:val="15"/>
              </w:rPr>
              <w:t>Užtikrina aiškų atsekamumą backlog'e ir Jira procese.</w:t>
            </w:r>
          </w:p>
        </w:tc>
      </w:tr>
      <w:tr>
        <w:tc>
          <w:tcPr>
            <w:tcW w:type="dxa" w:w="3456"/>
            <w:vAlign w:val="top"/>
          </w:tcPr>
          <w:p>
            <w:r/>
            <w:r>
              <w:rPr>
                <w:b w:val="0"/>
                <w:sz w:val="15"/>
              </w:rPr>
              <w:t>2</w:t>
            </w:r>
          </w:p>
        </w:tc>
        <w:tc>
          <w:tcPr>
            <w:tcW w:type="dxa" w:w="3456"/>
            <w:vAlign w:val="top"/>
          </w:tcPr>
          <w:p>
            <w:r/>
            <w:r>
              <w:rPr>
                <w:b w:val="0"/>
                <w:sz w:val="15"/>
              </w:rPr>
              <w:t>AI išvestis turi būti pagrįsta source quote ir confidence, ypač kai aptariama WER.</w:t>
            </w:r>
          </w:p>
        </w:tc>
        <w:tc>
          <w:tcPr>
            <w:tcW w:type="dxa" w:w="3456"/>
            <w:vAlign w:val="top"/>
          </w:tcPr>
          <w:p>
            <w:r/>
            <w:r>
              <w:rPr>
                <w:b w:val="0"/>
                <w:sz w:val="15"/>
              </w:rPr>
              <w:t>Mažinama haliucinacijų, klaidingo assignee ir neteisingo deadline rizika.</w:t>
            </w:r>
          </w:p>
        </w:tc>
      </w:tr>
      <w:tr>
        <w:tc>
          <w:tcPr>
            <w:tcW w:type="dxa" w:w="3456"/>
            <w:vAlign w:val="top"/>
          </w:tcPr>
          <w:p>
            <w:r/>
            <w:r>
              <w:rPr>
                <w:b w:val="0"/>
                <w:sz w:val="15"/>
              </w:rPr>
              <w:t>3</w:t>
            </w:r>
          </w:p>
        </w:tc>
        <w:tc>
          <w:tcPr>
            <w:tcW w:type="dxa" w:w="3456"/>
            <w:vAlign w:val="top"/>
          </w:tcPr>
          <w:p>
            <w:r/>
            <w:r>
              <w:rPr>
                <w:b w:val="0"/>
                <w:sz w:val="15"/>
              </w:rPr>
              <w:t>Neaiškūs atvejai keliauja į human approval, o ne automatiškai į Jira.</w:t>
            </w:r>
          </w:p>
        </w:tc>
        <w:tc>
          <w:tcPr>
            <w:tcW w:type="dxa" w:w="3456"/>
            <w:vAlign w:val="top"/>
          </w:tcPr>
          <w:p>
            <w:r/>
            <w:r>
              <w:rPr>
                <w:b w:val="0"/>
                <w:sz w:val="15"/>
              </w:rPr>
              <w:t>Užtikrinama žmogaus kontrolė ir audit trail.</w:t>
            </w:r>
          </w:p>
        </w:tc>
      </w:tr>
      <w:tr>
        <w:tc>
          <w:tcPr>
            <w:tcW w:type="dxa" w:w="3456"/>
            <w:vAlign w:val="top"/>
          </w:tcPr>
          <w:p>
            <w:r/>
            <w:r>
              <w:rPr>
                <w:b w:val="0"/>
                <w:sz w:val="15"/>
              </w:rPr>
              <w:t>4</w:t>
            </w:r>
          </w:p>
        </w:tc>
        <w:tc>
          <w:tcPr>
            <w:tcW w:type="dxa" w:w="3456"/>
            <w:vAlign w:val="top"/>
          </w:tcPr>
          <w:p>
            <w:r/>
            <w:r>
              <w:rPr>
                <w:b w:val="0"/>
                <w:sz w:val="15"/>
              </w:rPr>
              <w:t>Testavimo scenarijai turi apimti tiek teigiamus, tiek edge case pavyzdžius.</w:t>
            </w:r>
          </w:p>
        </w:tc>
        <w:tc>
          <w:tcPr>
            <w:tcW w:type="dxa" w:w="3456"/>
            <w:vAlign w:val="top"/>
          </w:tcPr>
          <w:p>
            <w:r/>
            <w:r>
              <w:rPr>
                <w:b w:val="0"/>
                <w:sz w:val="15"/>
              </w:rPr>
              <w:t>Leidžia patikrinti realų sistemos atsparumą.</w:t>
            </w:r>
          </w:p>
        </w:tc>
      </w:tr>
    </w:tbl>
    <w:p/>
    <w:p>
      <w:pPr>
        <w:pStyle w:val="Heading2"/>
      </w:pPr>
      <w:r>
        <w:t>AI identifikuojami ToDo / Jira kandidatai</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0F766E"/>
          </w:tcPr>
          <w:p>
            <w:r>
              <w:rPr>
                <w:b/>
                <w:color w:val="FFFFFF"/>
                <w:sz w:val="16"/>
              </w:rPr>
            </w:r>
            <w:r>
              <w:rPr>
                <w:b/>
                <w:color w:val="FFFFFF"/>
                <w:sz w:val="16"/>
              </w:rPr>
              <w:t>ID</w:t>
            </w:r>
          </w:p>
        </w:tc>
        <w:tc>
          <w:tcPr>
            <w:tcW w:type="dxa" w:w="1481"/>
            <w:vAlign w:val="top"/>
            <w:shd w:fill="0F766E"/>
          </w:tcPr>
          <w:p>
            <w:r>
              <w:rPr>
                <w:b/>
                <w:color w:val="FFFFFF"/>
                <w:sz w:val="16"/>
              </w:rPr>
            </w:r>
            <w:r>
              <w:rPr>
                <w:b/>
                <w:color w:val="FFFFFF"/>
                <w:sz w:val="16"/>
              </w:rPr>
              <w:t>Užduotis</w:t>
            </w:r>
          </w:p>
        </w:tc>
        <w:tc>
          <w:tcPr>
            <w:tcW w:type="dxa" w:w="1481"/>
            <w:vAlign w:val="top"/>
            <w:shd w:fill="0F766E"/>
          </w:tcPr>
          <w:p>
            <w:r>
              <w:rPr>
                <w:b/>
                <w:color w:val="FFFFFF"/>
                <w:sz w:val="16"/>
              </w:rPr>
            </w:r>
            <w:r>
              <w:rPr>
                <w:b/>
                <w:color w:val="FFFFFF"/>
                <w:sz w:val="16"/>
              </w:rPr>
              <w:t>Atsakingas</w:t>
            </w:r>
          </w:p>
        </w:tc>
        <w:tc>
          <w:tcPr>
            <w:tcW w:type="dxa" w:w="1481"/>
            <w:vAlign w:val="top"/>
            <w:shd w:fill="0F766E"/>
          </w:tcPr>
          <w:p>
            <w:r>
              <w:rPr>
                <w:b/>
                <w:color w:val="FFFFFF"/>
                <w:sz w:val="16"/>
              </w:rPr>
            </w:r>
            <w:r>
              <w:rPr>
                <w:b/>
                <w:color w:val="FFFFFF"/>
                <w:sz w:val="16"/>
              </w:rPr>
              <w:t>Terminas</w:t>
            </w:r>
          </w:p>
        </w:tc>
        <w:tc>
          <w:tcPr>
            <w:tcW w:type="dxa" w:w="1481"/>
            <w:vAlign w:val="top"/>
            <w:shd w:fill="0F766E"/>
          </w:tcPr>
          <w:p>
            <w:r>
              <w:rPr>
                <w:b/>
                <w:color w:val="FFFFFF"/>
                <w:sz w:val="16"/>
              </w:rPr>
            </w:r>
            <w:r>
              <w:rPr>
                <w:b/>
                <w:color w:val="FFFFFF"/>
                <w:sz w:val="16"/>
              </w:rPr>
              <w:t>Prioritetas</w:t>
            </w:r>
          </w:p>
        </w:tc>
        <w:tc>
          <w:tcPr>
            <w:tcW w:type="dxa" w:w="1481"/>
            <w:vAlign w:val="top"/>
            <w:shd w:fill="0F766E"/>
          </w:tcPr>
          <w:p>
            <w:r>
              <w:rPr>
                <w:b/>
                <w:color w:val="FFFFFF"/>
                <w:sz w:val="16"/>
              </w:rPr>
            </w:r>
            <w:r>
              <w:rPr>
                <w:b/>
                <w:color w:val="FFFFFF"/>
                <w:sz w:val="16"/>
              </w:rPr>
              <w:t>Source quote</w:t>
            </w:r>
          </w:p>
        </w:tc>
        <w:tc>
          <w:tcPr>
            <w:tcW w:type="dxa" w:w="1481"/>
            <w:vAlign w:val="top"/>
            <w:shd w:fill="0F766E"/>
          </w:tcPr>
          <w:p>
            <w:r>
              <w:rPr>
                <w:b/>
                <w:color w:val="FFFFFF"/>
                <w:sz w:val="16"/>
              </w:rPr>
            </w:r>
            <w:r>
              <w:rPr>
                <w:b/>
                <w:color w:val="FFFFFF"/>
                <w:sz w:val="16"/>
              </w:rPr>
              <w:t>Jira veiksmas</w:t>
            </w:r>
          </w:p>
        </w:tc>
      </w:tr>
      <w:tr>
        <w:tc>
          <w:tcPr>
            <w:tcW w:type="dxa" w:w="1481"/>
            <w:vAlign w:val="top"/>
          </w:tcPr>
          <w:p>
            <w:r/>
            <w:r>
              <w:rPr>
                <w:b w:val="0"/>
                <w:sz w:val="15"/>
              </w:rPr>
              <w:t>TD-02-1</w:t>
            </w:r>
          </w:p>
        </w:tc>
        <w:tc>
          <w:tcPr>
            <w:tcW w:type="dxa" w:w="1481"/>
            <w:vAlign w:val="top"/>
          </w:tcPr>
          <w:p>
            <w:r/>
            <w:r>
              <w:rPr>
                <w:b w:val="0"/>
                <w:sz w:val="15"/>
              </w:rPr>
              <w:t>Paruošti STT modelių palyginimo matricą</w:t>
            </w:r>
          </w:p>
        </w:tc>
        <w:tc>
          <w:tcPr>
            <w:tcW w:type="dxa" w:w="1481"/>
            <w:vAlign w:val="top"/>
          </w:tcPr>
          <w:p>
            <w:r/>
            <w:r>
              <w:rPr>
                <w:b w:val="0"/>
                <w:sz w:val="15"/>
              </w:rPr>
              <w:t>Akvilė Burokienė</w:t>
            </w:r>
          </w:p>
        </w:tc>
        <w:tc>
          <w:tcPr>
            <w:tcW w:type="dxa" w:w="1481"/>
            <w:vAlign w:val="top"/>
          </w:tcPr>
          <w:p>
            <w:r/>
            <w:r>
              <w:rPr>
                <w:b w:val="0"/>
                <w:sz w:val="15"/>
              </w:rPr>
              <w:t>iki penktadienio</w:t>
            </w:r>
          </w:p>
        </w:tc>
        <w:tc>
          <w:tcPr>
            <w:tcW w:type="dxa" w:w="1481"/>
            <w:vAlign w:val="top"/>
          </w:tcPr>
          <w:p>
            <w:r/>
            <w:r>
              <w:rPr>
                <w:b w:val="0"/>
                <w:sz w:val="15"/>
              </w:rPr>
              <w:t>High</w:t>
            </w:r>
          </w:p>
        </w:tc>
        <w:tc>
          <w:tcPr>
            <w:tcW w:type="dxa" w:w="1481"/>
            <w:vAlign w:val="top"/>
          </w:tcPr>
          <w:p>
            <w:r/>
            <w:r>
              <w:rPr>
                <w:b w:val="0"/>
                <w:sz w:val="15"/>
              </w:rPr>
              <w:t>Susitikime aiškiai aptarta: STT modeliai</w:t>
            </w:r>
          </w:p>
        </w:tc>
        <w:tc>
          <w:tcPr>
            <w:tcW w:type="dxa" w:w="1481"/>
            <w:vAlign w:val="top"/>
          </w:tcPr>
          <w:p>
            <w:r/>
            <w:r>
              <w:rPr>
                <w:b w:val="0"/>
                <w:sz w:val="15"/>
              </w:rPr>
              <w:t>Sukurti arba atnaujinti Jira task</w:t>
            </w:r>
          </w:p>
        </w:tc>
      </w:tr>
      <w:tr>
        <w:tc>
          <w:tcPr>
            <w:tcW w:type="dxa" w:w="1481"/>
            <w:vAlign w:val="top"/>
          </w:tcPr>
          <w:p>
            <w:r/>
            <w:r>
              <w:rPr>
                <w:b w:val="0"/>
                <w:sz w:val="15"/>
              </w:rPr>
              <w:t>TD-02-2</w:t>
            </w:r>
          </w:p>
        </w:tc>
        <w:tc>
          <w:tcPr>
            <w:tcW w:type="dxa" w:w="1481"/>
            <w:vAlign w:val="top"/>
          </w:tcPr>
          <w:p>
            <w:r/>
            <w:r>
              <w:rPr>
                <w:b w:val="0"/>
                <w:sz w:val="15"/>
              </w:rPr>
              <w:t>Surinkti 3–5 testinius garso įrašus</w:t>
            </w:r>
          </w:p>
        </w:tc>
        <w:tc>
          <w:tcPr>
            <w:tcW w:type="dxa" w:w="1481"/>
            <w:vAlign w:val="top"/>
          </w:tcPr>
          <w:p>
            <w:r/>
            <w:r>
              <w:rPr>
                <w:b w:val="0"/>
                <w:sz w:val="15"/>
              </w:rPr>
              <w:t>Ineta Lankelytė</w:t>
            </w:r>
          </w:p>
        </w:tc>
        <w:tc>
          <w:tcPr>
            <w:tcW w:type="dxa" w:w="1481"/>
            <w:vAlign w:val="top"/>
          </w:tcPr>
          <w:p>
            <w:r/>
            <w:r>
              <w:rPr>
                <w:b w:val="0"/>
                <w:sz w:val="15"/>
              </w:rPr>
              <w:t>iki kito trečiadienio</w:t>
            </w:r>
          </w:p>
        </w:tc>
        <w:tc>
          <w:tcPr>
            <w:tcW w:type="dxa" w:w="1481"/>
            <w:vAlign w:val="top"/>
          </w:tcPr>
          <w:p>
            <w:r/>
            <w:r>
              <w:rPr>
                <w:b w:val="0"/>
                <w:sz w:val="15"/>
              </w:rPr>
              <w:t>High</w:t>
            </w:r>
          </w:p>
        </w:tc>
        <w:tc>
          <w:tcPr>
            <w:tcW w:type="dxa" w:w="1481"/>
            <w:vAlign w:val="top"/>
          </w:tcPr>
          <w:p>
            <w:r/>
            <w:r>
              <w:rPr>
                <w:b w:val="0"/>
                <w:sz w:val="15"/>
              </w:rPr>
              <w:t>Susitikime aiškiai aptarta: WER</w:t>
            </w:r>
          </w:p>
        </w:tc>
        <w:tc>
          <w:tcPr>
            <w:tcW w:type="dxa" w:w="1481"/>
            <w:vAlign w:val="top"/>
          </w:tcPr>
          <w:p>
            <w:r/>
            <w:r>
              <w:rPr>
                <w:b w:val="0"/>
                <w:sz w:val="15"/>
              </w:rPr>
              <w:t>Sukurti arba atnaujinti Jira task</w:t>
            </w:r>
          </w:p>
        </w:tc>
      </w:tr>
      <w:tr>
        <w:tc>
          <w:tcPr>
            <w:tcW w:type="dxa" w:w="1481"/>
            <w:vAlign w:val="top"/>
          </w:tcPr>
          <w:p>
            <w:r/>
            <w:r>
              <w:rPr>
                <w:b w:val="0"/>
                <w:sz w:val="15"/>
              </w:rPr>
              <w:t>TD-02-3</w:t>
            </w:r>
          </w:p>
        </w:tc>
        <w:tc>
          <w:tcPr>
            <w:tcW w:type="dxa" w:w="1481"/>
            <w:vAlign w:val="top"/>
          </w:tcPr>
          <w:p>
            <w:r/>
            <w:r>
              <w:rPr>
                <w:b w:val="0"/>
                <w:sz w:val="15"/>
              </w:rPr>
              <w:t>Parengti kritinių STT klaidų vertinimo lentelę</w:t>
            </w:r>
          </w:p>
        </w:tc>
        <w:tc>
          <w:tcPr>
            <w:tcW w:type="dxa" w:w="1481"/>
            <w:vAlign w:val="top"/>
          </w:tcPr>
          <w:p>
            <w:r/>
            <w:r>
              <w:rPr>
                <w:b w:val="0"/>
                <w:sz w:val="15"/>
              </w:rPr>
              <w:t>Ūla Šveiterytė</w:t>
            </w:r>
          </w:p>
        </w:tc>
        <w:tc>
          <w:tcPr>
            <w:tcW w:type="dxa" w:w="1481"/>
            <w:vAlign w:val="top"/>
          </w:tcPr>
          <w:p>
            <w:r/>
            <w:r>
              <w:rPr>
                <w:b w:val="0"/>
                <w:sz w:val="15"/>
              </w:rPr>
              <w:t>iki sprinto pabaigos</w:t>
            </w:r>
          </w:p>
        </w:tc>
        <w:tc>
          <w:tcPr>
            <w:tcW w:type="dxa" w:w="1481"/>
            <w:vAlign w:val="top"/>
          </w:tcPr>
          <w:p>
            <w:r/>
            <w:r>
              <w:rPr>
                <w:b w:val="0"/>
                <w:sz w:val="15"/>
              </w:rPr>
              <w:t>High</w:t>
            </w:r>
          </w:p>
        </w:tc>
        <w:tc>
          <w:tcPr>
            <w:tcW w:type="dxa" w:w="1481"/>
            <w:vAlign w:val="top"/>
          </w:tcPr>
          <w:p>
            <w:r/>
            <w:r>
              <w:rPr>
                <w:b w:val="0"/>
                <w:sz w:val="15"/>
              </w:rPr>
              <w:t>Susitikime aiškiai aptarta: diarization</w:t>
            </w:r>
          </w:p>
        </w:tc>
        <w:tc>
          <w:tcPr>
            <w:tcW w:type="dxa" w:w="1481"/>
            <w:vAlign w:val="top"/>
          </w:tcPr>
          <w:p>
            <w:r/>
            <w:r>
              <w:rPr>
                <w:b w:val="0"/>
                <w:sz w:val="15"/>
              </w:rPr>
              <w:t>Sukurti arba atnaujinti Jira task</w:t>
            </w:r>
          </w:p>
        </w:tc>
      </w:tr>
      <w:tr>
        <w:tc>
          <w:tcPr>
            <w:tcW w:type="dxa" w:w="1481"/>
            <w:vAlign w:val="top"/>
          </w:tcPr>
          <w:p>
            <w:r/>
            <w:r>
              <w:rPr>
                <w:b w:val="0"/>
                <w:sz w:val="15"/>
              </w:rPr>
              <w:t>TD-02-4</w:t>
            </w:r>
          </w:p>
        </w:tc>
        <w:tc>
          <w:tcPr>
            <w:tcW w:type="dxa" w:w="1481"/>
            <w:vAlign w:val="top"/>
          </w:tcPr>
          <w:p>
            <w:r/>
            <w:r>
              <w:rPr>
                <w:b w:val="0"/>
                <w:sz w:val="15"/>
              </w:rPr>
              <w:t>Patikrinti STT servisų saugumo kriterijus</w:t>
            </w:r>
          </w:p>
        </w:tc>
        <w:tc>
          <w:tcPr>
            <w:tcW w:type="dxa" w:w="1481"/>
            <w:vAlign w:val="top"/>
          </w:tcPr>
          <w:p>
            <w:r/>
            <w:r>
              <w:rPr>
                <w:b w:val="0"/>
                <w:sz w:val="15"/>
              </w:rPr>
              <w:t>Mantas Petrauskas</w:t>
            </w:r>
          </w:p>
        </w:tc>
        <w:tc>
          <w:tcPr>
            <w:tcW w:type="dxa" w:w="1481"/>
            <w:vAlign w:val="top"/>
          </w:tcPr>
          <w:p>
            <w:r/>
            <w:r>
              <w:rPr>
                <w:b w:val="0"/>
                <w:sz w:val="15"/>
              </w:rPr>
              <w:t>iki kito review</w:t>
            </w:r>
          </w:p>
        </w:tc>
        <w:tc>
          <w:tcPr>
            <w:tcW w:type="dxa" w:w="1481"/>
            <w:vAlign w:val="top"/>
          </w:tcPr>
          <w:p>
            <w:r/>
            <w:r>
              <w:rPr>
                <w:b w:val="0"/>
                <w:sz w:val="15"/>
              </w:rPr>
              <w:t>Medium</w:t>
            </w:r>
          </w:p>
        </w:tc>
        <w:tc>
          <w:tcPr>
            <w:tcW w:type="dxa" w:w="1481"/>
            <w:vAlign w:val="top"/>
          </w:tcPr>
          <w:p>
            <w:r/>
            <w:r>
              <w:rPr>
                <w:b w:val="0"/>
                <w:sz w:val="15"/>
              </w:rPr>
              <w:t>Susitikime aiškiai aptarta: triukšmas</w:t>
            </w:r>
          </w:p>
        </w:tc>
        <w:tc>
          <w:tcPr>
            <w:tcW w:type="dxa" w:w="1481"/>
            <w:vAlign w:val="top"/>
          </w:tcPr>
          <w:p>
            <w:r/>
            <w:r>
              <w:rPr>
                <w:b w:val="0"/>
                <w:sz w:val="15"/>
              </w:rPr>
              <w:t>Sukurti arba atnaujinti Jira task</w:t>
            </w:r>
          </w:p>
        </w:tc>
      </w:tr>
      <w:tr>
        <w:tc>
          <w:tcPr>
            <w:tcW w:type="dxa" w:w="1481"/>
            <w:vAlign w:val="top"/>
          </w:tcPr>
          <w:p>
            <w:r/>
            <w:r>
              <w:rPr>
                <w:b w:val="0"/>
                <w:sz w:val="15"/>
              </w:rPr>
              <w:t>TD-02-5</w:t>
            </w:r>
          </w:p>
        </w:tc>
        <w:tc>
          <w:tcPr>
            <w:tcW w:type="dxa" w:w="1481"/>
            <w:vAlign w:val="top"/>
          </w:tcPr>
          <w:p>
            <w:r/>
            <w:r>
              <w:rPr>
                <w:b w:val="0"/>
                <w:sz w:val="15"/>
              </w:rPr>
              <w:t>Apibrėžti tinkamos transkripcijos slenkstį</w:t>
            </w:r>
          </w:p>
        </w:tc>
        <w:tc>
          <w:tcPr>
            <w:tcW w:type="dxa" w:w="1481"/>
            <w:vAlign w:val="top"/>
          </w:tcPr>
          <w:p>
            <w:r/>
            <w:r>
              <w:rPr>
                <w:b w:val="0"/>
                <w:sz w:val="15"/>
              </w:rPr>
              <w:t>Rokas Vaitkus</w:t>
            </w:r>
          </w:p>
        </w:tc>
        <w:tc>
          <w:tcPr>
            <w:tcW w:type="dxa" w:w="1481"/>
            <w:vAlign w:val="top"/>
          </w:tcPr>
          <w:p>
            <w:r/>
            <w:r>
              <w:rPr>
                <w:b w:val="0"/>
                <w:sz w:val="15"/>
              </w:rPr>
              <w:t>iki pilot readiness patikros</w:t>
            </w:r>
          </w:p>
        </w:tc>
        <w:tc>
          <w:tcPr>
            <w:tcW w:type="dxa" w:w="1481"/>
            <w:vAlign w:val="top"/>
          </w:tcPr>
          <w:p>
            <w:r/>
            <w:r>
              <w:rPr>
                <w:b w:val="0"/>
                <w:sz w:val="15"/>
              </w:rPr>
              <w:t>Medium</w:t>
            </w:r>
          </w:p>
        </w:tc>
        <w:tc>
          <w:tcPr>
            <w:tcW w:type="dxa" w:w="1481"/>
            <w:vAlign w:val="top"/>
          </w:tcPr>
          <w:p>
            <w:r/>
            <w:r>
              <w:rPr>
                <w:b w:val="0"/>
                <w:sz w:val="15"/>
              </w:rPr>
              <w:t>Susitikime aiškiai aptarta: LT/EN terminai</w:t>
            </w:r>
          </w:p>
        </w:tc>
        <w:tc>
          <w:tcPr>
            <w:tcW w:type="dxa" w:w="1481"/>
            <w:vAlign w:val="top"/>
          </w:tcPr>
          <w:p>
            <w:r/>
            <w:r>
              <w:rPr>
                <w:b w:val="0"/>
                <w:sz w:val="15"/>
              </w:rPr>
              <w:t>Sukurti arba atnaujinti Jira task</w:t>
            </w:r>
          </w:p>
        </w:tc>
      </w:tr>
    </w:tbl>
    <w:p/>
    <w:p>
      <w:pPr>
        <w:pStyle w:val="Heading2"/>
      </w:pPr>
      <w:r>
        <w:t>Rizikos ir neaiškumai</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B45309"/>
          </w:tcPr>
          <w:p>
            <w:r>
              <w:rPr>
                <w:b/>
                <w:color w:val="FFFFFF"/>
                <w:sz w:val="16"/>
              </w:rPr>
            </w:r>
            <w:r>
              <w:rPr>
                <w:b/>
                <w:color w:val="FFFFFF"/>
                <w:sz w:val="16"/>
              </w:rPr>
              <w:t>Rizika</w:t>
            </w:r>
          </w:p>
        </w:tc>
        <w:tc>
          <w:tcPr>
            <w:tcW w:type="dxa" w:w="2592"/>
            <w:vAlign w:val="top"/>
            <w:shd w:fill="B45309"/>
          </w:tcPr>
          <w:p>
            <w:r>
              <w:rPr>
                <w:b/>
                <w:color w:val="FFFFFF"/>
                <w:sz w:val="16"/>
              </w:rPr>
            </w:r>
            <w:r>
              <w:rPr>
                <w:b/>
                <w:color w:val="FFFFFF"/>
                <w:sz w:val="16"/>
              </w:rPr>
              <w:t>Poveikis</w:t>
            </w:r>
          </w:p>
        </w:tc>
        <w:tc>
          <w:tcPr>
            <w:tcW w:type="dxa" w:w="2592"/>
            <w:vAlign w:val="top"/>
            <w:shd w:fill="B45309"/>
          </w:tcPr>
          <w:p>
            <w:r>
              <w:rPr>
                <w:b/>
                <w:color w:val="FFFFFF"/>
                <w:sz w:val="16"/>
              </w:rPr>
            </w:r>
            <w:r>
              <w:rPr>
                <w:b/>
                <w:color w:val="FFFFFF"/>
                <w:sz w:val="16"/>
              </w:rPr>
              <w:t>Mitigacija</w:t>
            </w:r>
          </w:p>
        </w:tc>
        <w:tc>
          <w:tcPr>
            <w:tcW w:type="dxa" w:w="2592"/>
            <w:vAlign w:val="top"/>
            <w:shd w:fill="B45309"/>
          </w:tcPr>
          <w:p>
            <w:r>
              <w:rPr>
                <w:b/>
                <w:color w:val="FFFFFF"/>
                <w:sz w:val="16"/>
              </w:rPr>
            </w:r>
            <w:r>
              <w:rPr>
                <w:b/>
                <w:color w:val="FFFFFF"/>
                <w:sz w:val="16"/>
              </w:rPr>
              <w:t>Owner</w:t>
            </w:r>
          </w:p>
        </w:tc>
      </w:tr>
      <w:tr>
        <w:tc>
          <w:tcPr>
            <w:tcW w:type="dxa" w:w="2592"/>
            <w:vAlign w:val="top"/>
          </w:tcPr>
          <w:p>
            <w:r/>
            <w:r>
              <w:rPr>
                <w:b w:val="0"/>
                <w:sz w:val="15"/>
              </w:rPr>
              <w:t>Netikslus DI rezultatas</w:t>
            </w:r>
          </w:p>
        </w:tc>
        <w:tc>
          <w:tcPr>
            <w:tcW w:type="dxa" w:w="2592"/>
            <w:vAlign w:val="top"/>
          </w:tcPr>
          <w:p>
            <w:r/>
            <w:r>
              <w:rPr>
                <w:b w:val="0"/>
                <w:sz w:val="15"/>
              </w:rPr>
              <w:t>Klaidinga Jira užduotis arba neteisingas assignee</w:t>
            </w:r>
          </w:p>
        </w:tc>
        <w:tc>
          <w:tcPr>
            <w:tcW w:type="dxa" w:w="2592"/>
            <w:vAlign w:val="top"/>
          </w:tcPr>
          <w:p>
            <w:r/>
            <w:r>
              <w:rPr>
                <w:b w:val="0"/>
                <w:sz w:val="15"/>
              </w:rPr>
              <w:t>source quote, confidence score, human approval</w:t>
            </w:r>
          </w:p>
        </w:tc>
        <w:tc>
          <w:tcPr>
            <w:tcW w:type="dxa" w:w="2592"/>
            <w:vAlign w:val="top"/>
          </w:tcPr>
          <w:p>
            <w:r/>
            <w:r>
              <w:rPr>
                <w:b w:val="0"/>
                <w:sz w:val="15"/>
              </w:rPr>
              <w:t>Ineta Lankelytė</w:t>
            </w:r>
          </w:p>
        </w:tc>
      </w:tr>
      <w:tr>
        <w:tc>
          <w:tcPr>
            <w:tcW w:type="dxa" w:w="2592"/>
            <w:vAlign w:val="top"/>
          </w:tcPr>
          <w:p>
            <w:r/>
            <w:r>
              <w:rPr>
                <w:b w:val="0"/>
                <w:sz w:val="15"/>
              </w:rPr>
              <w:t>Nepilni testiniai duomenys</w:t>
            </w:r>
          </w:p>
        </w:tc>
        <w:tc>
          <w:tcPr>
            <w:tcW w:type="dxa" w:w="2592"/>
            <w:vAlign w:val="top"/>
          </w:tcPr>
          <w:p>
            <w:r/>
            <w:r>
              <w:rPr>
                <w:b w:val="0"/>
                <w:sz w:val="15"/>
              </w:rPr>
              <w:t>Modelio arba funkcijos kokybė gali būti įvertinta netiksliai</w:t>
            </w:r>
          </w:p>
        </w:tc>
        <w:tc>
          <w:tcPr>
            <w:tcW w:type="dxa" w:w="2592"/>
            <w:vAlign w:val="top"/>
          </w:tcPr>
          <w:p>
            <w:r/>
            <w:r>
              <w:rPr>
                <w:b w:val="0"/>
                <w:sz w:val="15"/>
              </w:rPr>
              <w:t>gold dataset ir edge case testai</w:t>
            </w:r>
          </w:p>
        </w:tc>
        <w:tc>
          <w:tcPr>
            <w:tcW w:type="dxa" w:w="2592"/>
            <w:vAlign w:val="top"/>
          </w:tcPr>
          <w:p>
            <w:r/>
            <w:r>
              <w:rPr>
                <w:b w:val="0"/>
                <w:sz w:val="15"/>
              </w:rPr>
              <w:t>Ūla Šveiterytė</w:t>
            </w:r>
          </w:p>
        </w:tc>
      </w:tr>
      <w:tr>
        <w:tc>
          <w:tcPr>
            <w:tcW w:type="dxa" w:w="2592"/>
            <w:vAlign w:val="top"/>
          </w:tcPr>
          <w:p>
            <w:r/>
            <w:r>
              <w:rPr>
                <w:b w:val="0"/>
                <w:sz w:val="15"/>
              </w:rPr>
              <w:t>Integracijos arba approval klaida</w:t>
            </w:r>
          </w:p>
        </w:tc>
        <w:tc>
          <w:tcPr>
            <w:tcW w:type="dxa" w:w="2592"/>
            <w:vAlign w:val="top"/>
          </w:tcPr>
          <w:p>
            <w:r/>
            <w:r>
              <w:rPr>
                <w:b w:val="0"/>
                <w:sz w:val="15"/>
              </w:rPr>
              <w:t>Nepavyks užbaigti end-to-end proceso</w:t>
            </w:r>
          </w:p>
        </w:tc>
        <w:tc>
          <w:tcPr>
            <w:tcW w:type="dxa" w:w="2592"/>
            <w:vAlign w:val="top"/>
          </w:tcPr>
          <w:p>
            <w:r/>
            <w:r>
              <w:rPr>
                <w:b w:val="0"/>
                <w:sz w:val="15"/>
              </w:rPr>
              <w:t>API klaidų scenarijai, retry ir audit trail</w:t>
            </w:r>
          </w:p>
        </w:tc>
        <w:tc>
          <w:tcPr>
            <w:tcW w:type="dxa" w:w="2592"/>
            <w:vAlign w:val="top"/>
          </w:tcPr>
          <w:p>
            <w:r/>
            <w:r>
              <w:rPr>
                <w:b w:val="0"/>
                <w:sz w:val="15"/>
              </w:rPr>
              <w:t>Agnė Urbonaitė</w:t>
            </w:r>
          </w:p>
        </w:tc>
      </w:tr>
      <w:tr>
        <w:tc>
          <w:tcPr>
            <w:tcW w:type="dxa" w:w="2592"/>
            <w:vAlign w:val="top"/>
          </w:tcPr>
          <w:p>
            <w:r/>
            <w:r>
              <w:rPr>
                <w:b w:val="0"/>
                <w:sz w:val="15"/>
              </w:rPr>
              <w:t>Konfidencialios informacijos nutekėjimas</w:t>
            </w:r>
          </w:p>
        </w:tc>
        <w:tc>
          <w:tcPr>
            <w:tcW w:type="dxa" w:w="2592"/>
            <w:vAlign w:val="top"/>
          </w:tcPr>
          <w:p>
            <w:r/>
            <w:r>
              <w:rPr>
                <w:b w:val="0"/>
                <w:sz w:val="15"/>
              </w:rPr>
              <w:t>Rizika GDPR ir reputacijai</w:t>
            </w:r>
          </w:p>
        </w:tc>
        <w:tc>
          <w:tcPr>
            <w:tcW w:type="dxa" w:w="2592"/>
            <w:vAlign w:val="top"/>
          </w:tcPr>
          <w:p>
            <w:r/>
            <w:r>
              <w:rPr>
                <w:b w:val="0"/>
                <w:sz w:val="15"/>
              </w:rPr>
              <w:t>PII detektorius, preview, PM approval</w:t>
            </w:r>
          </w:p>
        </w:tc>
        <w:tc>
          <w:tcPr>
            <w:tcW w:type="dxa" w:w="2592"/>
            <w:vAlign w:val="top"/>
          </w:tcPr>
          <w:p>
            <w:r/>
            <w:r>
              <w:rPr>
                <w:b w:val="0"/>
                <w:sz w:val="15"/>
              </w:rPr>
              <w:t>Mantas Petrauskas</w:t>
            </w:r>
          </w:p>
        </w:tc>
      </w:tr>
    </w:tbl>
    <w:p/>
    <w:p>
      <w:pPr>
        <w:pStyle w:val="Heading2"/>
      </w:pPr>
      <w:r>
        <w:t>Santrauka AI analizei</w:t>
      </w:r>
    </w:p>
    <w:p>
      <w:r>
        <w:t>Šis išplėstas dokumentas skirtas testuoti ProMeet Insight AI gebėjimą dirbti su realistišku 60 minučių susitikimo transkriptu. Transkripte pateikiamos natūralios diskusijos, paaiškinimai, abejonės, grįžtamasis ryšys, sprendimų pakartojimai, aiškūs ToDo darbai, atsakomybės, terminai ir rizikos. Dokumentas tinkamas STT, NLP/LLM, field-level evaluation, Jira integracijos, human approval ir GDPR scenarijų testavimui.</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