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32"/>
        </w:rPr>
        <w:t>INFORME TÉCNICO EXPLICATIVO</w:t>
      </w:r>
    </w:p>
    <w:p>
      <w:pPr>
        <w:jc w:val="center"/>
      </w:pPr>
      <w:r>
        <w:rPr>
          <w:b/>
          <w:color w:val="2E86C1"/>
          <w:sz w:val="24"/>
        </w:rPr>
        <w:t>Sistema de Control de Combustible</w:t>
      </w:r>
    </w:p>
    <w:p/>
    <w:tbl>
      <w:tblPr>
        <w:tblStyle w:val="TableGrid"/>
        <w:tblW w:type="auto" w:w="0"/>
        <w:tblLook w:firstColumn="1" w:firstRow="1" w:lastColumn="0" w:lastRow="0" w:noHBand="0" w:noVBand="1" w:val="04A0"/>
      </w:tblPr>
      <w:tblGrid>
        <w:gridCol w:w="4561"/>
        <w:gridCol w:w="4561"/>
      </w:tblGrid>
      <w:tr>
        <w:tc>
          <w:tcPr>
            <w:tcW w:type="dxa" w:w="4561"/>
            <w:shd w:val="clear" w:color="auto" w:fill="D6EAF8"/>
          </w:tcPr>
          <w:p>
            <w:r>
              <w:rPr>
                <w:b/>
                <w:sz w:val="18"/>
              </w:rPr>
              <w:t>Fecha de emisión:</w:t>
            </w:r>
          </w:p>
        </w:tc>
        <w:tc>
          <w:tcPr>
            <w:tcW w:type="dxa" w:w="4561"/>
          </w:tcPr>
          <w:p>
            <w:r>
              <w:rPr>
                <w:sz w:val="18"/>
              </w:rPr>
              <w:t>07 de mayo de 2026</w:t>
            </w:r>
          </w:p>
        </w:tc>
      </w:tr>
      <w:tr>
        <w:tc>
          <w:tcPr>
            <w:tcW w:type="dxa" w:w="4561"/>
            <w:shd w:val="clear" w:color="auto" w:fill="D6EAF8"/>
          </w:tcPr>
          <w:p>
            <w:r>
              <w:rPr>
                <w:b/>
                <w:sz w:val="18"/>
              </w:rPr>
              <w:t>Dirigido a:</w:t>
            </w:r>
          </w:p>
        </w:tc>
        <w:tc>
          <w:tcPr>
            <w:tcW w:type="dxa" w:w="4561"/>
          </w:tcPr>
          <w:p>
            <w:r>
              <w:rPr>
                <w:sz w:val="18"/>
              </w:rPr>
              <w:t>Auditor / Área de Auditoría Interna</w:t>
            </w:r>
          </w:p>
        </w:tc>
      </w:tr>
      <w:tr>
        <w:tc>
          <w:tcPr>
            <w:tcW w:type="dxa" w:w="4561"/>
            <w:shd w:val="clear" w:color="auto" w:fill="D6EAF8"/>
          </w:tcPr>
          <w:p>
            <w:r>
              <w:rPr>
                <w:b/>
                <w:sz w:val="18"/>
              </w:rPr>
              <w:t>Elaborado por:</w:t>
            </w:r>
          </w:p>
        </w:tc>
        <w:tc>
          <w:tcPr>
            <w:tcW w:type="dxa" w:w="4561"/>
          </w:tcPr>
          <w:p>
            <w:r>
              <w:rPr>
                <w:sz w:val="18"/>
              </w:rPr>
              <w:t>Departamento de Informática</w:t>
            </w:r>
          </w:p>
        </w:tc>
      </w:tr>
      <w:tr>
        <w:tc>
          <w:tcPr>
            <w:tcW w:type="dxa" w:w="4561"/>
            <w:shd w:val="clear" w:color="auto" w:fill="D6EAF8"/>
          </w:tcPr>
          <w:p>
            <w:r>
              <w:rPr>
                <w:b/>
                <w:sz w:val="18"/>
              </w:rPr>
              <w:t>Asunto:</w:t>
            </w:r>
          </w:p>
        </w:tc>
        <w:tc>
          <w:tcPr>
            <w:tcW w:type="dxa" w:w="4561"/>
          </w:tcPr>
          <w:p>
            <w:r>
              <w:rPr>
                <w:sz w:val="18"/>
              </w:rPr>
              <w:t>Aclaración de métricas del sistema de gestión de combustible</w:t>
            </w:r>
          </w:p>
        </w:tc>
      </w:tr>
    </w:tbl>
    <w:p/>
    <w:p/>
    <w:p>
      <w:pPr>
        <w:spacing w:before="280" w:after="80"/>
      </w:pPr>
      <w:r>
        <w:rPr>
          <w:b/>
          <w:color w:val="1F3864"/>
          <w:sz w:val="26"/>
        </w:rPr>
        <w:t>1. Objeto del informe</w:t>
      </w:r>
    </w:p>
    <w:p>
      <w:pPr>
        <w:spacing w:before="0" w:after="80"/>
      </w:pPr>
      <w:r>
        <w:rPr>
          <w:b w:val="0"/>
          <w:i w:val="0"/>
          <w:sz w:val="20"/>
        </w:rPr>
        <w:t>El presente informe tiene por objeto dar respuesta a las observaciones planteadas por el equipo auditor respecto a las diferencias numéricas observadas en los distintos reportes del Sistema de Control de Combustible, utilizando como caso ilustrativo el vehículo Chevrolet Tornado (matrícula W009534).</w:t>
      </w:r>
    </w:p>
    <w:p>
      <w:pPr>
        <w:spacing w:before="0" w:after="80"/>
      </w:pPr>
      <w:r>
        <w:rPr>
          <w:b w:val="0"/>
          <w:i w:val="0"/>
          <w:sz w:val="20"/>
        </w:rPr>
        <w:t>Se demuestra a continuación que dichas diferencias no constituyen incongruencias ni errores en el sistema, sino que son el resultado natural de que cada reporte mide una dimensión diferente del mismo flujo de combustible.</w:t>
      </w:r>
    </w:p>
    <w:p>
      <w:pPr>
        <w:spacing w:before="280" w:after="80"/>
      </w:pPr>
      <w:r>
        <w:rPr>
          <w:b/>
          <w:color w:val="1F3864"/>
          <w:sz w:val="26"/>
        </w:rPr>
        <w:t>2. Conceptos fundamentales del sistema</w:t>
      </w:r>
    </w:p>
    <w:p>
      <w:pPr>
        <w:spacing w:before="0" w:after="80"/>
      </w:pPr>
      <w:r>
        <w:rPr>
          <w:b w:val="0"/>
          <w:i w:val="0"/>
          <w:sz w:val="20"/>
        </w:rPr>
        <w:t>El sistema registra dos tipos de movimiento de combustible:</w:t>
      </w:r>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1F3864"/>
          </w:tcPr>
          <w:p>
            <w:pPr>
              <w:jc w:val="center"/>
            </w:pPr>
            <w:r>
              <w:rPr>
                <w:b/>
                <w:color w:val="FFFFFF"/>
                <w:sz w:val="18"/>
              </w:rPr>
              <w:t>Tipo de movimiento</w:t>
            </w:r>
          </w:p>
        </w:tc>
        <w:tc>
          <w:tcPr>
            <w:tcW w:type="dxa" w:w="3041"/>
            <w:shd w:val="clear" w:color="auto" w:fill="1F3864"/>
          </w:tcPr>
          <w:p>
            <w:pPr>
              <w:jc w:val="center"/>
            </w:pPr>
            <w:r>
              <w:rPr>
                <w:b/>
                <w:color w:val="FFFFFF"/>
                <w:sz w:val="18"/>
              </w:rPr>
              <w:t>Descripción</w:t>
            </w:r>
          </w:p>
        </w:tc>
        <w:tc>
          <w:tcPr>
            <w:tcW w:type="dxa" w:w="3041"/>
            <w:shd w:val="clear" w:color="auto" w:fill="1F3864"/>
          </w:tcPr>
          <w:p>
            <w:pPr>
              <w:jc w:val="center"/>
            </w:pPr>
            <w:r>
              <w:rPr>
                <w:b/>
                <w:color w:val="FFFFFF"/>
                <w:sz w:val="18"/>
              </w:rPr>
              <w:t>Participantes</w:t>
            </w:r>
          </w:p>
        </w:tc>
      </w:tr>
      <w:tr>
        <w:tc>
          <w:tcPr>
            <w:tcW w:type="dxa" w:w="3041"/>
            <w:shd w:val="clear" w:color="auto" w:fill="EBF5FB"/>
          </w:tcPr>
          <w:p>
            <w:pPr>
              <w:jc w:val="left"/>
            </w:pPr>
            <w:r>
              <w:rPr>
                <w:b w:val="0"/>
                <w:sz w:val="18"/>
              </w:rPr>
              <w:t>COMPRA</w:t>
            </w:r>
          </w:p>
        </w:tc>
        <w:tc>
          <w:tcPr>
            <w:tcW w:type="dxa" w:w="3041"/>
            <w:shd w:val="clear" w:color="auto" w:fill="EBF5FB"/>
          </w:tcPr>
          <w:p>
            <w:pPr>
              <w:jc w:val="left"/>
            </w:pPr>
            <w:r>
              <w:rPr>
                <w:b w:val="0"/>
                <w:sz w:val="18"/>
              </w:rPr>
              <w:t>El consumidor (vehículo o reserva) adquiere combustible directamente en un surtidor o bomba, utilizando una tarjeta de crédito/débito corporativa.</w:t>
            </w:r>
          </w:p>
        </w:tc>
        <w:tc>
          <w:tcPr>
            <w:tcW w:type="dxa" w:w="3041"/>
            <w:shd w:val="clear" w:color="auto" w:fill="EBF5FB"/>
          </w:tcPr>
          <w:p>
            <w:pPr>
              <w:jc w:val="left"/>
            </w:pPr>
            <w:r>
              <w:rPr>
                <w:b w:val="0"/>
                <w:sz w:val="18"/>
              </w:rPr>
              <w:t>Surtidor → Vehículo o Reserva</w:t>
            </w:r>
          </w:p>
        </w:tc>
      </w:tr>
      <w:tr>
        <w:tc>
          <w:tcPr>
            <w:tcW w:type="dxa" w:w="3041"/>
            <w:shd w:val="clear" w:color="auto" w:fill="FFFFFF"/>
          </w:tcPr>
          <w:p>
            <w:pPr>
              <w:jc w:val="left"/>
            </w:pPr>
            <w:r>
              <w:rPr>
                <w:b w:val="0"/>
                <w:sz w:val="18"/>
              </w:rPr>
              <w:t>DESPACHO</w:t>
            </w:r>
          </w:p>
        </w:tc>
        <w:tc>
          <w:tcPr>
            <w:tcW w:type="dxa" w:w="3041"/>
            <w:shd w:val="clear" w:color="auto" w:fill="FFFFFF"/>
          </w:tcPr>
          <w:p>
            <w:pPr>
              <w:jc w:val="left"/>
            </w:pPr>
            <w:r>
              <w:rPr>
                <w:b w:val="0"/>
                <w:sz w:val="18"/>
              </w:rPr>
              <w:t>La empresa transfiere combustible desde un depósito o reserva interna hacia un vehículo u otro consumidor. No implica compra externa.</w:t>
            </w:r>
          </w:p>
        </w:tc>
        <w:tc>
          <w:tcPr>
            <w:tcW w:type="dxa" w:w="3041"/>
            <w:shd w:val="clear" w:color="auto" w:fill="FFFFFF"/>
          </w:tcPr>
          <w:p>
            <w:pPr>
              <w:jc w:val="left"/>
            </w:pPr>
            <w:r>
              <w:rPr>
                <w:b w:val="0"/>
                <w:sz w:val="18"/>
              </w:rPr>
              <w:t>Reserva interna → Vehículo</w:t>
            </w:r>
          </w:p>
        </w:tc>
      </w:tr>
    </w:tbl>
    <w:p/>
    <w:p>
      <w:pPr>
        <w:spacing w:before="0" w:after="80"/>
      </w:pPr>
      <w:r>
        <w:rPr>
          <w:b w:val="0"/>
          <w:i w:val="0"/>
          <w:sz w:val="20"/>
        </w:rPr>
        <w:t>Un mismo vehículo puede abastecerse mediante AMBAS vías dependiendo de la operación del día: puede ir a una bomba a cargar directamente (COMPRA) o puede recibir combustible desde el depósito de la empresa (DESPACHO). Cada vía genera un registro diferente y es contabilizada de forma separada en los reportes.</w:t>
      </w:r>
    </w:p>
    <w:p>
      <w:pPr>
        <w:spacing w:before="280" w:after="80"/>
      </w:pPr>
      <w:r>
        <w:rPr>
          <w:b/>
          <w:color w:val="1F3864"/>
          <w:sz w:val="26"/>
        </w:rPr>
        <w:t>3. Descripción de los reportes involucrados</w:t>
      </w:r>
    </w:p>
    <w:p>
      <w:pPr>
        <w:spacing w:before="160" w:after="80"/>
      </w:pPr>
      <w:r>
        <w:rPr>
          <w:b/>
          <w:color w:val="1F3864"/>
          <w:sz w:val="22"/>
        </w:rPr>
        <w:t>3.1  Reporte de Vehículos (vista Movimientos)</w:t>
      </w:r>
    </w:p>
    <w:p>
      <w:pPr>
        <w:spacing w:before="0" w:after="80"/>
      </w:pPr>
      <w:r>
        <w:rPr>
          <w:b w:val="0"/>
          <w:i w:val="0"/>
          <w:sz w:val="20"/>
        </w:rPr>
        <w:t>Muestra el acumulado histórico de litros adquiridos por cada vehículo mediante COMPRA directa, sin restricción de fecha. La barra de capacidad compara ese acumulado histórico con la capacidad del tanque del vehículo.</w:t>
      </w:r>
    </w:p>
    <w:tbl>
      <w:tblPr>
        <w:tblW w:type="auto" w:w="0"/>
        <w:jc w:val="left"/>
        <w:tblLook w:firstColumn="1" w:firstRow="1" w:lastColumn="0" w:lastRow="0" w:noHBand="0" w:noVBand="1" w:val="04A0"/>
      </w:tblPr>
      <w:tblGrid>
        <w:gridCol w:w="9122"/>
      </w:tblGrid>
      <w:tr>
        <w:tc>
          <w:tcPr>
            <w:tcW w:type="dxa" w:w="8640"/>
            <w:shd w:val="clear" w:color="auto" w:fill="EBF5FB"/>
            <w:tcBorders>
              <w:top w:val="single" w:sz="12" w:space="0" w:color="2E86C1"/>
              <w:left w:val="single" w:sz="12" w:space="0" w:color="2E86C1"/>
              <w:bottom w:val="single" w:sz="12" w:space="0" w:color="2E86C1"/>
              <w:right w:val="single" w:sz="12" w:space="0" w:color="2E86C1"/>
            </w:tcBorders>
          </w:tcPr>
          <w:p/>
          <w:p>
            <w:pPr>
              <w:spacing w:before="0" w:after="40"/>
            </w:pPr>
            <w:r>
              <w:rPr>
                <w:b/>
                <w:sz w:val="20"/>
              </w:rPr>
              <w:t>Dato observado — Chevrolet Tornado W009534</w:t>
            </w:r>
          </w:p>
          <w:p>
            <w:pPr>
              <w:spacing w:before="0" w:after="40"/>
            </w:pPr>
            <w:r>
              <w:rPr>
                <w:b w:val="0"/>
                <w:sz w:val="20"/>
              </w:rPr>
              <w:t>Total COMPRA directas (histórico): 383,0 L · $ 490,30 · 10 cargas</w:t>
            </w:r>
          </w:p>
          <w:p>
            <w:pPr>
              <w:spacing w:before="0" w:after="40"/>
            </w:pPr>
            <w:r>
              <w:rPr>
                <w:b w:val="0"/>
                <w:sz w:val="20"/>
              </w:rPr>
              <w:t xml:space="preserve">  · Gasolina Especial (COMPRA): 345,0 L · $ 448,50</w:t>
            </w:r>
          </w:p>
          <w:p>
            <w:pPr>
              <w:spacing w:before="0" w:after="40"/>
            </w:pPr>
            <w:r>
              <w:rPr>
                <w:b w:val="0"/>
                <w:sz w:val="20"/>
              </w:rPr>
              <w:t xml:space="preserve">  · Gasolina Regular  (COMPRA):  38,0 L · $  41,80</w:t>
            </w:r>
          </w:p>
          <w:p>
            <w:pPr>
              <w:spacing w:before="0" w:after="40"/>
            </w:pPr>
            <w:r>
              <w:rPr>
                <w:b w:val="0"/>
                <w:sz w:val="20"/>
              </w:rPr>
              <w:t>Barra: 383 L ÷ 50 L (capacidad tanque) = 766 % → se limita visualmente a 100 %</w:t>
            </w:r>
          </w:p>
          <w:p>
            <w:pPr>
              <w:spacing w:before="0" w:after="40"/>
            </w:pPr>
            <w:r>
              <w:rPr>
                <w:b w:val="0"/>
                <w:sz w:val="20"/>
              </w:rPr>
              <w:t>Significado: el vehículo ha realizado compras directas equivalentes a más de 7 llenados completos de su tanque a lo largo de su historial. No indica que el tanque contenga 383 L actualmente.</w:t>
            </w:r>
          </w:p>
        </w:tc>
      </w:tr>
    </w:tbl>
    <w:p/>
    <w:p>
      <w:pPr>
        <w:spacing w:before="160" w:after="80"/>
      </w:pPr>
      <w:r>
        <w:rPr>
          <w:b/>
          <w:color w:val="1F3864"/>
          <w:sz w:val="22"/>
        </w:rPr>
        <w:t>3.2  Reporte Financiero (Finanzas) — "Consumo por consumidor"</w:t>
      </w:r>
    </w:p>
    <w:p>
      <w:pPr>
        <w:spacing w:before="0" w:after="80"/>
      </w:pPr>
      <w:r>
        <w:rPr>
          <w:b w:val="0"/>
          <w:i w:val="0"/>
          <w:sz w:val="20"/>
        </w:rPr>
        <w:t>Muestra el flujo contable del stock de combustible de la empresa, agrupado por tipo de combustible. La sección "Consumo por consumidor" refleja únicamente los movimientos de tipo DESPACHO: combustible que salió de las reservas internas con destino a un consumidor determinado. El período mostrado depende del filtro de mes seleccionado en la pantalla.</w:t>
      </w:r>
    </w:p>
    <w:tbl>
      <w:tblPr>
        <w:tblW w:type="auto" w:w="0"/>
        <w:jc w:val="left"/>
        <w:tblLook w:firstColumn="1" w:firstRow="1" w:lastColumn="0" w:lastRow="0" w:noHBand="0" w:noVBand="1" w:val="04A0"/>
      </w:tblPr>
      <w:tblGrid>
        <w:gridCol w:w="9122"/>
      </w:tblGrid>
      <w:tr>
        <w:tc>
          <w:tcPr>
            <w:tcW w:type="dxa" w:w="8640"/>
            <w:shd w:val="clear" w:color="auto" w:fill="EBF5FB"/>
            <w:tcBorders>
              <w:top w:val="single" w:sz="12" w:space="0" w:color="2E86C1"/>
              <w:left w:val="single" w:sz="12" w:space="0" w:color="2E86C1"/>
              <w:bottom w:val="single" w:sz="12" w:space="0" w:color="2E86C1"/>
              <w:right w:val="single" w:sz="12" w:space="0" w:color="2E86C1"/>
            </w:tcBorders>
          </w:tcPr>
          <w:p/>
          <w:p>
            <w:pPr>
              <w:spacing w:before="0" w:after="40"/>
            </w:pPr>
            <w:r>
              <w:rPr>
                <w:b/>
                <w:sz w:val="20"/>
              </w:rPr>
              <w:t>Dato observado — Gasolina Especial</w:t>
            </w:r>
          </w:p>
          <w:p>
            <w:pPr>
              <w:spacing w:before="0" w:after="40"/>
            </w:pPr>
            <w:r>
              <w:rPr>
                <w:b w:val="0"/>
                <w:sz w:val="20"/>
              </w:rPr>
              <w:t>Total entradas COMPRA (reservas + directas): 1.045,0 L (18 operaciones)</w:t>
            </w:r>
          </w:p>
          <w:p>
            <w:pPr>
              <w:spacing w:before="0" w:after="40"/>
            </w:pPr>
            <w:r>
              <w:rPr>
                <w:b w:val="0"/>
                <w:sz w:val="20"/>
              </w:rPr>
              <w:t>Total salidas DESPACHO a consumidores:          757,0 L (35 operaciones)</w:t>
            </w:r>
          </w:p>
          <w:p>
            <w:pPr>
              <w:spacing w:before="0" w:after="40"/>
            </w:pPr>
            <w:r>
              <w:rPr>
                <w:b w:val="0"/>
                <w:sz w:val="20"/>
              </w:rPr>
              <w:t xml:space="preserve">  · Chevrolet Tornado W009534 (vía DESPACHO):  313,0 L</w:t>
            </w:r>
          </w:p>
          <w:p>
            <w:pPr>
              <w:spacing w:before="0" w:after="40"/>
            </w:pPr>
            <w:r>
              <w:rPr>
                <w:b w:val="0"/>
                <w:sz w:val="20"/>
              </w:rPr>
              <w:t>Saldo final estimado:                           288,0 L ≈ $ 374,40</w:t>
            </w:r>
          </w:p>
          <w:p>
            <w:pPr>
              <w:spacing w:before="0" w:after="40"/>
            </w:pPr>
            <w:r>
              <w:rPr>
                <w:b w:val="0"/>
                <w:sz w:val="20"/>
              </w:rPr>
              <w:t>Nota: los 313 L del Tornado son el combustible que la empresa le transfirió desde sus reservas. No incluyen las 345 L de compras directas del vehículo en surtidor externo.</w:t>
            </w:r>
          </w:p>
        </w:tc>
      </w:tr>
    </w:tbl>
    <w:p/>
    <w:p>
      <w:pPr>
        <w:spacing w:before="160" w:after="80"/>
      </w:pPr>
      <w:r>
        <w:rPr>
          <w:b/>
          <w:color w:val="1F3864"/>
          <w:sz w:val="22"/>
        </w:rPr>
        <w:t>3.3  Detalle mensual del consumidor — "Total abastecido"</w:t>
      </w:r>
    </w:p>
    <w:p>
      <w:pPr>
        <w:spacing w:before="0" w:after="80"/>
      </w:pPr>
      <w:r>
        <w:rPr>
          <w:b w:val="0"/>
          <w:i w:val="0"/>
          <w:sz w:val="20"/>
        </w:rPr>
        <w:t>Muestra el resumen operativo del vehículo para un mes concreto, sumando tanto las compras directas (COMPRA) como el combustible recibido desde reservas (DESPACHO) dentro de ese período.</w:t>
      </w:r>
    </w:p>
    <w:tbl>
      <w:tblPr>
        <w:tblW w:type="auto" w:w="0"/>
        <w:jc w:val="left"/>
        <w:tblLook w:firstColumn="1" w:firstRow="1" w:lastColumn="0" w:lastRow="0" w:noHBand="0" w:noVBand="1" w:val="04A0"/>
      </w:tblPr>
      <w:tblGrid>
        <w:gridCol w:w="9122"/>
      </w:tblGrid>
      <w:tr>
        <w:tc>
          <w:tcPr>
            <w:tcW w:type="dxa" w:w="8640"/>
            <w:shd w:val="clear" w:color="auto" w:fill="EBF5FB"/>
            <w:tcBorders>
              <w:top w:val="single" w:sz="12" w:space="0" w:color="2E86C1"/>
              <w:left w:val="single" w:sz="12" w:space="0" w:color="2E86C1"/>
              <w:bottom w:val="single" w:sz="12" w:space="0" w:color="2E86C1"/>
              <w:right w:val="single" w:sz="12" w:space="0" w:color="2E86C1"/>
            </w:tcBorders>
          </w:tcPr>
          <w:p/>
          <w:p>
            <w:pPr>
              <w:spacing w:before="0" w:after="40"/>
            </w:pPr>
            <w:r>
              <w:rPr>
                <w:b/>
                <w:sz w:val="20"/>
              </w:rPr>
              <w:t>Dato observado — Chevrolet Tornado, marzo 2026</w:t>
            </w:r>
          </w:p>
          <w:p>
            <w:pPr>
              <w:spacing w:before="0" w:after="40"/>
            </w:pPr>
            <w:r>
              <w:rPr>
                <w:b w:val="0"/>
                <w:sz w:val="20"/>
              </w:rPr>
              <w:t>Total abastecido (COMPRA + DESPACHO recibido): 188,0 L · 6 cargas</w:t>
            </w:r>
          </w:p>
          <w:p>
            <w:pPr>
              <w:spacing w:before="0" w:after="40"/>
            </w:pPr>
            <w:r>
              <w:rPr>
                <w:b w:val="0"/>
                <w:sz w:val="20"/>
              </w:rPr>
              <w:t>Odómetro inicio: 35.555 km  |  Odómetro final: 36.400 km  |  Km recorridos: 845 km</w:t>
            </w:r>
          </w:p>
          <w:p>
            <w:pPr>
              <w:spacing w:before="0" w:after="40"/>
            </w:pPr>
            <w:r>
              <w:rPr>
                <w:b w:val="0"/>
                <w:sz w:val="20"/>
              </w:rPr>
              <w:t>Consumo real última carga: 16,50 km/L  |  Consumo fabricante: 9 km/L</w:t>
            </w:r>
          </w:p>
          <w:p>
            <w:pPr>
              <w:spacing w:before="0" w:after="40"/>
            </w:pPr>
            <w:r>
              <w:rPr>
                <w:b w:val="0"/>
                <w:sz w:val="20"/>
              </w:rPr>
              <w:t>Nota: 188 L corresponde únicamente al mes de marzo 2026, que es un subconjunto del historial total.</w:t>
            </w:r>
          </w:p>
        </w:tc>
      </w:tr>
    </w:tbl>
    <w:p/>
    <w:p>
      <w:pPr>
        <w:spacing w:before="280" w:after="80"/>
      </w:pPr>
      <w:r>
        <w:rPr>
          <w:b/>
          <w:color w:val="1F3864"/>
          <w:sz w:val="26"/>
        </w:rPr>
        <w:t>4. Cuadro comparativo — por qué los números difieren</w:t>
      </w:r>
    </w:p>
    <w:p>
      <w:pPr>
        <w:spacing w:before="0" w:after="80"/>
      </w:pPr>
      <w:r>
        <w:rPr>
          <w:b w:val="0"/>
          <w:i w:val="0"/>
          <w:sz w:val="20"/>
        </w:rPr>
        <w:t>La siguiente tabla resume los tres datos que originaron la consulta auditora, explicando exactamente qué mide cada uno:</w:t>
      </w:r>
    </w:p>
    <w:tbl>
      <w:tblPr>
        <w:tblStyle w:val="TableGrid"/>
        <w:tblW w:type="auto" w:w="0"/>
        <w:jc w:val="left"/>
        <w:tblLook w:firstColumn="1" w:firstRow="1" w:lastColumn="0" w:lastRow="0" w:noHBand="0" w:noVBand="1" w:val="04A0"/>
      </w:tblPr>
      <w:tblGrid>
        <w:gridCol w:w="1824"/>
        <w:gridCol w:w="1824"/>
        <w:gridCol w:w="1824"/>
        <w:gridCol w:w="1824"/>
        <w:gridCol w:w="1824"/>
      </w:tblGrid>
      <w:tr>
        <w:tc>
          <w:tcPr>
            <w:tcW w:type="dxa" w:w="1824"/>
            <w:shd w:val="clear" w:color="auto" w:fill="1F3864"/>
          </w:tcPr>
          <w:p>
            <w:pPr>
              <w:jc w:val="center"/>
            </w:pPr>
            <w:r>
              <w:rPr>
                <w:b/>
                <w:color w:val="FFFFFF"/>
                <w:sz w:val="18"/>
              </w:rPr>
              <w:t>Dato observado</w:t>
            </w:r>
          </w:p>
        </w:tc>
        <w:tc>
          <w:tcPr>
            <w:tcW w:type="dxa" w:w="1824"/>
            <w:shd w:val="clear" w:color="auto" w:fill="1F3864"/>
          </w:tcPr>
          <w:p>
            <w:pPr>
              <w:jc w:val="center"/>
            </w:pPr>
            <w:r>
              <w:rPr>
                <w:b/>
                <w:color w:val="FFFFFF"/>
                <w:sz w:val="18"/>
              </w:rPr>
              <w:t>Fuente / Reporte</w:t>
            </w:r>
          </w:p>
        </w:tc>
        <w:tc>
          <w:tcPr>
            <w:tcW w:type="dxa" w:w="1824"/>
            <w:shd w:val="clear" w:color="auto" w:fill="1F3864"/>
          </w:tcPr>
          <w:p>
            <w:pPr>
              <w:jc w:val="center"/>
            </w:pPr>
            <w:r>
              <w:rPr>
                <w:b/>
                <w:color w:val="FFFFFF"/>
                <w:sz w:val="18"/>
              </w:rPr>
              <w:t>Período</w:t>
            </w:r>
          </w:p>
        </w:tc>
        <w:tc>
          <w:tcPr>
            <w:tcW w:type="dxa" w:w="1824"/>
            <w:shd w:val="clear" w:color="auto" w:fill="1F3864"/>
          </w:tcPr>
          <w:p>
            <w:pPr>
              <w:jc w:val="center"/>
            </w:pPr>
            <w:r>
              <w:rPr>
                <w:b/>
                <w:color w:val="FFFFFF"/>
                <w:sz w:val="18"/>
              </w:rPr>
              <w:t>Tipos de movimiento incluidos</w:t>
            </w:r>
          </w:p>
        </w:tc>
        <w:tc>
          <w:tcPr>
            <w:tcW w:type="dxa" w:w="1824"/>
            <w:shd w:val="clear" w:color="auto" w:fill="1F3864"/>
          </w:tcPr>
          <w:p>
            <w:pPr>
              <w:jc w:val="center"/>
            </w:pPr>
            <w:r>
              <w:rPr>
                <w:b/>
                <w:color w:val="FFFFFF"/>
                <w:sz w:val="18"/>
              </w:rPr>
              <w:t>Qué representa</w:t>
            </w:r>
          </w:p>
        </w:tc>
      </w:tr>
      <w:tr>
        <w:tc>
          <w:tcPr>
            <w:tcW w:type="dxa" w:w="1824"/>
            <w:shd w:val="clear" w:color="auto" w:fill="EBF5FB"/>
          </w:tcPr>
          <w:p>
            <w:pPr>
              <w:jc w:val="left"/>
            </w:pPr>
            <w:r>
              <w:rPr>
                <w:b w:val="0"/>
                <w:sz w:val="18"/>
              </w:rPr>
              <w:t>383,0 L</w:t>
            </w:r>
          </w:p>
        </w:tc>
        <w:tc>
          <w:tcPr>
            <w:tcW w:type="dxa" w:w="1824"/>
            <w:shd w:val="clear" w:color="auto" w:fill="EBF5FB"/>
          </w:tcPr>
          <w:p>
            <w:pPr>
              <w:jc w:val="left"/>
            </w:pPr>
            <w:r>
              <w:rPr>
                <w:b w:val="0"/>
                <w:sz w:val="18"/>
              </w:rPr>
              <w:t>Reporte de Vehículos</w:t>
            </w:r>
          </w:p>
        </w:tc>
        <w:tc>
          <w:tcPr>
            <w:tcW w:type="dxa" w:w="1824"/>
            <w:shd w:val="clear" w:color="auto" w:fill="EBF5FB"/>
          </w:tcPr>
          <w:p>
            <w:pPr>
              <w:jc w:val="left"/>
            </w:pPr>
            <w:r>
              <w:rPr>
                <w:b w:val="0"/>
                <w:sz w:val="18"/>
              </w:rPr>
              <w:t>Todo el historial</w:t>
            </w:r>
          </w:p>
        </w:tc>
        <w:tc>
          <w:tcPr>
            <w:tcW w:type="dxa" w:w="1824"/>
            <w:shd w:val="clear" w:color="auto" w:fill="EBF5FB"/>
          </w:tcPr>
          <w:p>
            <w:pPr>
              <w:jc w:val="left"/>
            </w:pPr>
            <w:r>
              <w:rPr>
                <w:b w:val="0"/>
                <w:sz w:val="18"/>
              </w:rPr>
              <w:t>Solo COMPRA</w:t>
            </w:r>
          </w:p>
        </w:tc>
        <w:tc>
          <w:tcPr>
            <w:tcW w:type="dxa" w:w="1824"/>
            <w:shd w:val="clear" w:color="auto" w:fill="EBF5FB"/>
          </w:tcPr>
          <w:p>
            <w:pPr>
              <w:jc w:val="left"/>
            </w:pPr>
            <w:r>
              <w:rPr>
                <w:b w:val="0"/>
                <w:sz w:val="18"/>
              </w:rPr>
              <w:t>Compras directas acumuladas del vehículo en surtidores externos</w:t>
            </w:r>
          </w:p>
        </w:tc>
      </w:tr>
      <w:tr>
        <w:tc>
          <w:tcPr>
            <w:tcW w:type="dxa" w:w="1824"/>
            <w:shd w:val="clear" w:color="auto" w:fill="FFFFFF"/>
          </w:tcPr>
          <w:p>
            <w:pPr>
              <w:jc w:val="left"/>
            </w:pPr>
            <w:r>
              <w:rPr>
                <w:b w:val="0"/>
                <w:sz w:val="18"/>
              </w:rPr>
              <w:t>313,0 L</w:t>
            </w:r>
          </w:p>
        </w:tc>
        <w:tc>
          <w:tcPr>
            <w:tcW w:type="dxa" w:w="1824"/>
            <w:shd w:val="clear" w:color="auto" w:fill="FFFFFF"/>
          </w:tcPr>
          <w:p>
            <w:pPr>
              <w:jc w:val="left"/>
            </w:pPr>
            <w:r>
              <w:rPr>
                <w:b w:val="0"/>
                <w:sz w:val="18"/>
              </w:rPr>
              <w:t>Finanzas — Consumo por consumidor (Gasolina Especial)</w:t>
            </w:r>
          </w:p>
        </w:tc>
        <w:tc>
          <w:tcPr>
            <w:tcW w:type="dxa" w:w="1824"/>
            <w:shd w:val="clear" w:color="auto" w:fill="FFFFFF"/>
          </w:tcPr>
          <w:p>
            <w:pPr>
              <w:jc w:val="left"/>
            </w:pPr>
            <w:r>
              <w:rPr>
                <w:b w:val="0"/>
                <w:sz w:val="18"/>
              </w:rPr>
              <w:t>Período del filtro activo</w:t>
            </w:r>
          </w:p>
        </w:tc>
        <w:tc>
          <w:tcPr>
            <w:tcW w:type="dxa" w:w="1824"/>
            <w:shd w:val="clear" w:color="auto" w:fill="FFFFFF"/>
          </w:tcPr>
          <w:p>
            <w:pPr>
              <w:jc w:val="left"/>
            </w:pPr>
            <w:r>
              <w:rPr>
                <w:b w:val="0"/>
                <w:sz w:val="18"/>
              </w:rPr>
              <w:t>Solo DESPACHO recibido</w:t>
            </w:r>
          </w:p>
        </w:tc>
        <w:tc>
          <w:tcPr>
            <w:tcW w:type="dxa" w:w="1824"/>
            <w:shd w:val="clear" w:color="auto" w:fill="FFFFFF"/>
          </w:tcPr>
          <w:p>
            <w:pPr>
              <w:jc w:val="left"/>
            </w:pPr>
            <w:r>
              <w:rPr>
                <w:b w:val="0"/>
                <w:sz w:val="18"/>
              </w:rPr>
              <w:t>Combustible transferido desde reservas internas al vehículo</w:t>
            </w:r>
          </w:p>
        </w:tc>
      </w:tr>
      <w:tr>
        <w:tc>
          <w:tcPr>
            <w:tcW w:type="dxa" w:w="1824"/>
            <w:shd w:val="clear" w:color="auto" w:fill="EBF5FB"/>
          </w:tcPr>
          <w:p>
            <w:pPr>
              <w:jc w:val="left"/>
            </w:pPr>
            <w:r>
              <w:rPr>
                <w:b w:val="0"/>
                <w:sz w:val="18"/>
              </w:rPr>
              <w:t>188,0 L</w:t>
            </w:r>
          </w:p>
        </w:tc>
        <w:tc>
          <w:tcPr>
            <w:tcW w:type="dxa" w:w="1824"/>
            <w:shd w:val="clear" w:color="auto" w:fill="EBF5FB"/>
          </w:tcPr>
          <w:p>
            <w:pPr>
              <w:jc w:val="left"/>
            </w:pPr>
            <w:r>
              <w:rPr>
                <w:b w:val="0"/>
                <w:sz w:val="18"/>
              </w:rPr>
              <w:t>Detalle mensual del consumidor</w:t>
            </w:r>
          </w:p>
        </w:tc>
        <w:tc>
          <w:tcPr>
            <w:tcW w:type="dxa" w:w="1824"/>
            <w:shd w:val="clear" w:color="auto" w:fill="EBF5FB"/>
          </w:tcPr>
          <w:p>
            <w:pPr>
              <w:jc w:val="left"/>
            </w:pPr>
            <w:r>
              <w:rPr>
                <w:b w:val="0"/>
                <w:sz w:val="18"/>
              </w:rPr>
              <w:t>Marzo 2026</w:t>
            </w:r>
          </w:p>
        </w:tc>
        <w:tc>
          <w:tcPr>
            <w:tcW w:type="dxa" w:w="1824"/>
            <w:shd w:val="clear" w:color="auto" w:fill="EBF5FB"/>
          </w:tcPr>
          <w:p>
            <w:pPr>
              <w:jc w:val="left"/>
            </w:pPr>
            <w:r>
              <w:rPr>
                <w:b w:val="0"/>
                <w:sz w:val="18"/>
              </w:rPr>
              <w:t>COMPRA + DESPACHO</w:t>
            </w:r>
          </w:p>
        </w:tc>
        <w:tc>
          <w:tcPr>
            <w:tcW w:type="dxa" w:w="1824"/>
            <w:shd w:val="clear" w:color="auto" w:fill="EBF5FB"/>
          </w:tcPr>
          <w:p>
            <w:pPr>
              <w:jc w:val="left"/>
            </w:pPr>
            <w:r>
              <w:rPr>
                <w:b w:val="0"/>
                <w:sz w:val="18"/>
              </w:rPr>
              <w:t>Total abastecido al vehículo en ese mes específico</w:t>
            </w:r>
          </w:p>
        </w:tc>
      </w:tr>
    </w:tbl>
    <w:p/>
    <w:p>
      <w:pPr>
        <w:spacing w:before="0" w:after="80"/>
      </w:pPr>
      <w:r>
        <w:rPr>
          <w:b w:val="0"/>
          <w:i w:val="0"/>
          <w:sz w:val="20"/>
        </w:rPr>
        <w:t>Los tres valores son correctos y no se contradicen entre sí, dado que cada uno mide una dimensión diferente: distinto tipo de movimiento, distinto período y distinto alcance.</w:t>
      </w:r>
    </w:p>
    <w:p>
      <w:pPr>
        <w:spacing w:before="280" w:after="80"/>
      </w:pPr>
      <w:r>
        <w:rPr>
          <w:b/>
          <w:color w:val="1F3864"/>
          <w:sz w:val="26"/>
        </w:rPr>
        <w:t>5. Verificación aritmética del saldo</w:t>
      </w:r>
    </w:p>
    <w:p>
      <w:pPr>
        <w:spacing w:before="0" w:after="80"/>
      </w:pPr>
      <w:r>
        <w:rPr>
          <w:b w:val="0"/>
          <w:i w:val="0"/>
          <w:sz w:val="20"/>
        </w:rPr>
        <w:t>Para mayor transparencia, se detalla el cálculo del saldo de Gasolina Especial que el sistema presenta en el reporte financiero:</w:t>
      </w:r>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1F3864"/>
          </w:tcPr>
          <w:p>
            <w:pPr>
              <w:jc w:val="center"/>
            </w:pPr>
            <w:r>
              <w:rPr>
                <w:b/>
                <w:color w:val="FFFFFF"/>
                <w:sz w:val="18"/>
              </w:rPr>
              <w:t>Concepto</w:t>
            </w:r>
          </w:p>
        </w:tc>
        <w:tc>
          <w:tcPr>
            <w:tcW w:type="dxa" w:w="3041"/>
            <w:shd w:val="clear" w:color="auto" w:fill="1F3864"/>
          </w:tcPr>
          <w:p>
            <w:pPr>
              <w:jc w:val="center"/>
            </w:pPr>
            <w:r>
              <w:rPr>
                <w:b/>
                <w:color w:val="FFFFFF"/>
                <w:sz w:val="18"/>
              </w:rPr>
              <w:t>Litros</w:t>
            </w:r>
          </w:p>
        </w:tc>
        <w:tc>
          <w:tcPr>
            <w:tcW w:type="dxa" w:w="3041"/>
            <w:shd w:val="clear" w:color="auto" w:fill="1F3864"/>
          </w:tcPr>
          <w:p>
            <w:pPr>
              <w:jc w:val="center"/>
            </w:pPr>
            <w:r>
              <w:rPr>
                <w:b/>
                <w:color w:val="FFFFFF"/>
                <w:sz w:val="18"/>
              </w:rPr>
              <w:t>Referencia</w:t>
            </w:r>
          </w:p>
        </w:tc>
      </w:tr>
      <w:tr>
        <w:tc>
          <w:tcPr>
            <w:tcW w:type="dxa" w:w="3041"/>
            <w:shd w:val="clear" w:color="auto" w:fill="EBF5FB"/>
          </w:tcPr>
          <w:p>
            <w:pPr>
              <w:jc w:val="left"/>
            </w:pPr>
            <w:r>
              <w:rPr>
                <w:b w:val="0"/>
                <w:sz w:val="18"/>
              </w:rPr>
              <w:t>(+) Total adquirido — COMPRA (todas las fuentes, período seleccionado)</w:t>
            </w:r>
          </w:p>
        </w:tc>
        <w:tc>
          <w:tcPr>
            <w:tcW w:type="dxa" w:w="3041"/>
            <w:shd w:val="clear" w:color="auto" w:fill="EBF5FB"/>
          </w:tcPr>
          <w:p>
            <w:pPr>
              <w:jc w:val="left"/>
            </w:pPr>
            <w:r>
              <w:rPr>
                <w:b w:val="0"/>
                <w:sz w:val="18"/>
              </w:rPr>
              <w:t>1.045,0 L</w:t>
            </w:r>
          </w:p>
        </w:tc>
        <w:tc>
          <w:tcPr>
            <w:tcW w:type="dxa" w:w="3041"/>
            <w:shd w:val="clear" w:color="auto" w:fill="EBF5FB"/>
          </w:tcPr>
          <w:p>
            <w:pPr>
              <w:jc w:val="left"/>
            </w:pPr>
            <w:r>
              <w:rPr>
                <w:b w:val="0"/>
                <w:sz w:val="18"/>
              </w:rPr>
              <w:t>18 operaciones registradas</w:t>
            </w:r>
          </w:p>
        </w:tc>
      </w:tr>
      <w:tr>
        <w:tc>
          <w:tcPr>
            <w:tcW w:type="dxa" w:w="3041"/>
            <w:shd w:val="clear" w:color="auto" w:fill="FFFFFF"/>
          </w:tcPr>
          <w:p>
            <w:pPr>
              <w:jc w:val="left"/>
            </w:pPr>
            <w:r>
              <w:rPr>
                <w:b w:val="0"/>
                <w:sz w:val="18"/>
              </w:rPr>
              <w:t>(–) Total despachado — DESPACHO a consumidores (período seleccionado)</w:t>
            </w:r>
          </w:p>
        </w:tc>
        <w:tc>
          <w:tcPr>
            <w:tcW w:type="dxa" w:w="3041"/>
            <w:shd w:val="clear" w:color="auto" w:fill="FFFFFF"/>
          </w:tcPr>
          <w:p>
            <w:pPr>
              <w:jc w:val="left"/>
            </w:pPr>
            <w:r>
              <w:rPr>
                <w:b w:val="0"/>
                <w:sz w:val="18"/>
              </w:rPr>
              <w:t xml:space="preserve">  757,0 L</w:t>
            </w:r>
          </w:p>
        </w:tc>
        <w:tc>
          <w:tcPr>
            <w:tcW w:type="dxa" w:w="3041"/>
            <w:shd w:val="clear" w:color="auto" w:fill="FFFFFF"/>
          </w:tcPr>
          <w:p>
            <w:pPr>
              <w:jc w:val="left"/>
            </w:pPr>
            <w:r>
              <w:rPr>
                <w:b w:val="0"/>
                <w:sz w:val="18"/>
              </w:rPr>
              <w:t>35 operaciones registradas</w:t>
            </w:r>
          </w:p>
        </w:tc>
      </w:tr>
      <w:tr>
        <w:tc>
          <w:tcPr>
            <w:tcW w:type="dxa" w:w="3041"/>
            <w:shd w:val="clear" w:color="auto" w:fill="EBF5FB"/>
          </w:tcPr>
          <w:p>
            <w:pPr>
              <w:jc w:val="left"/>
            </w:pPr>
            <w:r>
              <w:rPr>
                <w:b/>
                <w:sz w:val="18"/>
              </w:rPr>
              <w:t>Saldo final estimado en reservas</w:t>
            </w:r>
          </w:p>
        </w:tc>
        <w:tc>
          <w:tcPr>
            <w:tcW w:type="dxa" w:w="3041"/>
            <w:shd w:val="clear" w:color="auto" w:fill="EBF5FB"/>
          </w:tcPr>
          <w:p>
            <w:pPr>
              <w:jc w:val="left"/>
            </w:pPr>
            <w:r>
              <w:rPr>
                <w:b/>
                <w:sz w:val="18"/>
              </w:rPr>
              <w:t xml:space="preserve">  288,0 L</w:t>
            </w:r>
          </w:p>
        </w:tc>
        <w:tc>
          <w:tcPr>
            <w:tcW w:type="dxa" w:w="3041"/>
            <w:shd w:val="clear" w:color="auto" w:fill="EBF5FB"/>
          </w:tcPr>
          <w:p>
            <w:pPr>
              <w:jc w:val="left"/>
            </w:pPr>
            <w:r>
              <w:rPr>
                <w:b/>
                <w:sz w:val="18"/>
              </w:rPr>
              <w:t>≈ $ 374,40</w:t>
            </w:r>
          </w:p>
        </w:tc>
      </w:tr>
    </w:tbl>
    <w:p/>
    <w:p>
      <w:pPr>
        <w:spacing w:before="0" w:after="80"/>
      </w:pPr>
      <w:r>
        <w:rPr>
          <w:b w:val="0"/>
          <w:i w:val="0"/>
          <w:sz w:val="20"/>
        </w:rPr>
        <w:t>El saldo es coherente y auditable. Las 345 L de compra directa del Chevrolet Tornado en Gasolina Especial están incluidas dentro de los 1.045 L de entradas. Al haber sido consumidas directamente por el vehículo sin pasar por las reservas, no generan un movimiento DESPACHO de salida, lo que es operativamente correcto.</w:t>
      </w:r>
    </w:p>
    <w:p>
      <w:pPr>
        <w:spacing w:before="280" w:after="80"/>
      </w:pPr>
      <w:r>
        <w:rPr>
          <w:b/>
          <w:color w:val="1F3864"/>
          <w:sz w:val="26"/>
        </w:rPr>
        <w:t>6. Nota aclaratoria — Gasolina Regular</w:t>
      </w:r>
    </w:p>
    <w:p>
      <w:pPr>
        <w:spacing w:before="0" w:after="80"/>
      </w:pPr>
      <w:r>
        <w:rPr>
          <w:b w:val="0"/>
          <w:i w:val="0"/>
          <w:sz w:val="20"/>
        </w:rPr>
        <w:t>El auditor puede observar que el Chevrolet Tornado aparece en la lista de compras de Gasolina Regular (38,0 L) pero NO aparece en el "Consumo por consumidor" de ese mismo combustible. Esto es correcto porque:</w:t>
      </w:r>
    </w:p>
    <w:p>
      <w:pPr>
        <w:pStyle w:val="ListBullet"/>
        <w:spacing w:after="60"/>
      </w:pPr>
      <w:r>
        <w:rPr>
          <w:sz w:val="20"/>
        </w:rPr>
        <w:t>La compra de 38 L fue realizada directamente en un surtidor externo (tipo COMPRA).</w:t>
      </w:r>
    </w:p>
    <w:p>
      <w:pPr>
        <w:pStyle w:val="ListBullet"/>
        <w:spacing w:after="60"/>
      </w:pPr>
      <w:r>
        <w:rPr>
          <w:sz w:val="20"/>
        </w:rPr>
        <w:t>El combustible pasó directamente del surtidor al tanque del vehículo, sin intermediación de reservas internas.</w:t>
      </w:r>
    </w:p>
    <w:p>
      <w:pPr>
        <w:pStyle w:val="ListBullet"/>
        <w:spacing w:after="60"/>
      </w:pPr>
      <w:r>
        <w:rPr>
          <w:sz w:val="20"/>
        </w:rPr>
        <w:t>Por tanto, no existe un movimiento DESPACHO asociado, y el vehículo no aparece en la columna de consumo de reservas para ese combustible.</w:t>
      </w:r>
    </w:p>
    <w:p/>
    <w:p>
      <w:pPr>
        <w:spacing w:before="0" w:after="80"/>
      </w:pPr>
      <w:r>
        <w:rPr>
          <w:b w:val="0"/>
          <w:i w:val="0"/>
          <w:sz w:val="20"/>
        </w:rPr>
        <w:t>Esta situación no representa un error contable: el sistema registra correctamente la transacción financiera (tarjeta, fecha, monto) y la deja trazable en el historial del vehículo.</w:t>
      </w:r>
    </w:p>
    <w:p>
      <w:pPr>
        <w:spacing w:before="280" w:after="80"/>
      </w:pPr>
      <w:r>
        <w:rPr>
          <w:b/>
          <w:color w:val="1F3864"/>
          <w:sz w:val="26"/>
        </w:rPr>
        <w:t>7. Conclusión</w:t>
      </w:r>
    </w:p>
    <w:tbl>
      <w:tblPr>
        <w:tblW w:type="auto" w:w="0"/>
        <w:jc w:val="left"/>
        <w:tblLook w:firstColumn="1" w:firstRow="1" w:lastColumn="0" w:lastRow="0" w:noHBand="0" w:noVBand="1" w:val="04A0"/>
      </w:tblPr>
      <w:tblGrid>
        <w:gridCol w:w="9122"/>
      </w:tblGrid>
      <w:tr>
        <w:tc>
          <w:tcPr>
            <w:tcW w:type="dxa" w:w="8640"/>
            <w:shd w:val="clear" w:color="auto" w:fill="E9F7EF"/>
            <w:tcBorders>
              <w:top w:val="single" w:sz="12" w:space="0" w:color="1E8449"/>
              <w:left w:val="single" w:sz="12" w:space="0" w:color="1E8449"/>
              <w:bottom w:val="single" w:sz="12" w:space="0" w:color="1E8449"/>
              <w:right w:val="single" w:sz="12" w:space="0" w:color="1E8449"/>
            </w:tcBorders>
          </w:tcPr>
          <w:p/>
          <w:p>
            <w:pPr>
              <w:spacing w:before="0" w:after="40"/>
            </w:pPr>
            <w:r>
              <w:rPr>
                <w:b/>
                <w:sz w:val="20"/>
              </w:rPr>
              <w:t>No existe incongruencia en los datos del sistema.</w:t>
            </w:r>
          </w:p>
          <w:p>
            <w:pPr>
              <w:spacing w:before="0" w:after="40"/>
            </w:pPr>
            <w:r>
              <w:rPr>
                <w:b w:val="0"/>
                <w:sz w:val="20"/>
              </w:rPr>
            </w:r>
          </w:p>
          <w:p>
            <w:pPr>
              <w:spacing w:before="0" w:after="40"/>
            </w:pPr>
            <w:r>
              <w:rPr>
                <w:b w:val="0"/>
                <w:sz w:val="20"/>
              </w:rPr>
              <w:t>Cada reporte está diseñado para responder una pregunta diferente:</w:t>
            </w:r>
          </w:p>
          <w:p>
            <w:pPr>
              <w:spacing w:before="0" w:after="40"/>
            </w:pPr>
            <w:r>
              <w:rPr>
                <w:b w:val="0"/>
                <w:sz w:val="20"/>
              </w:rPr>
              <w:t xml:space="preserve">  · Reporte de Vehículos → ¿Cuánto combustible ha comprado directamente este vehículo?</w:t>
            </w:r>
          </w:p>
          <w:p>
            <w:pPr>
              <w:spacing w:before="0" w:after="40"/>
            </w:pPr>
            <w:r>
              <w:rPr>
                <w:b w:val="0"/>
                <w:sz w:val="20"/>
              </w:rPr>
              <w:t xml:space="preserve">  · Finanzas / Consumo por consumidor → ¿Cuánto combustible de las reservas internas ha recibido cada consumidor?</w:t>
            </w:r>
          </w:p>
          <w:p>
            <w:pPr>
              <w:spacing w:before="0" w:after="40"/>
            </w:pPr>
            <w:r>
              <w:rPr>
                <w:b w:val="0"/>
                <w:sz w:val="20"/>
              </w:rPr>
              <w:t xml:space="preserve">  · Detalle mensual → ¿Cuánto combustible total (de cualquier fuente) consumió este vehículo en un mes dado?</w:t>
            </w:r>
          </w:p>
          <w:p>
            <w:pPr>
              <w:spacing w:before="0" w:after="40"/>
            </w:pPr>
            <w:r>
              <w:rPr>
                <w:b w:val="0"/>
                <w:sz w:val="20"/>
              </w:rPr>
            </w:r>
          </w:p>
          <w:p>
            <w:pPr>
              <w:spacing w:before="0" w:after="40"/>
            </w:pPr>
            <w:r>
              <w:rPr>
                <w:b w:val="0"/>
                <w:sz w:val="20"/>
              </w:rPr>
              <w:t>La coexistencia de valores distintos para el mismo vehículo es el comportamiento esperado y correcto del sistema, dado que los dos tipos de abastecimiento (compra directa y despacho desde reserva) son flujos independientes que se contabilizan por separado.</w:t>
            </w:r>
          </w:p>
        </w:tc>
      </w:tr>
    </w:tbl>
    <w:p/>
    <w:p/>
    <w:tbl>
      <w:tblPr>
        <w:tblStyle w:val="TableGrid"/>
        <w:tblW w:type="auto" w:w="0"/>
        <w:jc w:val="left"/>
        <w:tblLook w:firstColumn="1" w:firstRow="1" w:lastColumn="0" w:lastRow="0" w:noHBand="0" w:noVBand="1" w:val="04A0"/>
      </w:tblPr>
      <w:tblGrid>
        <w:gridCol w:w="4561"/>
        <w:gridCol w:w="4561"/>
      </w:tblGrid>
      <w:tr>
        <w:tc>
          <w:tcPr>
            <w:tcW w:type="dxa" w:w="4561"/>
            <w:shd w:val="clear" w:color="auto" w:fill="D6EAF8"/>
          </w:tcPr>
          <w:p>
            <w:r>
              <w:rPr>
                <w:b/>
                <w:sz w:val="18"/>
              </w:rPr>
              <w:t>Elaborado por:</w:t>
            </w:r>
          </w:p>
        </w:tc>
        <w:tc>
          <w:tcPr>
            <w:tcW w:type="dxa" w:w="4561"/>
            <w:shd w:val="clear" w:color="auto" w:fill="D6EAF8"/>
          </w:tcPr>
          <w:p>
            <w:r>
              <w:rPr>
                <w:b/>
                <w:sz w:val="18"/>
              </w:rPr>
              <w:t>Revisado por:</w:t>
            </w:r>
          </w:p>
        </w:tc>
      </w:tr>
      <w:tr>
        <w:tc>
          <w:tcPr>
            <w:tcW w:type="dxa" w:w="4561"/>
          </w:tcPr>
          <w:p>
            <w:r>
              <w:rPr>
                <w:b w:val="0"/>
                <w:sz w:val="18"/>
              </w:rPr>
              <w:t>_________________________________</w:t>
            </w:r>
          </w:p>
        </w:tc>
        <w:tc>
          <w:tcPr>
            <w:tcW w:type="dxa" w:w="4561"/>
          </w:tcPr>
          <w:p>
            <w:r>
              <w:rPr>
                <w:b w:val="0"/>
                <w:sz w:val="18"/>
              </w:rPr>
              <w:t>_________________________________</w:t>
            </w:r>
          </w:p>
        </w:tc>
      </w:tr>
      <w:tr>
        <w:tc>
          <w:tcPr>
            <w:tcW w:type="dxa" w:w="4561"/>
          </w:tcPr>
          <w:p>
            <w:r>
              <w:rPr>
                <w:b w:val="0"/>
                <w:sz w:val="18"/>
              </w:rPr>
              <w:t>Departamento de Informática</w:t>
            </w:r>
          </w:p>
        </w:tc>
        <w:tc>
          <w:tcPr>
            <w:tcW w:type="dxa" w:w="4561"/>
          </w:tcPr>
          <w:p>
            <w:r>
              <w:rPr>
                <w:b w:val="0"/>
                <w:sz w:val="18"/>
              </w:rPr>
              <w:t>Dirección / Auditoría Interna</w:t>
            </w:r>
          </w:p>
        </w:tc>
      </w:tr>
    </w:tbl>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