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tiff" ContentType="image/tiff"/>
  <Override PartName="/word/media/rId28.tiff" ContentType="image/tif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Welcome to the iddoverse: An R package for converting IDDO-SDTM data into analysis datasets</w:t>
      </w:r>
    </w:p>
    <w:p>
      <w:pPr>
        <w:pStyle w:val="Date"/>
      </w:pPr>
      <w:r>
        <w:t xml:space="preserve">7 April 2026</w:t>
      </w:r>
    </w:p>
    <w:bookmarkStart w:id="20" w:name="summary"/>
    <w:p>
      <w:pPr>
        <w:pStyle w:val="Heading1"/>
      </w:pPr>
      <w:r>
        <w:t xml:space="preserve">Summary</w:t>
      </w:r>
    </w:p>
    <w:p>
      <w:pPr>
        <w:pStyle w:val="FirstParagraph"/>
      </w:pPr>
      <w:r>
        <w:t xml:space="preserve">Study Data Tabulation Model (SDTM), developed by the Clinical Data Interchange Standards Consortium (CDISC), is an internationally adopted</w:t>
      </w:r>
      <w:r>
        <w:t xml:space="preserve"> </w:t>
      </w:r>
      <w:r>
        <w:t xml:space="preserve">data storage standard</w:t>
      </w:r>
      <w:r>
        <w:t xml:space="preserve"> </w:t>
      </w:r>
      <w:r>
        <w:t xml:space="preserve">(Clinical Data Interchange Standards Consortium 2025)</w:t>
      </w:r>
      <w:r>
        <w:t xml:space="preserve">. The model provides a coherent framework for harmonising data from</w:t>
      </w:r>
      <w:r>
        <w:t xml:space="preserve"> </w:t>
      </w:r>
      <w:r>
        <w:t xml:space="preserve">multiple clinical studies. Using a modified implementation of SDTM, the Infectious Diseases Data Observatory (IDDO) has developed a standardised</w:t>
      </w:r>
      <w:r>
        <w:t xml:space="preserve"> </w:t>
      </w:r>
      <w:r>
        <w:t xml:space="preserve">repository of individual participant data from clinical studies spanning diseases of global health importance</w:t>
      </w:r>
      <w:r>
        <w:t xml:space="preserve"> </w:t>
      </w:r>
      <w:r>
        <w:t xml:space="preserve">(Infectious Diseases Data Observatory 2025)</w:t>
      </w:r>
      <w:r>
        <w:t xml:space="preserve">. Generating datasets amenable</w:t>
      </w:r>
      <w:r>
        <w:t xml:space="preserve"> </w:t>
      </w:r>
      <w:r>
        <w:t xml:space="preserve">to analysis (</w:t>
      </w:r>
      <w:r>
        <w:t xml:space="preserve">‘analysis datasets’</w:t>
      </w:r>
      <w:r>
        <w:t xml:space="preserve">) from SDTM format requires complex transformations, which requires additional time and resource by end-users.</w:t>
      </w:r>
    </w:p>
    <w:p>
      <w:pPr>
        <w:pStyle w:val="BodyText"/>
      </w:pPr>
      <w:r>
        <w:t xml:space="preserve">The</w:t>
      </w:r>
      <w:r>
        <w:t xml:space="preserve"> </w:t>
      </w:r>
      <w:r>
        <w:rPr>
          <w:rStyle w:val="VerbatimChar"/>
        </w:rPr>
        <w:t xml:space="preserve">iddoverse</w:t>
      </w:r>
      <w:r>
        <w:t xml:space="preserve"> </w:t>
      </w:r>
      <w:r>
        <w:t xml:space="preserve">package provides a suite of functions that transforms datasets from SDTM into analysis datasets. Assuming a foundational</w:t>
      </w:r>
      <w:r>
        <w:t xml:space="preserve"> </w:t>
      </w:r>
      <w:r>
        <w:t xml:space="preserve">familiarity with the R software</w:t>
      </w:r>
      <w:r>
        <w:t xml:space="preserve"> </w:t>
      </w:r>
      <w:r>
        <w:t xml:space="preserve">(R Core Team 2022)</w:t>
      </w:r>
      <w:r>
        <w:t xml:space="preserve">, the package is intended for epidemiologists, statisticians, and data scientists with a diverse</w:t>
      </w:r>
      <w:r>
        <w:t xml:space="preserve"> </w:t>
      </w:r>
      <w:r>
        <w:t xml:space="preserve">range of programming ability. Advanced knowledge of SDTM is not required, thereby removing a potential challenge for data requesters, especially</w:t>
      </w:r>
      <w:r>
        <w:t xml:space="preserve"> </w:t>
      </w:r>
      <w:r>
        <w:t xml:space="preserve">those in Low- and Middle- Income Countries (LMICs) where SDTM training and expertise is often more difficult to access. Overall, the</w:t>
      </w:r>
      <w:r>
        <w:t xml:space="preserve"> </w:t>
      </w:r>
      <w:r>
        <w:rPr>
          <w:rStyle w:val="VerbatimChar"/>
        </w:rPr>
        <w:t xml:space="preserve">iddoverse</w:t>
      </w:r>
      <w:r>
        <w:t xml:space="preserve"> </w:t>
      </w:r>
      <w:r>
        <w:t xml:space="preserve">package aims to reduce time spent on data manipulation and facilitate the generation of reproducible analysis datasets</w:t>
      </w:r>
      <w:r>
        <w:t xml:space="preserve"> </w:t>
      </w:r>
      <w:r>
        <w:t xml:space="preserve">(Patel SK 2023)</w:t>
      </w:r>
      <w:r>
        <w:t xml:space="preserve">.</w:t>
      </w:r>
    </w:p>
    <w:bookmarkEnd w:id="20"/>
    <w:bookmarkStart w:id="21" w:name="statement-of-need"/>
    <w:p>
      <w:pPr>
        <w:pStyle w:val="Heading1"/>
      </w:pPr>
      <w:r>
        <w:t xml:space="preserve">Statement of Need</w:t>
      </w:r>
    </w:p>
    <w:p>
      <w:pPr>
        <w:pStyle w:val="FirstParagraph"/>
      </w:pPr>
      <w:r>
        <w:t xml:space="preserve">In the context of infectious diseases, IDDO maximises the scientific utility of existing clinical data through the promotion of data reuse</w:t>
      </w:r>
      <w:r>
        <w:t xml:space="preserve"> </w:t>
      </w:r>
      <w:r>
        <w:t xml:space="preserve">and the adoption of a responsible open-access data model</w:t>
      </w:r>
      <w:r>
        <w:t xml:space="preserve"> </w:t>
      </w:r>
      <w:r>
        <w:t xml:space="preserve">(Pisani E 2016, 2017)</w:t>
      </w:r>
      <w:r>
        <w:t xml:space="preserve">. By pooling multiple datasets, scientists can address</w:t>
      </w:r>
      <w:r>
        <w:t xml:space="preserve"> </w:t>
      </w:r>
      <w:r>
        <w:t xml:space="preserve">important questions using individual participant data meta-analysis (IPD-MA) techniques. To achieve this, IDDO standardises clinical study</w:t>
      </w:r>
      <w:r>
        <w:t xml:space="preserve"> </w:t>
      </w:r>
      <w:r>
        <w:t xml:space="preserve">data from disparate sources into SDTM format, thereby providing a consistent and comprehensive method to harmonise data. The result is</w:t>
      </w:r>
      <w:r>
        <w:t xml:space="preserve"> </w:t>
      </w:r>
      <w:r>
        <w:t xml:space="preserve">a controlled, open-access database, which enables the global research community to address questions of public health relevance that would</w:t>
      </w:r>
      <w:r>
        <w:t xml:space="preserve"> </w:t>
      </w:r>
      <w:r>
        <w:t xml:space="preserve">otherwise not be possible using a standalone study. A key challenge, however, is the effort and time required for transformation of the curated data</w:t>
      </w:r>
      <w:r>
        <w:t xml:space="preserve"> </w:t>
      </w:r>
      <w:r>
        <w:t xml:space="preserve">to an analysis-ready format. This mandates a working knowledge of the SDTM format and nomenclature, in addition to a good knowledge of IDDO’s</w:t>
      </w:r>
      <w:r>
        <w:t xml:space="preserve"> </w:t>
      </w:r>
      <w:r>
        <w:t xml:space="preserve">specific implementation of SDTM (a necessary modification to existing implementation guidelines due to heterogeneity in legacy data</w:t>
      </w:r>
      <w:r>
        <w:t xml:space="preserve"> </w:t>
      </w:r>
      <w:r>
        <w:t xml:space="preserve">(Infectious Diseases Data Observatory 2019)</w:t>
      </w:r>
      <w:r>
        <w:t xml:space="preserve">).</w:t>
      </w:r>
      <w:r>
        <w:t xml:space="preserve"> </w:t>
      </w:r>
      <w:r>
        <w:t xml:space="preserve">End-users unfamiliar with IDDO’s SDTM implementation can therefore encounter challenges in utilising the data.</w:t>
      </w:r>
    </w:p>
    <w:bookmarkEnd w:id="21"/>
    <w:bookmarkStart w:id="22" w:name="state-of-the-field"/>
    <w:p>
      <w:pPr>
        <w:pStyle w:val="Heading1"/>
      </w:pPr>
      <w:r>
        <w:t xml:space="preserve">State of the Field</w:t>
      </w:r>
    </w:p>
    <w:p>
      <w:pPr>
        <w:pStyle w:val="FirstParagraph"/>
      </w:pPr>
      <w:r>
        <w:t xml:space="preserve">The challenges associated with transforming SDTM formatted data into analysis datasets are not unique to IDDO and several pre-existing tools fully,</w:t>
      </w:r>
      <w:r>
        <w:t xml:space="preserve"> </w:t>
      </w:r>
      <w:r>
        <w:t xml:space="preserve">or partially, support the transformation process</w:t>
      </w:r>
      <w:r>
        <w:t xml:space="preserve"> </w:t>
      </w:r>
      <w:r>
        <w:t xml:space="preserve">(pharmaverse 2023; Chen HL 2010; Suchchenko L 2023)</w:t>
      </w:r>
      <w:r>
        <w:t xml:space="preserve">. These tools were designed to work on the standard</w:t>
      </w:r>
      <w:r>
        <w:t xml:space="preserve"> </w:t>
      </w:r>
      <w:r>
        <w:t xml:space="preserve">implementation of SDTM and assume a working knowledge of CDISC standards. Other tools to generate analysis datasets are either private or follow</w:t>
      </w:r>
      <w:r>
        <w:t xml:space="preserve"> </w:t>
      </w:r>
      <w:r>
        <w:t xml:space="preserve">commercial business models, which are not feasible in academic and resource limited settings</w:t>
      </w:r>
      <w:r>
        <w:t xml:space="preserve"> </w:t>
      </w:r>
      <w:r>
        <w:t xml:space="preserve">(ICON, n.d.; Quanticate, n.d.; International Drug Development Institute, n.d.)</w:t>
      </w:r>
      <w:r>
        <w:t xml:space="preserve">.</w:t>
      </w:r>
    </w:p>
    <w:p>
      <w:pPr>
        <w:pStyle w:val="BodyText"/>
      </w:pPr>
      <w:r>
        <w:t xml:space="preserve">The</w:t>
      </w:r>
      <w:r>
        <w:t xml:space="preserve"> </w:t>
      </w:r>
      <w:r>
        <w:rPr>
          <w:rStyle w:val="VerbatimChar"/>
        </w:rPr>
        <w:t xml:space="preserve">iddoverse</w:t>
      </w:r>
      <w:r>
        <w:t xml:space="preserve"> </w:t>
      </w:r>
      <w:r>
        <w:t xml:space="preserve">package is tailored to IDDO’s SDTM implementation and is designed to be used by those unfamiliar with the format. Additionally,</w:t>
      </w:r>
      <w:r>
        <w:t xml:space="preserve"> </w:t>
      </w:r>
      <w:r>
        <w:t xml:space="preserve">the package has been developed for researchers across the globe, specifically those in LMICs, and is not developed for commercial purpose nor</w:t>
      </w:r>
      <w:r>
        <w:t xml:space="preserve"> </w:t>
      </w:r>
      <w:r>
        <w:t xml:space="preserve">for pharmaceutical regulatory submission.</w:t>
      </w:r>
    </w:p>
    <w:bookmarkEnd w:id="22"/>
    <w:bookmarkStart w:id="23" w:name="sdtm-data"/>
    <w:p>
      <w:pPr>
        <w:pStyle w:val="Heading1"/>
      </w:pPr>
      <w:r>
        <w:t xml:space="preserve">SDTM Data</w:t>
      </w:r>
    </w:p>
    <w:p>
      <w:pPr>
        <w:pStyle w:val="FirstParagraph"/>
      </w:pPr>
      <w:r>
        <w:t xml:space="preserve">Data stored in SDTM format comprises a series of subsets called domains, with each domain corresponding to a specific data topic.</w:t>
      </w:r>
      <w:r>
        <w:t xml:space="preserve"> </w:t>
      </w:r>
      <w:r>
        <w:t xml:space="preserve">Domains are tabular and usually stored in a long format; typically a row per event per participant, which can result in multiple rows</w:t>
      </w:r>
      <w:r>
        <w:t xml:space="preserve"> </w:t>
      </w:r>
      <w:r>
        <w:t xml:space="preserve">per participant, per timepoint. The package provides several synthetic datasets generated for user familiarisation and documentation. SDTM</w:t>
      </w:r>
      <w:r>
        <w:t xml:space="preserve"> </w:t>
      </w:r>
      <w:r>
        <w:t xml:space="preserve">findings domains, such as the microbiology (MB) domain, can have up to 4 columns for capturing the test results (i.e. </w:t>
      </w:r>
      <w:r>
        <w:rPr>
          <w:rStyle w:val="VerbatimChar"/>
        </w:rPr>
        <w:t xml:space="preserve">MBORRES</w:t>
      </w:r>
      <w:r>
        <w:t xml:space="preserve">,</w:t>
      </w:r>
      <w:r>
        <w:t xml:space="preserve"> </w:t>
      </w:r>
      <w:r>
        <w:rPr>
          <w:rStyle w:val="VerbatimChar"/>
        </w:rPr>
        <w:t xml:space="preserve">MBSTRESC</w:t>
      </w:r>
      <w:r>
        <w:t xml:space="preserve"> </w:t>
      </w:r>
      <w:r>
        <w:t xml:space="preserve">&amp;</w:t>
      </w:r>
      <w:r>
        <w:t xml:space="preserve"> </w:t>
      </w:r>
      <w:r>
        <w:rPr>
          <w:rStyle w:val="VerbatimChar"/>
        </w:rPr>
        <w:t xml:space="preserve">MBSTRESN</w:t>
      </w:r>
      <w:r>
        <w:t xml:space="preserve">)</w:t>
      </w:r>
      <w:r>
        <w:t xml:space="preserve"> </w:t>
      </w:r>
      <w:r>
        <w:t xml:space="preserve">and a selection of over 20 timing variables. The MB domain, for example (see</w:t>
      </w:r>
      <w:r>
        <w:t xml:space="preserve"> </w:t>
      </w:r>
      <w:r>
        <w:rPr>
          <w:rStyle w:val="VerbatimChar"/>
        </w:rPr>
        <w:t xml:space="preserve">MB_RPTESTB</w:t>
      </w:r>
      <w:r>
        <w:t xml:space="preserve"> </w:t>
      </w:r>
      <w:r>
        <w:t xml:space="preserve">below), has one row for every microbiology test and test</w:t>
      </w:r>
      <w:r>
        <w:t xml:space="preserve"> </w:t>
      </w:r>
      <w:r>
        <w:t xml:space="preserve">result conducted in the study. Whilst this preserves the intricacies of the study data, it also creates complexity for analysis.</w:t>
      </w:r>
      <w:r>
        <w:t xml:space="preserve"> </w:t>
      </w:r>
      <w:r>
        <w:t xml:space="preserve">The</w:t>
      </w:r>
      <w:r>
        <w:t xml:space="preserve"> </w:t>
      </w:r>
      <w:r>
        <w:rPr>
          <w:rStyle w:val="VerbatimChar"/>
        </w:rPr>
        <w:t xml:space="preserve">iddoverse</w:t>
      </w:r>
      <w:r>
        <w:t xml:space="preserve"> </w:t>
      </w:r>
      <w:r>
        <w:t xml:space="preserve">package aims to minimise this analytical burden whilst maximising the retention of data granularity.</w:t>
      </w:r>
    </w:p>
    <w:p>
      <w:pPr>
        <w:pStyle w:val="SourceCode"/>
      </w:pPr>
      <w:r>
        <w:rPr>
          <w:rStyle w:val="SpecialCharTok"/>
        </w:rPr>
        <w:t xml:space="preserve">&gt;</w:t>
      </w:r>
      <w:r>
        <w:rPr>
          <w:rStyle w:val="NormalTok"/>
        </w:rPr>
        <w:t xml:space="preserve"> </w:t>
      </w:r>
      <w:r>
        <w:rPr>
          <w:rStyle w:val="FunctionTok"/>
        </w:rPr>
        <w:t xml:space="preserve">library</w:t>
      </w:r>
      <w:r>
        <w:rPr>
          <w:rStyle w:val="NormalTok"/>
        </w:rPr>
        <w:t xml:space="preserve">(iddoverse)</w:t>
      </w:r>
      <w:r>
        <w:br/>
      </w:r>
      <w:r>
        <w:rPr>
          <w:rStyle w:val="SpecialCharTok"/>
        </w:rPr>
        <w:t xml:space="preserve">&gt;</w:t>
      </w:r>
      <w:r>
        <w:rPr>
          <w:rStyle w:val="NormalTok"/>
        </w:rPr>
        <w:t xml:space="preserve"> </w:t>
      </w:r>
      <w:r>
        <w:rPr>
          <w:rStyle w:val="FunctionTok"/>
        </w:rPr>
        <w:t xml:space="preserve">library</w:t>
      </w:r>
      <w:r>
        <w:rPr>
          <w:rStyle w:val="NormalTok"/>
        </w:rPr>
        <w:t xml:space="preserve">(tidyverse)</w:t>
      </w:r>
      <w:r>
        <w:br/>
      </w:r>
      <w:r>
        <w:rPr>
          <w:rStyle w:val="SpecialCharTok"/>
        </w:rPr>
        <w:t xml:space="preserve">&gt;</w:t>
      </w:r>
      <w:r>
        <w:rPr>
          <w:rStyle w:val="NormalTok"/>
        </w:rPr>
        <w:t xml:space="preserve"> MB_RPTESTB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(STUDYID, USUBJID, MBTESTCD, MBORRES, MBORRESU, MBSTRESN, MBSTRESU, </w:t>
      </w:r>
      <w:r>
        <w:br/>
      </w:r>
      <w:r>
        <w:rPr>
          <w:rStyle w:val="NormalTok"/>
        </w:rPr>
        <w:t xml:space="preserve">           MBDY, VISITDY, </w:t>
      </w:r>
      <w:r>
        <w:rPr>
          <w:rStyle w:val="FunctionTok"/>
        </w:rPr>
        <w:t xml:space="preserve">everything</w:t>
      </w:r>
      <w:r>
        <w:rPr>
          <w:rStyle w:val="NormalTok"/>
        </w:rPr>
        <w:t xml:space="preserve">())</w:t>
      </w:r>
      <w:r>
        <w:br/>
      </w:r>
      <w:r>
        <w:rPr>
          <w:rStyle w:val="CommentTok"/>
        </w:rPr>
        <w:t xml:space="preserve"># A tibble: 14 × 39</w:t>
      </w:r>
      <w:r>
        <w:br/>
      </w:r>
      <w:r>
        <w:rPr>
          <w:rStyle w:val="NormalTok"/>
        </w:rPr>
        <w:t xml:space="preserve">   STUDYID USUBJID  MBTESTCD MBORRES MBORRESU MBSTRESN MBSTRESU  MBDY VISITDY</w:t>
      </w:r>
      <w:r>
        <w:br/>
      </w:r>
      <w:r>
        <w:rPr>
          <w:rStyle w:val="NormalTok"/>
        </w:rPr>
        <w:t xml:space="preserve">   </w:t>
      </w:r>
      <w:r>
        <w:rPr>
          <w:rStyle w:val="SpecialCharTok"/>
        </w:rPr>
        <w:t xml:space="preserve">&lt;</w:t>
      </w:r>
      <w:r>
        <w:rPr>
          <w:rStyle w:val="NormalTok"/>
        </w:rPr>
        <w:t xml:space="preserve">chr</w:t>
      </w:r>
      <w:r>
        <w:rPr>
          <w:rStyle w:val="SpecialCharTok"/>
        </w:rPr>
        <w:t xml:space="preserve">&gt;</w:t>
      </w:r>
      <w:r>
        <w:rPr>
          <w:rStyle w:val="NormalTok"/>
        </w:rPr>
        <w:t xml:space="preserve">   </w:t>
      </w:r>
      <w:r>
        <w:rPr>
          <w:rStyle w:val="ErrorTok"/>
        </w:rPr>
        <w:t xml:space="preserve">&lt;</w:t>
      </w:r>
      <w:r>
        <w:rPr>
          <w:rStyle w:val="NormalTok"/>
        </w:rPr>
        <w:t xml:space="preserve">chr</w:t>
      </w:r>
      <w:r>
        <w:rPr>
          <w:rStyle w:val="SpecialCharTok"/>
        </w:rPr>
        <w:t xml:space="preserve">&gt;</w:t>
      </w:r>
      <w:r>
        <w:rPr>
          <w:rStyle w:val="NormalTok"/>
        </w:rPr>
        <w:t xml:space="preserve">    </w:t>
      </w:r>
      <w:r>
        <w:rPr>
          <w:rStyle w:val="ErrorTok"/>
        </w:rPr>
        <w:t xml:space="preserve">&lt;</w:t>
      </w:r>
      <w:r>
        <w:rPr>
          <w:rStyle w:val="NormalTok"/>
        </w:rPr>
        <w:t xml:space="preserve">chr</w:t>
      </w:r>
      <w:r>
        <w:rPr>
          <w:rStyle w:val="SpecialCharTok"/>
        </w:rPr>
        <w:t xml:space="preserve">&gt;</w:t>
      </w:r>
      <w:r>
        <w:rPr>
          <w:rStyle w:val="NormalTok"/>
        </w:rPr>
        <w:t xml:space="preserve">      </w:t>
      </w:r>
      <w:r>
        <w:rPr>
          <w:rStyle w:val="ErrorTok"/>
        </w:rPr>
        <w:t xml:space="preserve">&lt;</w:t>
      </w:r>
      <w:r>
        <w:rPr>
          <w:rStyle w:val="NormalTok"/>
        </w:rPr>
        <w:t xml:space="preserve">dbl</w:t>
      </w:r>
      <w:r>
        <w:rPr>
          <w:rStyle w:val="SpecialCharTok"/>
        </w:rPr>
        <w:t xml:space="preserve">&gt;</w:t>
      </w:r>
      <w:r>
        <w:rPr>
          <w:rStyle w:val="NormalTok"/>
        </w:rPr>
        <w:t xml:space="preserve"> </w:t>
      </w:r>
      <w:r>
        <w:rPr>
          <w:rStyle w:val="ErrorTok"/>
        </w:rPr>
        <w:t xml:space="preserve">&lt;</w:t>
      </w:r>
      <w:r>
        <w:rPr>
          <w:rStyle w:val="NormalTok"/>
        </w:rPr>
        <w:t xml:space="preserve">chr</w:t>
      </w:r>
      <w:r>
        <w:rPr>
          <w:rStyle w:val="SpecialCharTok"/>
        </w:rPr>
        <w:t xml:space="preserve">&gt;</w:t>
      </w:r>
      <w:r>
        <w:rPr>
          <w:rStyle w:val="NormalTok"/>
        </w:rPr>
        <w:t xml:space="preserve">       </w:t>
      </w:r>
      <w:r>
        <w:rPr>
          <w:rStyle w:val="ErrorTok"/>
        </w:rPr>
        <w:t xml:space="preserve">&lt;</w:t>
      </w:r>
      <w:r>
        <w:rPr>
          <w:rStyle w:val="NormalTok"/>
        </w:rPr>
        <w:t xml:space="preserve">dbl</w:t>
      </w:r>
      <w:r>
        <w:rPr>
          <w:rStyle w:val="SpecialCharTok"/>
        </w:rPr>
        <w:t xml:space="preserve">&gt;</w:t>
      </w:r>
      <w:r>
        <w:rPr>
          <w:rStyle w:val="NormalTok"/>
        </w:rPr>
        <w:t xml:space="preserve"> </w:t>
      </w:r>
      <w:r>
        <w:rPr>
          <w:rStyle w:val="ErrorTok"/>
        </w:rPr>
        <w:t xml:space="preserve">&lt;</w:t>
      </w:r>
      <w:r>
        <w:rPr>
          <w:rStyle w:val="NormalTok"/>
        </w:rPr>
        <w:t xml:space="preserve">chr</w:t>
      </w:r>
      <w:r>
        <w:rPr>
          <w:rStyle w:val="SpecialCharTok"/>
        </w:rPr>
        <w:t xml:space="preserve">&gt;</w:t>
      </w:r>
      <w:r>
        <w:rPr>
          <w:rStyle w:val="NormalTok"/>
        </w:rPr>
        <w:t xml:space="preserve">    </w:t>
      </w:r>
      <w:r>
        <w:rPr>
          <w:rStyle w:val="ErrorTok"/>
        </w:rPr>
        <w:t xml:space="preserve">&lt;</w:t>
      </w:r>
      <w:r>
        <w:rPr>
          <w:rStyle w:val="NormalTok"/>
        </w:rPr>
        <w:t xml:space="preserve">dbl</w:t>
      </w:r>
      <w:r>
        <w:rPr>
          <w:rStyle w:val="SpecialCharTok"/>
        </w:rPr>
        <w:t xml:space="preserve">&gt;</w:t>
      </w:r>
      <w:r>
        <w:rPr>
          <w:rStyle w:val="NormalTok"/>
        </w:rPr>
        <w:t xml:space="preserve">   </w:t>
      </w:r>
      <w:r>
        <w:rPr>
          <w:rStyle w:val="ErrorTok"/>
        </w:rPr>
        <w:t xml:space="preserve">&lt;</w:t>
      </w:r>
      <w:r>
        <w:rPr>
          <w:rStyle w:val="NormalTok"/>
        </w:rPr>
        <w:t xml:space="preserve">dbl</w:t>
      </w:r>
      <w:r>
        <w:rPr>
          <w:rStyle w:val="SpecialCharTok"/>
        </w:rPr>
        <w:t xml:space="preserve">&gt;</w:t>
      </w:r>
      <w:r>
        <w:br/>
      </w:r>
      <w:r>
        <w:rPr>
          <w:rStyle w:val="NormalTok"/>
        </w:rPr>
        <w:t xml:space="preserve"> </w:t>
      </w:r>
      <w:r>
        <w:rPr>
          <w:rStyle w:val="DecValTok"/>
        </w:rPr>
        <w:t xml:space="preserve">1</w:t>
      </w:r>
      <w:r>
        <w:rPr>
          <w:rStyle w:val="NormalTok"/>
        </w:rPr>
        <w:t xml:space="preserve"> RPTESTB RPTESTB… PFALCIPA     </w:t>
      </w:r>
      <w:r>
        <w:rPr>
          <w:rStyle w:val="DecValTok"/>
        </w:rPr>
        <w:t xml:space="preserve">899</w:t>
      </w:r>
      <w:r>
        <w:rPr>
          <w:rStyle w:val="NormalTok"/>
        </w:rPr>
        <w:t xml:space="preserve"> </w:t>
      </w:r>
      <w:r>
        <w:rPr>
          <w:rStyle w:val="DecValTok"/>
        </w:rPr>
        <w:t xml:space="preserve">10</w:t>
      </w:r>
      <w:r>
        <w:rPr>
          <w:rStyle w:val="SpecialCharTok"/>
        </w:rPr>
        <w:t xml:space="preserve">^</w:t>
      </w:r>
      <w:r>
        <w:rPr>
          <w:rStyle w:val="DecValTok"/>
        </w:rPr>
        <w:t xml:space="preserve">6</w:t>
      </w:r>
      <w:r>
        <w:rPr>
          <w:rStyle w:val="SpecialCharTok"/>
        </w:rPr>
        <w:t xml:space="preserve">/</w:t>
      </w:r>
      <w:r>
        <w:rPr>
          <w:rStyle w:val="NormalTok"/>
        </w:rPr>
        <w:t xml:space="preserve">L        </w:t>
      </w:r>
      <w:r>
        <w:rPr>
          <w:rStyle w:val="DecValTok"/>
        </w:rPr>
        <w:t xml:space="preserve">899</w:t>
      </w:r>
      <w:r>
        <w:rPr>
          <w:rStyle w:val="NormalTok"/>
        </w:rPr>
        <w:t xml:space="preserve"> </w:t>
      </w:r>
      <w:r>
        <w:rPr>
          <w:rStyle w:val="DecValTok"/>
        </w:rPr>
        <w:t xml:space="preserve">10</w:t>
      </w:r>
      <w:r>
        <w:rPr>
          <w:rStyle w:val="SpecialCharTok"/>
        </w:rPr>
        <w:t xml:space="preserve">^</w:t>
      </w:r>
      <w:r>
        <w:rPr>
          <w:rStyle w:val="DecValTok"/>
        </w:rPr>
        <w:t xml:space="preserve">6</w:t>
      </w:r>
      <w:r>
        <w:rPr>
          <w:rStyle w:val="SpecialCharTok"/>
        </w:rPr>
        <w:t xml:space="preserve">/</w:t>
      </w:r>
      <w:r>
        <w:rPr>
          <w:rStyle w:val="NormalTok"/>
        </w:rPr>
        <w:t xml:space="preserve">L       </w:t>
      </w:r>
      <w:r>
        <w:rPr>
          <w:rStyle w:val="DecValTok"/>
        </w:rPr>
        <w:t xml:space="preserve">1</w:t>
      </w:r>
      <w:r>
        <w:rPr>
          <w:rStyle w:val="NormalTok"/>
        </w:rPr>
        <w:t xml:space="preserve">       </w:t>
      </w:r>
      <w:r>
        <w:rPr>
          <w:rStyle w:val="DecValTok"/>
        </w:rPr>
        <w:t xml:space="preserve">1</w:t>
      </w:r>
      <w:r>
        <w:br/>
      </w:r>
      <w:r>
        <w:rPr>
          <w:rStyle w:val="NormalTok"/>
        </w:rPr>
        <w:t xml:space="preserve"> </w:t>
      </w:r>
      <w:r>
        <w:rPr>
          <w:rStyle w:val="DecValTok"/>
        </w:rPr>
        <w:t xml:space="preserve">2</w:t>
      </w:r>
      <w:r>
        <w:rPr>
          <w:rStyle w:val="NormalTok"/>
        </w:rPr>
        <w:t xml:space="preserve"> RPTESTB RPTESTB… PFALCIPA       </w:t>
      </w:r>
      <w:r>
        <w:rPr>
          <w:rStyle w:val="DecValTok"/>
        </w:rPr>
        <w:t xml:space="preserve">0</w:t>
      </w:r>
      <w:r>
        <w:rPr>
          <w:rStyle w:val="NormalTok"/>
        </w:rPr>
        <w:t xml:space="preserve"> </w:t>
      </w:r>
      <w:r>
        <w:rPr>
          <w:rStyle w:val="DecValTok"/>
        </w:rPr>
        <w:t xml:space="preserve">10</w:t>
      </w:r>
      <w:r>
        <w:rPr>
          <w:rStyle w:val="SpecialCharTok"/>
        </w:rPr>
        <w:t xml:space="preserve">^</w:t>
      </w:r>
      <w:r>
        <w:rPr>
          <w:rStyle w:val="DecValTok"/>
        </w:rPr>
        <w:t xml:space="preserve">6</w:t>
      </w:r>
      <w:r>
        <w:rPr>
          <w:rStyle w:val="SpecialCharTok"/>
        </w:rPr>
        <w:t xml:space="preserve">/</w:t>
      </w:r>
      <w:r>
        <w:rPr>
          <w:rStyle w:val="NormalTok"/>
        </w:rPr>
        <w:t xml:space="preserve">L          </w:t>
      </w:r>
      <w:r>
        <w:rPr>
          <w:rStyle w:val="DecValTok"/>
        </w:rPr>
        <w:t xml:space="preserve">0</w:t>
      </w:r>
      <w:r>
        <w:rPr>
          <w:rStyle w:val="NormalTok"/>
        </w:rPr>
        <w:t xml:space="preserve"> </w:t>
      </w:r>
      <w:r>
        <w:rPr>
          <w:rStyle w:val="DecValTok"/>
        </w:rPr>
        <w:t xml:space="preserve">10</w:t>
      </w:r>
      <w:r>
        <w:rPr>
          <w:rStyle w:val="SpecialCharTok"/>
        </w:rPr>
        <w:t xml:space="preserve">^</w:t>
      </w:r>
      <w:r>
        <w:rPr>
          <w:rStyle w:val="DecValTok"/>
        </w:rPr>
        <w:t xml:space="preserve">6</w:t>
      </w:r>
      <w:r>
        <w:rPr>
          <w:rStyle w:val="SpecialCharTok"/>
        </w:rPr>
        <w:t xml:space="preserve">/</w:t>
      </w:r>
      <w:r>
        <w:rPr>
          <w:rStyle w:val="NormalTok"/>
        </w:rPr>
        <w:t xml:space="preserve">L       </w:t>
      </w:r>
      <w:r>
        <w:rPr>
          <w:rStyle w:val="DecValTok"/>
        </w:rPr>
        <w:t xml:space="preserve">3</w:t>
      </w:r>
      <w:r>
        <w:rPr>
          <w:rStyle w:val="NormalTok"/>
        </w:rPr>
        <w:t xml:space="preserve">       </w:t>
      </w:r>
      <w:r>
        <w:rPr>
          <w:rStyle w:val="DecValTok"/>
        </w:rPr>
        <w:t xml:space="preserve">3</w:t>
      </w:r>
      <w:r>
        <w:br/>
      </w:r>
      <w:r>
        <w:rPr>
          <w:rStyle w:val="NormalTok"/>
        </w:rPr>
        <w:t xml:space="preserve"> </w:t>
      </w:r>
      <w:r>
        <w:rPr>
          <w:rStyle w:val="DecValTok"/>
        </w:rPr>
        <w:t xml:space="preserve">3</w:t>
      </w:r>
      <w:r>
        <w:rPr>
          <w:rStyle w:val="NormalTok"/>
        </w:rPr>
        <w:t xml:space="preserve"> RPTESTB RPTESTB… PFALCIPA     </w:t>
      </w:r>
      <w:r>
        <w:rPr>
          <w:rStyle w:val="DecValTok"/>
        </w:rPr>
        <w:t xml:space="preserve">450</w:t>
      </w:r>
      <w:r>
        <w:rPr>
          <w:rStyle w:val="NormalTok"/>
        </w:rPr>
        <w:t xml:space="preserve"> </w:t>
      </w:r>
      <w:r>
        <w:rPr>
          <w:rStyle w:val="DecValTok"/>
        </w:rPr>
        <w:t xml:space="preserve">10</w:t>
      </w:r>
      <w:r>
        <w:rPr>
          <w:rStyle w:val="SpecialCharTok"/>
        </w:rPr>
        <w:t xml:space="preserve">^</w:t>
      </w:r>
      <w:r>
        <w:rPr>
          <w:rStyle w:val="DecValTok"/>
        </w:rPr>
        <w:t xml:space="preserve">6</w:t>
      </w:r>
      <w:r>
        <w:rPr>
          <w:rStyle w:val="SpecialCharTok"/>
        </w:rPr>
        <w:t xml:space="preserve">/</w:t>
      </w:r>
      <w:r>
        <w:rPr>
          <w:rStyle w:val="NormalTok"/>
        </w:rPr>
        <w:t xml:space="preserve">L        </w:t>
      </w:r>
      <w:r>
        <w:rPr>
          <w:rStyle w:val="DecValTok"/>
        </w:rPr>
        <w:t xml:space="preserve">450</w:t>
      </w:r>
      <w:r>
        <w:rPr>
          <w:rStyle w:val="NormalTok"/>
        </w:rPr>
        <w:t xml:space="preserve"> </w:t>
      </w:r>
      <w:r>
        <w:rPr>
          <w:rStyle w:val="DecValTok"/>
        </w:rPr>
        <w:t xml:space="preserve">10</w:t>
      </w:r>
      <w:r>
        <w:rPr>
          <w:rStyle w:val="SpecialCharTok"/>
        </w:rPr>
        <w:t xml:space="preserve">^</w:t>
      </w:r>
      <w:r>
        <w:rPr>
          <w:rStyle w:val="DecValTok"/>
        </w:rPr>
        <w:t xml:space="preserve">6</w:t>
      </w:r>
      <w:r>
        <w:rPr>
          <w:rStyle w:val="SpecialCharTok"/>
        </w:rPr>
        <w:t xml:space="preserve">/</w:t>
      </w:r>
      <w:r>
        <w:rPr>
          <w:rStyle w:val="NormalTok"/>
        </w:rPr>
        <w:t xml:space="preserve">L      </w:t>
      </w:r>
      <w:r>
        <w:rPr>
          <w:rStyle w:val="DecValTok"/>
        </w:rPr>
        <w:t xml:space="preserve">85</w:t>
      </w:r>
      <w:r>
        <w:rPr>
          <w:rStyle w:val="NormalTok"/>
        </w:rPr>
        <w:t xml:space="preserve">      </w:t>
      </w:r>
      <w:r>
        <w:rPr>
          <w:rStyle w:val="DecValTok"/>
        </w:rPr>
        <w:t xml:space="preserve">85</w:t>
      </w:r>
      <w:r>
        <w:br/>
      </w:r>
      <w:r>
        <w:rPr>
          <w:rStyle w:val="NormalTok"/>
        </w:rPr>
        <w:t xml:space="preserve"> </w:t>
      </w:r>
      <w:r>
        <w:rPr>
          <w:rStyle w:val="DecValTok"/>
        </w:rPr>
        <w:t xml:space="preserve">4</w:t>
      </w:r>
      <w:r>
        <w:rPr>
          <w:rStyle w:val="NormalTok"/>
        </w:rPr>
        <w:t xml:space="preserve"> RPTESTB RPTESTB… PFALCIPA    </w:t>
      </w:r>
      <w:r>
        <w:rPr>
          <w:rStyle w:val="DecValTok"/>
        </w:rPr>
        <w:t xml:space="preserve">2987</w:t>
      </w:r>
      <w:r>
        <w:rPr>
          <w:rStyle w:val="NormalTok"/>
        </w:rPr>
        <w:t xml:space="preserve"> </w:t>
      </w:r>
      <w:r>
        <w:rPr>
          <w:rStyle w:val="DecValTok"/>
        </w:rPr>
        <w:t xml:space="preserve">10</w:t>
      </w:r>
      <w:r>
        <w:rPr>
          <w:rStyle w:val="SpecialCharTok"/>
        </w:rPr>
        <w:t xml:space="preserve">^</w:t>
      </w:r>
      <w:r>
        <w:rPr>
          <w:rStyle w:val="DecValTok"/>
        </w:rPr>
        <w:t xml:space="preserve">6</w:t>
      </w:r>
      <w:r>
        <w:rPr>
          <w:rStyle w:val="SpecialCharTok"/>
        </w:rPr>
        <w:t xml:space="preserve">/</w:t>
      </w:r>
      <w:r>
        <w:rPr>
          <w:rStyle w:val="NormalTok"/>
        </w:rPr>
        <w:t xml:space="preserve">L       </w:t>
      </w:r>
      <w:r>
        <w:rPr>
          <w:rStyle w:val="DecValTok"/>
        </w:rPr>
        <w:t xml:space="preserve">2987</w:t>
      </w:r>
      <w:r>
        <w:rPr>
          <w:rStyle w:val="NormalTok"/>
        </w:rPr>
        <w:t xml:space="preserve"> </w:t>
      </w:r>
      <w:r>
        <w:rPr>
          <w:rStyle w:val="DecValTok"/>
        </w:rPr>
        <w:t xml:space="preserve">10</w:t>
      </w:r>
      <w:r>
        <w:rPr>
          <w:rStyle w:val="SpecialCharTok"/>
        </w:rPr>
        <w:t xml:space="preserve">^</w:t>
      </w:r>
      <w:r>
        <w:rPr>
          <w:rStyle w:val="DecValTok"/>
        </w:rPr>
        <w:t xml:space="preserve">6</w:t>
      </w:r>
      <w:r>
        <w:rPr>
          <w:rStyle w:val="SpecialCharTok"/>
        </w:rPr>
        <w:t xml:space="preserve">/</w:t>
      </w:r>
      <w:r>
        <w:rPr>
          <w:rStyle w:val="NormalTok"/>
        </w:rPr>
        <w:t xml:space="preserve">L     </w:t>
      </w:r>
      <w:r>
        <w:rPr>
          <w:rStyle w:val="DecValTok"/>
        </w:rPr>
        <w:t xml:space="preserve">181</w:t>
      </w:r>
      <w:r>
        <w:rPr>
          <w:rStyle w:val="NormalTok"/>
        </w:rPr>
        <w:t xml:space="preserve">     </w:t>
      </w:r>
      <w:r>
        <w:rPr>
          <w:rStyle w:val="DecValTok"/>
        </w:rPr>
        <w:t xml:space="preserve">182</w:t>
      </w:r>
      <w:r>
        <w:br/>
      </w:r>
      <w:r>
        <w:rPr>
          <w:rStyle w:val="NormalTok"/>
        </w:rPr>
        <w:t xml:space="preserve"> </w:t>
      </w:r>
      <w:r>
        <w:rPr>
          <w:rStyle w:val="DecValTok"/>
        </w:rPr>
        <w:t xml:space="preserve">5</w:t>
      </w:r>
      <w:r>
        <w:rPr>
          <w:rStyle w:val="NormalTok"/>
        </w:rPr>
        <w:t xml:space="preserve"> RPTESTB RPTESTB… PFALCIPA      </w:t>
      </w:r>
      <w:r>
        <w:rPr>
          <w:rStyle w:val="DecValTok"/>
        </w:rPr>
        <w:t xml:space="preserve">66</w:t>
      </w:r>
      <w:r>
        <w:rPr>
          <w:rStyle w:val="NormalTok"/>
        </w:rPr>
        <w:t xml:space="preserve"> </w:t>
      </w:r>
      <w:r>
        <w:rPr>
          <w:rStyle w:val="SpecialCharTok"/>
        </w:rPr>
        <w:t xml:space="preserve">/</w:t>
      </w:r>
      <w:r>
        <w:rPr>
          <w:rStyle w:val="DecValTok"/>
        </w:rPr>
        <w:t xml:space="preserve">500</w:t>
      </w:r>
      <w:r>
        <w:rPr>
          <w:rStyle w:val="NormalTok"/>
        </w:rPr>
        <w:t xml:space="preserve"> WBC     </w:t>
      </w:r>
      <w:r>
        <w:rPr>
          <w:rStyle w:val="DecValTok"/>
        </w:rPr>
        <w:t xml:space="preserve">1056</w:t>
      </w:r>
      <w:r>
        <w:rPr>
          <w:rStyle w:val="NormalTok"/>
        </w:rPr>
        <w:t xml:space="preserve"> </w:t>
      </w:r>
      <w:r>
        <w:rPr>
          <w:rStyle w:val="DecValTok"/>
        </w:rPr>
        <w:t xml:space="preserve">10</w:t>
      </w:r>
      <w:r>
        <w:rPr>
          <w:rStyle w:val="SpecialCharTok"/>
        </w:rPr>
        <w:t xml:space="preserve">^</w:t>
      </w:r>
      <w:r>
        <w:rPr>
          <w:rStyle w:val="DecValTok"/>
        </w:rPr>
        <w:t xml:space="preserve">6</w:t>
      </w:r>
      <w:r>
        <w:rPr>
          <w:rStyle w:val="SpecialCharTok"/>
        </w:rPr>
        <w:t xml:space="preserve">/</w:t>
      </w:r>
      <w:r>
        <w:rPr>
          <w:rStyle w:val="NormalTok"/>
        </w:rPr>
        <w:t xml:space="preserve">L       </w:t>
      </w:r>
      <w:r>
        <w:rPr>
          <w:rStyle w:val="DecValTok"/>
        </w:rPr>
        <w:t xml:space="preserve">1</w:t>
      </w:r>
      <w:r>
        <w:rPr>
          <w:rStyle w:val="NormalTok"/>
        </w:rPr>
        <w:t xml:space="preserve">       </w:t>
      </w:r>
      <w:r>
        <w:rPr>
          <w:rStyle w:val="DecValTok"/>
        </w:rPr>
        <w:t xml:space="preserve">1</w:t>
      </w:r>
      <w:r>
        <w:br/>
      </w:r>
      <w:r>
        <w:rPr>
          <w:rStyle w:val="NormalTok"/>
        </w:rPr>
        <w:t xml:space="preserve"> </w:t>
      </w:r>
      <w:r>
        <w:rPr>
          <w:rStyle w:val="DecValTok"/>
        </w:rPr>
        <w:t xml:space="preserve">6</w:t>
      </w:r>
      <w:r>
        <w:rPr>
          <w:rStyle w:val="NormalTok"/>
        </w:rPr>
        <w:t xml:space="preserve"> RPTESTB RPTESTB… PFALCIPA       </w:t>
      </w:r>
      <w:r>
        <w:rPr>
          <w:rStyle w:val="DecValTok"/>
        </w:rPr>
        <w:t xml:space="preserve">3</w:t>
      </w:r>
      <w:r>
        <w:rPr>
          <w:rStyle w:val="NormalTok"/>
        </w:rPr>
        <w:t xml:space="preserve"> </w:t>
      </w:r>
      <w:r>
        <w:rPr>
          <w:rStyle w:val="SpecialCharTok"/>
        </w:rPr>
        <w:t xml:space="preserve">/</w:t>
      </w:r>
      <w:r>
        <w:rPr>
          <w:rStyle w:val="DecValTok"/>
        </w:rPr>
        <w:t xml:space="preserve">500</w:t>
      </w:r>
      <w:r>
        <w:rPr>
          <w:rStyle w:val="NormalTok"/>
        </w:rPr>
        <w:t xml:space="preserve"> WBC       </w:t>
      </w:r>
      <w:r>
        <w:rPr>
          <w:rStyle w:val="DecValTok"/>
        </w:rPr>
        <w:t xml:space="preserve">48</w:t>
      </w:r>
      <w:r>
        <w:rPr>
          <w:rStyle w:val="NormalTok"/>
        </w:rPr>
        <w:t xml:space="preserve"> </w:t>
      </w:r>
      <w:r>
        <w:rPr>
          <w:rStyle w:val="DecValTok"/>
        </w:rPr>
        <w:t xml:space="preserve">10</w:t>
      </w:r>
      <w:r>
        <w:rPr>
          <w:rStyle w:val="SpecialCharTok"/>
        </w:rPr>
        <w:t xml:space="preserve">^</w:t>
      </w:r>
      <w:r>
        <w:rPr>
          <w:rStyle w:val="DecValTok"/>
        </w:rPr>
        <w:t xml:space="preserve">6</w:t>
      </w:r>
      <w:r>
        <w:rPr>
          <w:rStyle w:val="SpecialCharTok"/>
        </w:rPr>
        <w:t xml:space="preserve">/</w:t>
      </w:r>
      <w:r>
        <w:rPr>
          <w:rStyle w:val="NormalTok"/>
        </w:rPr>
        <w:t xml:space="preserve">L       </w:t>
      </w:r>
      <w:r>
        <w:rPr>
          <w:rStyle w:val="DecValTok"/>
        </w:rPr>
        <w:t xml:space="preserve">4</w:t>
      </w:r>
      <w:r>
        <w:rPr>
          <w:rStyle w:val="NormalTok"/>
        </w:rPr>
        <w:t xml:space="preserve">       </w:t>
      </w:r>
      <w:r>
        <w:rPr>
          <w:rStyle w:val="DecValTok"/>
        </w:rPr>
        <w:t xml:space="preserve">3</w:t>
      </w:r>
      <w:r>
        <w:br/>
      </w:r>
      <w:r>
        <w:rPr>
          <w:rStyle w:val="NormalTok"/>
        </w:rPr>
        <w:t xml:space="preserve"> </w:t>
      </w:r>
      <w:r>
        <w:rPr>
          <w:rStyle w:val="DecValTok"/>
        </w:rPr>
        <w:t xml:space="preserve">7</w:t>
      </w:r>
      <w:r>
        <w:rPr>
          <w:rStyle w:val="NormalTok"/>
        </w:rPr>
        <w:t xml:space="preserve"> RPTESTB RPTESTB… PFALCIPA       </w:t>
      </w:r>
      <w:r>
        <w:rPr>
          <w:rStyle w:val="DecValTok"/>
        </w:rPr>
        <w:t xml:space="preserve">0</w:t>
      </w:r>
      <w:r>
        <w:rPr>
          <w:rStyle w:val="NormalTok"/>
        </w:rPr>
        <w:t xml:space="preserve"> </w:t>
      </w:r>
      <w:r>
        <w:rPr>
          <w:rStyle w:val="SpecialCharTok"/>
        </w:rPr>
        <w:t xml:space="preserve">/</w:t>
      </w:r>
      <w:r>
        <w:rPr>
          <w:rStyle w:val="DecValTok"/>
        </w:rPr>
        <w:t xml:space="preserve">500</w:t>
      </w:r>
      <w:r>
        <w:rPr>
          <w:rStyle w:val="NormalTok"/>
        </w:rPr>
        <w:t xml:space="preserve"> WBC        </w:t>
      </w:r>
      <w:r>
        <w:rPr>
          <w:rStyle w:val="DecValTok"/>
        </w:rPr>
        <w:t xml:space="preserve">0</w:t>
      </w:r>
      <w:r>
        <w:rPr>
          <w:rStyle w:val="NormalTok"/>
        </w:rPr>
        <w:t xml:space="preserve"> </w:t>
      </w:r>
      <w:r>
        <w:rPr>
          <w:rStyle w:val="DecValTok"/>
        </w:rPr>
        <w:t xml:space="preserve">10</w:t>
      </w:r>
      <w:r>
        <w:rPr>
          <w:rStyle w:val="SpecialCharTok"/>
        </w:rPr>
        <w:t xml:space="preserve">^</w:t>
      </w:r>
      <w:r>
        <w:rPr>
          <w:rStyle w:val="DecValTok"/>
        </w:rPr>
        <w:t xml:space="preserve">6</w:t>
      </w:r>
      <w:r>
        <w:rPr>
          <w:rStyle w:val="SpecialCharTok"/>
        </w:rPr>
        <w:t xml:space="preserve">/</w:t>
      </w:r>
      <w:r>
        <w:rPr>
          <w:rStyle w:val="NormalTok"/>
        </w:rPr>
        <w:t xml:space="preserve">L      </w:t>
      </w:r>
      <w:r>
        <w:rPr>
          <w:rStyle w:val="DecValTok"/>
        </w:rPr>
        <w:t xml:space="preserve">86</w:t>
      </w:r>
      <w:r>
        <w:rPr>
          <w:rStyle w:val="NormalTok"/>
        </w:rPr>
        <w:t xml:space="preserve">      </w:t>
      </w:r>
      <w:r>
        <w:rPr>
          <w:rStyle w:val="DecValTok"/>
        </w:rPr>
        <w:t xml:space="preserve">85</w:t>
      </w:r>
      <w:r>
        <w:br/>
      </w:r>
      <w:r>
        <w:rPr>
          <w:rStyle w:val="NormalTok"/>
        </w:rPr>
        <w:t xml:space="preserve"> </w:t>
      </w:r>
      <w:r>
        <w:rPr>
          <w:rStyle w:val="DecValTok"/>
        </w:rPr>
        <w:t xml:space="preserve">8</w:t>
      </w:r>
      <w:r>
        <w:rPr>
          <w:rStyle w:val="NormalTok"/>
        </w:rPr>
        <w:t xml:space="preserve"> RPTESTB RPTESTB… PFALCIPA       </w:t>
      </w:r>
      <w:r>
        <w:rPr>
          <w:rStyle w:val="DecValTok"/>
        </w:rPr>
        <w:t xml:space="preserve">0</w:t>
      </w:r>
      <w:r>
        <w:rPr>
          <w:rStyle w:val="NormalTok"/>
        </w:rPr>
        <w:t xml:space="preserve"> </w:t>
      </w:r>
      <w:r>
        <w:rPr>
          <w:rStyle w:val="SpecialCharTok"/>
        </w:rPr>
        <w:t xml:space="preserve">/</w:t>
      </w:r>
      <w:r>
        <w:rPr>
          <w:rStyle w:val="DecValTok"/>
        </w:rPr>
        <w:t xml:space="preserve">500</w:t>
      </w:r>
      <w:r>
        <w:rPr>
          <w:rStyle w:val="NormalTok"/>
        </w:rPr>
        <w:t xml:space="preserve"> WBC        </w:t>
      </w:r>
      <w:r>
        <w:rPr>
          <w:rStyle w:val="DecValTok"/>
        </w:rPr>
        <w:t xml:space="preserve">0</w:t>
      </w:r>
      <w:r>
        <w:rPr>
          <w:rStyle w:val="NormalTok"/>
        </w:rPr>
        <w:t xml:space="preserve"> </w:t>
      </w:r>
      <w:r>
        <w:rPr>
          <w:rStyle w:val="DecValTok"/>
        </w:rPr>
        <w:t xml:space="preserve">10</w:t>
      </w:r>
      <w:r>
        <w:rPr>
          <w:rStyle w:val="SpecialCharTok"/>
        </w:rPr>
        <w:t xml:space="preserve">^</w:t>
      </w:r>
      <w:r>
        <w:rPr>
          <w:rStyle w:val="DecValTok"/>
        </w:rPr>
        <w:t xml:space="preserve">6</w:t>
      </w:r>
      <w:r>
        <w:rPr>
          <w:rStyle w:val="SpecialCharTok"/>
        </w:rPr>
        <w:t xml:space="preserve">/</w:t>
      </w:r>
      <w:r>
        <w:rPr>
          <w:rStyle w:val="NormalTok"/>
        </w:rPr>
        <w:t xml:space="preserve">L     </w:t>
      </w:r>
      <w:r>
        <w:rPr>
          <w:rStyle w:val="DecValTok"/>
        </w:rPr>
        <w:t xml:space="preserve">182</w:t>
      </w:r>
      <w:r>
        <w:rPr>
          <w:rStyle w:val="NormalTok"/>
        </w:rPr>
        <w:t xml:space="preserve">     </w:t>
      </w:r>
      <w:r>
        <w:rPr>
          <w:rStyle w:val="DecValTok"/>
        </w:rPr>
        <w:t xml:space="preserve">182</w:t>
      </w:r>
      <w:r>
        <w:br/>
      </w:r>
      <w:r>
        <w:rPr>
          <w:rStyle w:val="NormalTok"/>
        </w:rPr>
        <w:t xml:space="preserve"> </w:t>
      </w:r>
      <w:r>
        <w:rPr>
          <w:rStyle w:val="DecValTok"/>
        </w:rPr>
        <w:t xml:space="preserve">9</w:t>
      </w:r>
      <w:r>
        <w:rPr>
          <w:rStyle w:val="NormalTok"/>
        </w:rPr>
        <w:t xml:space="preserve"> RPTESTB RPTESTB… PFALCIPA       </w:t>
      </w:r>
      <w:r>
        <w:rPr>
          <w:rStyle w:val="DecValTok"/>
        </w:rPr>
        <w:t xml:space="preserve">0</w:t>
      </w:r>
      <w:r>
        <w:rPr>
          <w:rStyle w:val="NormalTok"/>
        </w:rPr>
        <w:t xml:space="preserve"> </w:t>
      </w:r>
      <w:r>
        <w:rPr>
          <w:rStyle w:val="SpecialCharTok"/>
        </w:rPr>
        <w:t xml:space="preserve">/</w:t>
      </w:r>
      <w:r>
        <w:rPr>
          <w:rStyle w:val="DecValTok"/>
        </w:rPr>
        <w:t xml:space="preserve">500</w:t>
      </w:r>
      <w:r>
        <w:rPr>
          <w:rStyle w:val="NormalTok"/>
        </w:rPr>
        <w:t xml:space="preserve"> WBC        </w:t>
      </w:r>
      <w:r>
        <w:rPr>
          <w:rStyle w:val="DecValTok"/>
        </w:rPr>
        <w:t xml:space="preserve">0</w:t>
      </w:r>
      <w:r>
        <w:rPr>
          <w:rStyle w:val="NormalTok"/>
        </w:rPr>
        <w:t xml:space="preserve"> </w:t>
      </w:r>
      <w:r>
        <w:rPr>
          <w:rStyle w:val="DecValTok"/>
        </w:rPr>
        <w:t xml:space="preserve">10</w:t>
      </w:r>
      <w:r>
        <w:rPr>
          <w:rStyle w:val="SpecialCharTok"/>
        </w:rPr>
        <w:t xml:space="preserve">^</w:t>
      </w:r>
      <w:r>
        <w:rPr>
          <w:rStyle w:val="DecValTok"/>
        </w:rPr>
        <w:t xml:space="preserve">6</w:t>
      </w:r>
      <w:r>
        <w:rPr>
          <w:rStyle w:val="SpecialCharTok"/>
        </w:rPr>
        <w:t xml:space="preserve">/</w:t>
      </w:r>
      <w:r>
        <w:rPr>
          <w:rStyle w:val="NormalTok"/>
        </w:rPr>
        <w:t xml:space="preserve">L     </w:t>
      </w:r>
      <w:r>
        <w:rPr>
          <w:rStyle w:val="DecValTok"/>
        </w:rPr>
        <w:t xml:space="preserve">273</w:t>
      </w:r>
      <w:r>
        <w:rPr>
          <w:rStyle w:val="NormalTok"/>
        </w:rPr>
        <w:t xml:space="preserve">     </w:t>
      </w:r>
      <w:r>
        <w:rPr>
          <w:rStyle w:val="DecValTok"/>
        </w:rPr>
        <w:t xml:space="preserve">273</w:t>
      </w:r>
      <w:r>
        <w:br/>
      </w:r>
      <w:r>
        <w:rPr>
          <w:rStyle w:val="DecValTok"/>
        </w:rPr>
        <w:t xml:space="preserve">10</w:t>
      </w:r>
      <w:r>
        <w:rPr>
          <w:rStyle w:val="NormalTok"/>
        </w:rPr>
        <w:t xml:space="preserve"> RPTESTB RPTESTB… PFALCIPA       </w:t>
      </w:r>
      <w:r>
        <w:rPr>
          <w:rStyle w:val="DecValTok"/>
        </w:rPr>
        <w:t xml:space="preserve">0</w:t>
      </w:r>
      <w:r>
        <w:rPr>
          <w:rStyle w:val="NormalTok"/>
        </w:rPr>
        <w:t xml:space="preserve"> </w:t>
      </w:r>
      <w:r>
        <w:rPr>
          <w:rStyle w:val="SpecialCharTok"/>
        </w:rPr>
        <w:t xml:space="preserve">/</w:t>
      </w:r>
      <w:r>
        <w:rPr>
          <w:rStyle w:val="DecValTok"/>
        </w:rPr>
        <w:t xml:space="preserve">500</w:t>
      </w:r>
      <w:r>
        <w:rPr>
          <w:rStyle w:val="NormalTok"/>
        </w:rPr>
        <w:t xml:space="preserve"> WBC        </w:t>
      </w:r>
      <w:r>
        <w:rPr>
          <w:rStyle w:val="DecValTok"/>
        </w:rPr>
        <w:t xml:space="preserve">0</w:t>
      </w:r>
      <w:r>
        <w:rPr>
          <w:rStyle w:val="NormalTok"/>
        </w:rPr>
        <w:t xml:space="preserve"> </w:t>
      </w:r>
      <w:r>
        <w:rPr>
          <w:rStyle w:val="DecValTok"/>
        </w:rPr>
        <w:t xml:space="preserve">10</w:t>
      </w:r>
      <w:r>
        <w:rPr>
          <w:rStyle w:val="SpecialCharTok"/>
        </w:rPr>
        <w:t xml:space="preserve">^</w:t>
      </w:r>
      <w:r>
        <w:rPr>
          <w:rStyle w:val="DecValTok"/>
        </w:rPr>
        <w:t xml:space="preserve">6</w:t>
      </w:r>
      <w:r>
        <w:rPr>
          <w:rStyle w:val="SpecialCharTok"/>
        </w:rPr>
        <w:t xml:space="preserve">/</w:t>
      </w:r>
      <w:r>
        <w:rPr>
          <w:rStyle w:val="NormalTok"/>
        </w:rPr>
        <w:t xml:space="preserve">L     </w:t>
      </w:r>
      <w:r>
        <w:rPr>
          <w:rStyle w:val="DecValTok"/>
        </w:rPr>
        <w:t xml:space="preserve">362</w:t>
      </w:r>
      <w:r>
        <w:rPr>
          <w:rStyle w:val="NormalTok"/>
        </w:rPr>
        <w:t xml:space="preserve">     </w:t>
      </w:r>
      <w:r>
        <w:rPr>
          <w:rStyle w:val="DecValTok"/>
        </w:rPr>
        <w:t xml:space="preserve">366</w:t>
      </w:r>
      <w:r>
        <w:br/>
      </w:r>
      <w:r>
        <w:rPr>
          <w:rStyle w:val="DecValTok"/>
        </w:rPr>
        <w:t xml:space="preserve">11</w:t>
      </w:r>
      <w:r>
        <w:rPr>
          <w:rStyle w:val="NormalTok"/>
        </w:rPr>
        <w:t xml:space="preserve"> RPTESTB RPTESTB… PFALCIPA     </w:t>
      </w:r>
      <w:r>
        <w:rPr>
          <w:rStyle w:val="DecValTok"/>
        </w:rPr>
        <w:t xml:space="preserve">989</w:t>
      </w:r>
      <w:r>
        <w:rPr>
          <w:rStyle w:val="NormalTok"/>
        </w:rPr>
        <w:t xml:space="preserve"> </w:t>
      </w:r>
      <w:r>
        <w:rPr>
          <w:rStyle w:val="DecValTok"/>
        </w:rPr>
        <w:t xml:space="preserve">10</w:t>
      </w:r>
      <w:r>
        <w:rPr>
          <w:rStyle w:val="SpecialCharTok"/>
        </w:rPr>
        <w:t xml:space="preserve">^</w:t>
      </w:r>
      <w:r>
        <w:rPr>
          <w:rStyle w:val="DecValTok"/>
        </w:rPr>
        <w:t xml:space="preserve">6</w:t>
      </w:r>
      <w:r>
        <w:rPr>
          <w:rStyle w:val="SpecialCharTok"/>
        </w:rPr>
        <w:t xml:space="preserve">/</w:t>
      </w:r>
      <w:r>
        <w:rPr>
          <w:rStyle w:val="NormalTok"/>
        </w:rPr>
        <w:t xml:space="preserve">L        </w:t>
      </w:r>
      <w:r>
        <w:rPr>
          <w:rStyle w:val="DecValTok"/>
        </w:rPr>
        <w:t xml:space="preserve">989</w:t>
      </w:r>
      <w:r>
        <w:rPr>
          <w:rStyle w:val="NormalTok"/>
        </w:rPr>
        <w:t xml:space="preserve"> </w:t>
      </w:r>
      <w:r>
        <w:rPr>
          <w:rStyle w:val="DecValTok"/>
        </w:rPr>
        <w:t xml:space="preserve">10</w:t>
      </w:r>
      <w:r>
        <w:rPr>
          <w:rStyle w:val="SpecialCharTok"/>
        </w:rPr>
        <w:t xml:space="preserve">^</w:t>
      </w:r>
      <w:r>
        <w:rPr>
          <w:rStyle w:val="DecValTok"/>
        </w:rPr>
        <w:t xml:space="preserve">6</w:t>
      </w:r>
      <w:r>
        <w:rPr>
          <w:rStyle w:val="SpecialCharTok"/>
        </w:rPr>
        <w:t xml:space="preserve">/</w:t>
      </w:r>
      <w:r>
        <w:rPr>
          <w:rStyle w:val="NormalTok"/>
        </w:rPr>
        <w:t xml:space="preserve">L       </w:t>
      </w:r>
      <w:r>
        <w:rPr>
          <w:rStyle w:val="DecValTok"/>
        </w:rPr>
        <w:t xml:space="preserve">2</w:t>
      </w:r>
      <w:r>
        <w:rPr>
          <w:rStyle w:val="NormalTok"/>
        </w:rPr>
        <w:t xml:space="preserve">       </w:t>
      </w:r>
      <w:r>
        <w:rPr>
          <w:rStyle w:val="DecValTok"/>
        </w:rPr>
        <w:t xml:space="preserve">1</w:t>
      </w:r>
      <w:r>
        <w:br/>
      </w:r>
      <w:r>
        <w:rPr>
          <w:rStyle w:val="DecValTok"/>
        </w:rPr>
        <w:t xml:space="preserve">12</w:t>
      </w:r>
      <w:r>
        <w:rPr>
          <w:rStyle w:val="NormalTok"/>
        </w:rPr>
        <w:t xml:space="preserve"> RPTESTB RPTESTB… PFALCIPA       </w:t>
      </w:r>
      <w:r>
        <w:rPr>
          <w:rStyle w:val="DecValTok"/>
        </w:rPr>
        <w:t xml:space="preserve">0</w:t>
      </w:r>
      <w:r>
        <w:rPr>
          <w:rStyle w:val="NormalTok"/>
        </w:rPr>
        <w:t xml:space="preserve"> </w:t>
      </w:r>
      <w:r>
        <w:rPr>
          <w:rStyle w:val="DecValTok"/>
        </w:rPr>
        <w:t xml:space="preserve">10</w:t>
      </w:r>
      <w:r>
        <w:rPr>
          <w:rStyle w:val="SpecialCharTok"/>
        </w:rPr>
        <w:t xml:space="preserve">^</w:t>
      </w:r>
      <w:r>
        <w:rPr>
          <w:rStyle w:val="DecValTok"/>
        </w:rPr>
        <w:t xml:space="preserve">6</w:t>
      </w:r>
      <w:r>
        <w:rPr>
          <w:rStyle w:val="SpecialCharTok"/>
        </w:rPr>
        <w:t xml:space="preserve">/</w:t>
      </w:r>
      <w:r>
        <w:rPr>
          <w:rStyle w:val="NormalTok"/>
        </w:rPr>
        <w:t xml:space="preserve">L          </w:t>
      </w:r>
      <w:r>
        <w:rPr>
          <w:rStyle w:val="DecValTok"/>
        </w:rPr>
        <w:t xml:space="preserve">0</w:t>
      </w:r>
      <w:r>
        <w:rPr>
          <w:rStyle w:val="NormalTok"/>
        </w:rPr>
        <w:t xml:space="preserve"> </w:t>
      </w:r>
      <w:r>
        <w:rPr>
          <w:rStyle w:val="DecValTok"/>
        </w:rPr>
        <w:t xml:space="preserve">10</w:t>
      </w:r>
      <w:r>
        <w:rPr>
          <w:rStyle w:val="SpecialCharTok"/>
        </w:rPr>
        <w:t xml:space="preserve">^</w:t>
      </w:r>
      <w:r>
        <w:rPr>
          <w:rStyle w:val="DecValTok"/>
        </w:rPr>
        <w:t xml:space="preserve">6</w:t>
      </w:r>
      <w:r>
        <w:rPr>
          <w:rStyle w:val="SpecialCharTok"/>
        </w:rPr>
        <w:t xml:space="preserve">/</w:t>
      </w:r>
      <w:r>
        <w:rPr>
          <w:rStyle w:val="NormalTok"/>
        </w:rPr>
        <w:t xml:space="preserve">L       </w:t>
      </w:r>
      <w:r>
        <w:rPr>
          <w:rStyle w:val="DecValTok"/>
        </w:rPr>
        <w:t xml:space="preserve">5</w:t>
      </w:r>
      <w:r>
        <w:rPr>
          <w:rStyle w:val="NormalTok"/>
        </w:rPr>
        <w:t xml:space="preserve">       </w:t>
      </w:r>
      <w:r>
        <w:rPr>
          <w:rStyle w:val="DecValTok"/>
        </w:rPr>
        <w:t xml:space="preserve">3</w:t>
      </w:r>
      <w:r>
        <w:br/>
      </w:r>
      <w:r>
        <w:rPr>
          <w:rStyle w:val="DecValTok"/>
        </w:rPr>
        <w:t xml:space="preserve">13</w:t>
      </w:r>
      <w:r>
        <w:rPr>
          <w:rStyle w:val="NormalTok"/>
        </w:rPr>
        <w:t xml:space="preserve"> RPTESTB RPTESTB… PFALCIPA     </w:t>
      </w:r>
      <w:r>
        <w:rPr>
          <w:rStyle w:val="DecValTok"/>
        </w:rPr>
        <w:t xml:space="preserve">167</w:t>
      </w:r>
      <w:r>
        <w:rPr>
          <w:rStyle w:val="NormalTok"/>
        </w:rPr>
        <w:t xml:space="preserve"> </w:t>
      </w:r>
      <w:r>
        <w:rPr>
          <w:rStyle w:val="DecValTok"/>
        </w:rPr>
        <w:t xml:space="preserve">10</w:t>
      </w:r>
      <w:r>
        <w:rPr>
          <w:rStyle w:val="SpecialCharTok"/>
        </w:rPr>
        <w:t xml:space="preserve">^</w:t>
      </w:r>
      <w:r>
        <w:rPr>
          <w:rStyle w:val="DecValTok"/>
        </w:rPr>
        <w:t xml:space="preserve">6</w:t>
      </w:r>
      <w:r>
        <w:rPr>
          <w:rStyle w:val="SpecialCharTok"/>
        </w:rPr>
        <w:t xml:space="preserve">/</w:t>
      </w:r>
      <w:r>
        <w:rPr>
          <w:rStyle w:val="NormalTok"/>
        </w:rPr>
        <w:t xml:space="preserve">L        </w:t>
      </w:r>
      <w:r>
        <w:rPr>
          <w:rStyle w:val="DecValTok"/>
        </w:rPr>
        <w:t xml:space="preserve">167</w:t>
      </w:r>
      <w:r>
        <w:rPr>
          <w:rStyle w:val="NormalTok"/>
        </w:rPr>
        <w:t xml:space="preserve"> </w:t>
      </w:r>
      <w:r>
        <w:rPr>
          <w:rStyle w:val="DecValTok"/>
        </w:rPr>
        <w:t xml:space="preserve">10</w:t>
      </w:r>
      <w:r>
        <w:rPr>
          <w:rStyle w:val="SpecialCharTok"/>
        </w:rPr>
        <w:t xml:space="preserve">^</w:t>
      </w:r>
      <w:r>
        <w:rPr>
          <w:rStyle w:val="DecValTok"/>
        </w:rPr>
        <w:t xml:space="preserve">6</w:t>
      </w:r>
      <w:r>
        <w:rPr>
          <w:rStyle w:val="SpecialCharTok"/>
        </w:rPr>
        <w:t xml:space="preserve">/</w:t>
      </w:r>
      <w:r>
        <w:rPr>
          <w:rStyle w:val="NormalTok"/>
        </w:rPr>
        <w:t xml:space="preserve">L      </w:t>
      </w:r>
      <w:r>
        <w:rPr>
          <w:rStyle w:val="DecValTok"/>
        </w:rPr>
        <w:t xml:space="preserve">85</w:t>
      </w:r>
      <w:r>
        <w:rPr>
          <w:rStyle w:val="NormalTok"/>
        </w:rPr>
        <w:t xml:space="preserve">      </w:t>
      </w:r>
      <w:r>
        <w:rPr>
          <w:rStyle w:val="DecValTok"/>
        </w:rPr>
        <w:t xml:space="preserve">85</w:t>
      </w:r>
      <w:r>
        <w:br/>
      </w:r>
      <w:r>
        <w:rPr>
          <w:rStyle w:val="DecValTok"/>
        </w:rPr>
        <w:t xml:space="preserve">14</w:t>
      </w:r>
      <w:r>
        <w:rPr>
          <w:rStyle w:val="NormalTok"/>
        </w:rPr>
        <w:t xml:space="preserve"> RPTESTB RPTESTB… PFALCIPA       </w:t>
      </w:r>
      <w:r>
        <w:rPr>
          <w:rStyle w:val="DecValTok"/>
        </w:rPr>
        <w:t xml:space="preserve">0</w:t>
      </w:r>
      <w:r>
        <w:rPr>
          <w:rStyle w:val="NormalTok"/>
        </w:rPr>
        <w:t xml:space="preserve"> </w:t>
      </w:r>
      <w:r>
        <w:rPr>
          <w:rStyle w:val="DecValTok"/>
        </w:rPr>
        <w:t xml:space="preserve">10</w:t>
      </w:r>
      <w:r>
        <w:rPr>
          <w:rStyle w:val="SpecialCharTok"/>
        </w:rPr>
        <w:t xml:space="preserve">^</w:t>
      </w:r>
      <w:r>
        <w:rPr>
          <w:rStyle w:val="DecValTok"/>
        </w:rPr>
        <w:t xml:space="preserve">6</w:t>
      </w:r>
      <w:r>
        <w:rPr>
          <w:rStyle w:val="SpecialCharTok"/>
        </w:rPr>
        <w:t xml:space="preserve">/</w:t>
      </w:r>
      <w:r>
        <w:rPr>
          <w:rStyle w:val="NormalTok"/>
        </w:rPr>
        <w:t xml:space="preserve">L          </w:t>
      </w:r>
      <w:r>
        <w:rPr>
          <w:rStyle w:val="DecValTok"/>
        </w:rPr>
        <w:t xml:space="preserve">0</w:t>
      </w:r>
      <w:r>
        <w:rPr>
          <w:rStyle w:val="NormalTok"/>
        </w:rPr>
        <w:t xml:space="preserve"> </w:t>
      </w:r>
      <w:r>
        <w:rPr>
          <w:rStyle w:val="DecValTok"/>
        </w:rPr>
        <w:t xml:space="preserve">10</w:t>
      </w:r>
      <w:r>
        <w:rPr>
          <w:rStyle w:val="SpecialCharTok"/>
        </w:rPr>
        <w:t xml:space="preserve">^</w:t>
      </w:r>
      <w:r>
        <w:rPr>
          <w:rStyle w:val="DecValTok"/>
        </w:rPr>
        <w:t xml:space="preserve">6</w:t>
      </w:r>
      <w:r>
        <w:rPr>
          <w:rStyle w:val="SpecialCharTok"/>
        </w:rPr>
        <w:t xml:space="preserve">/</w:t>
      </w:r>
      <w:r>
        <w:rPr>
          <w:rStyle w:val="NormalTok"/>
        </w:rPr>
        <w:t xml:space="preserve">L     </w:t>
      </w:r>
      <w:r>
        <w:rPr>
          <w:rStyle w:val="DecValTok"/>
        </w:rPr>
        <w:t xml:space="preserve">184</w:t>
      </w:r>
      <w:r>
        <w:rPr>
          <w:rStyle w:val="NormalTok"/>
        </w:rPr>
        <w:t xml:space="preserve">     </w:t>
      </w:r>
      <w:r>
        <w:rPr>
          <w:rStyle w:val="DecValTok"/>
        </w:rPr>
        <w:t xml:space="preserve">182</w:t>
      </w:r>
      <w:r>
        <w:br/>
      </w:r>
      <w:r>
        <w:rPr>
          <w:rStyle w:val="CommentTok"/>
        </w:rPr>
        <w:t xml:space="preserve"># ℹ 30 more variables: DOMAIN &lt;chr&gt;, MBSEQ &lt;dbl&gt;, MBGRPID &lt;lgl&gt;,</w:t>
      </w:r>
      <w:r>
        <w:br/>
      </w:r>
      <w:r>
        <w:rPr>
          <w:rStyle w:val="CommentTok"/>
        </w:rPr>
        <w:t xml:space="preserve">#   MBREFID &lt;lgl&gt;, MBTEST &lt;chr&gt;, MBMODIFY &lt;lgl&gt;, MBTSTDTL &lt;chr&gt;,</w:t>
      </w:r>
      <w:r>
        <w:br/>
      </w:r>
      <w:r>
        <w:rPr>
          <w:rStyle w:val="CommentTok"/>
        </w:rPr>
        <w:t xml:space="preserve">#   MBCAT &lt;lgl&gt;, MBSTRESC &lt;dbl&gt;, MBSTAT &lt;lgl&gt;, MBREASND &lt;lgl&gt;, MBNAM &lt;lgl&gt;,</w:t>
      </w:r>
      <w:r>
        <w:br/>
      </w:r>
      <w:r>
        <w:rPr>
          <w:rStyle w:val="CommentTok"/>
        </w:rPr>
        <w:t xml:space="preserve">#   MBSPEC &lt;chr&gt;, MBSPCCND &lt;lgl&gt;, MBLOC &lt;chr&gt;, MBMETHOD &lt;chr&gt;,</w:t>
      </w:r>
      <w:r>
        <w:br/>
      </w:r>
      <w:r>
        <w:rPr>
          <w:rStyle w:val="CommentTok"/>
        </w:rPr>
        <w:t xml:space="preserve">#   VISITNUM &lt;dbl&gt;, VISIT &lt;chr&gt;, EPOCH &lt;chr&gt;, MBDTC &lt;chr&gt;, MBTPT &lt;lgl&gt;,</w:t>
      </w:r>
      <w:r>
        <w:br/>
      </w:r>
      <w:r>
        <w:rPr>
          <w:rStyle w:val="CommentTok"/>
        </w:rPr>
        <w:t xml:space="preserve">#   MBTPTNUM &lt;lgl&gt;, MBELTM &lt;lgl&gt;, MBTPTREF &lt;lgl&gt;, MBSTRF &lt;lgl&gt;,</w:t>
      </w:r>
      <w:r>
        <w:br/>
      </w:r>
      <w:r>
        <w:rPr>
          <w:rStyle w:val="CommentTok"/>
        </w:rPr>
        <w:t xml:space="preserve">#   MBEVINTX &lt;lgl&gt;, MBSTRTPT &lt;lgl&gt;, MBSTTPT &lt;lgl&gt;, MBCDSTDY &lt;lgl&gt;, …</w:t>
      </w:r>
    </w:p>
    <w:bookmarkEnd w:id="23"/>
    <w:bookmarkStart w:id="27" w:name="software-design"/>
    <w:p>
      <w:pPr>
        <w:pStyle w:val="Heading1"/>
      </w:pPr>
      <w:r>
        <w:t xml:space="preserve">Software Design</w:t>
      </w:r>
    </w:p>
    <w:p>
      <w:pPr>
        <w:pStyle w:val="FirstParagraph"/>
      </w:pPr>
      <w:r>
        <w:t xml:space="preserve">The guiding design philosophy has been to promote greater confidence amongst researchers using data from the IDDO</w:t>
      </w:r>
      <w:r>
        <w:t xml:space="preserve"> </w:t>
      </w:r>
      <w:r>
        <w:t xml:space="preserve">repository by semi-automating the data transformation from SDTM format into analysis datasets. As a result, a greater</w:t>
      </w:r>
      <w:r>
        <w:t xml:space="preserve"> </w:t>
      </w:r>
      <w:r>
        <w:t xml:space="preserve">proportion of the scientific community can benefit from the powerful database IDDO has built over the past 15 years</w:t>
      </w:r>
      <w:r>
        <w:t xml:space="preserve"> </w:t>
      </w:r>
      <w:r>
        <w:t xml:space="preserve">and contribute towards the global fight against infectious diseases.</w:t>
      </w:r>
    </w:p>
    <w:p>
      <w:pPr>
        <w:pStyle w:val="BodyText"/>
      </w:pPr>
      <w:r>
        <w:t xml:space="preserve">The</w:t>
      </w:r>
      <w:r>
        <w:t xml:space="preserve"> </w:t>
      </w:r>
      <w:r>
        <w:rPr>
          <w:rStyle w:val="VerbatimChar"/>
        </w:rPr>
        <w:t xml:space="preserve">iddoverse</w:t>
      </w:r>
      <w:r>
        <w:t xml:space="preserve"> </w:t>
      </w:r>
      <w:r>
        <w:t xml:space="preserve">suite (Figure 1) comprises several functions. Most functions are domain-agnostic and can be applied</w:t>
      </w:r>
      <w:r>
        <w:t xml:space="preserve"> </w:t>
      </w:r>
      <w:r>
        <w:t xml:space="preserve">across special purpose, findings, and event domains. This approach contrasts with the earlier developmental versions</w:t>
      </w:r>
      <w:r>
        <w:t xml:space="preserve"> </w:t>
      </w:r>
      <w:r>
        <w:t xml:space="preserve">of the package (pre version 0.7.0) which had predominately domain-specific functions. Previously, a static selection</w:t>
      </w:r>
      <w:r>
        <w:t xml:space="preserve"> </w:t>
      </w:r>
      <w:r>
        <w:t xml:space="preserve">of SDTM timing variables was used, which proved to be too restrictive and impacted the generalisability of the functions, so</w:t>
      </w:r>
      <w:r>
        <w:t xml:space="preserve"> </w:t>
      </w:r>
      <w:r>
        <w:t xml:space="preserve">a customisable set has now been implemented.</w:t>
      </w:r>
    </w:p>
    <w:p>
      <w:pPr>
        <w:pStyle w:val="BodyText"/>
      </w:pPr>
      <w:r>
        <w:t xml:space="preserve">A key limitation is that the</w:t>
      </w:r>
      <w:r>
        <w:t xml:space="preserve"> </w:t>
      </w:r>
      <w:r>
        <w:rPr>
          <w:rStyle w:val="VerbatimChar"/>
        </w:rPr>
        <w:t xml:space="preserve">iddoverse</w:t>
      </w:r>
      <w:r>
        <w:t xml:space="preserve"> </w:t>
      </w:r>
      <w:r>
        <w:t xml:space="preserve">functions cannot address every need of researchers due to the large variability</w:t>
      </w:r>
      <w:r>
        <w:t xml:space="preserve"> </w:t>
      </w:r>
      <w:r>
        <w:t xml:space="preserve">in the datasets within, and across, diseases. The objective has been to provide assistance and automation of analysis</w:t>
      </w:r>
      <w:r>
        <w:t xml:space="preserve"> </w:t>
      </w:r>
      <w:r>
        <w:t xml:space="preserve">datasets, whilst keeping the solution generalisable and customisable by the user.</w:t>
      </w:r>
    </w:p>
    <w:p>
      <w:pPr>
        <w:pStyle w:val="CaptionedFigure"/>
      </w:pPr>
      <w:r>
        <w:drawing>
          <wp:inline>
            <wp:extent cx="4770782" cy="2544417"/>
            <wp:effectExtent b="0" l="0" r="0" t="0"/>
            <wp:docPr descr="Flowchart of functions within the iddoverse package." title="" id="25" name="Picture"/>
            <a:graphic>
              <a:graphicData uri="http://schemas.openxmlformats.org/drawingml/2006/picture">
                <pic:pic>
                  <pic:nvPicPr>
                    <pic:cNvPr descr="figures/Figure%201%20-%20Function%20Flowchart.tif" id="26" name="Picture"/>
                    <pic:cNvPicPr>
                      <a:picLocks noChangeArrowheads="1" noChangeAspect="1"/>
                    </pic:cNvPicPr>
                  </pic:nvPicPr>
                  <pic:blipFill>
                    <a:blip r:embed="rId24"/>
                    <a:stretch>
                      <a:fillRect/>
                    </a:stretch>
                  </pic:blipFill>
                  <pic:spPr bwMode="auto">
                    <a:xfrm>
                      <a:off x="0" y="0"/>
                      <a:ext cx="4770782" cy="2544417"/>
                    </a:xfrm>
                    <a:prstGeom prst="rect">
                      <a:avLst/>
                    </a:prstGeom>
                    <a:noFill/>
                    <a:ln w="9525">
                      <a:noFill/>
                      <a:headEnd/>
                      <a:tailEnd/>
                    </a:ln>
                  </pic:spPr>
                </pic:pic>
              </a:graphicData>
            </a:graphic>
          </wp:inline>
        </w:drawing>
      </w:r>
    </w:p>
    <w:p>
      <w:pPr>
        <w:pStyle w:val="ImageCaption"/>
      </w:pPr>
      <w:r>
        <w:t xml:space="preserve">Flowchart of functions within the</w:t>
      </w:r>
      <w:r>
        <w:t xml:space="preserve"> </w:t>
      </w:r>
      <w:r>
        <w:rPr>
          <w:rStyle w:val="VerbatimChar"/>
        </w:rPr>
        <w:t xml:space="preserve">iddoverse</w:t>
      </w:r>
      <w:r>
        <w:t xml:space="preserve"> </w:t>
      </w:r>
      <w:r>
        <w:t xml:space="preserve">package.</w:t>
      </w:r>
    </w:p>
    <w:bookmarkEnd w:id="27"/>
    <w:bookmarkStart w:id="31" w:name="iddoverse-functions"/>
    <w:p>
      <w:pPr>
        <w:pStyle w:val="Heading1"/>
      </w:pPr>
      <w:r>
        <w:t xml:space="preserve">iddoverse Functions</w:t>
      </w:r>
    </w:p>
    <w:p>
      <w:pPr>
        <w:pStyle w:val="FirstParagraph"/>
      </w:pPr>
      <w:r>
        <w:t xml:space="preserve">A core function within the</w:t>
      </w:r>
      <w:r>
        <w:t xml:space="preserve"> </w:t>
      </w:r>
      <w:r>
        <w:rPr>
          <w:rStyle w:val="VerbatimChar"/>
        </w:rPr>
        <w:t xml:space="preserve">iddoverse</w:t>
      </w:r>
      <w:r>
        <w:t xml:space="preserve"> </w:t>
      </w:r>
      <w:r>
        <w:t xml:space="preserve">package is</w:t>
      </w:r>
      <w:r>
        <w:t xml:space="preserve"> </w:t>
      </w:r>
      <w:r>
        <w:rPr>
          <w:rStyle w:val="VerbatimChar"/>
        </w:rPr>
        <w:t xml:space="preserve">prepare_domain()</w:t>
      </w:r>
      <w:r>
        <w:t xml:space="preserve">. This function enables the transformation of a</w:t>
      </w:r>
      <w:r>
        <w:t xml:space="preserve"> </w:t>
      </w:r>
      <w:r>
        <w:t xml:space="preserve">single IDDO-SDTM domain. In order to reduce the number of result and timing columns, the function amalgamates data</w:t>
      </w:r>
      <w:r>
        <w:t xml:space="preserve"> </w:t>
      </w:r>
      <w:r>
        <w:t xml:space="preserve">into one</w:t>
      </w:r>
      <w:r>
        <w:t xml:space="preserve"> </w:t>
      </w:r>
      <w:r>
        <w:t xml:space="preserve">‘best choice’</w:t>
      </w:r>
      <w:r>
        <w:t xml:space="preserve"> </w:t>
      </w:r>
      <w:r>
        <w:t xml:space="preserve">for</w:t>
      </w:r>
      <w:r>
        <w:t xml:space="preserve"> </w:t>
      </w:r>
      <w:r>
        <w:t xml:space="preserve">‘time’</w:t>
      </w:r>
      <w:r>
        <w:t xml:space="preserve"> </w:t>
      </w:r>
      <w:r>
        <w:t xml:space="preserve">and</w:t>
      </w:r>
      <w:r>
        <w:t xml:space="preserve"> </w:t>
      </w:r>
      <w:r>
        <w:t xml:space="preserve">‘result’</w:t>
      </w:r>
      <w:r>
        <w:t xml:space="preserve">. For the</w:t>
      </w:r>
      <w:r>
        <w:t xml:space="preserve"> </w:t>
      </w:r>
      <w:r>
        <w:t xml:space="preserve">‘best result’</w:t>
      </w:r>
      <w:r>
        <w:t xml:space="preserve">, the standardised numeric result (i.e. </w:t>
      </w:r>
      <w:r>
        <w:rPr>
          <w:rStyle w:val="VerbatimChar"/>
        </w:rPr>
        <w:t xml:space="preserve">MBSTRESN</w:t>
      </w:r>
      <w:r>
        <w:t xml:space="preserve">)</w:t>
      </w:r>
      <w:r>
        <w:t xml:space="preserve"> </w:t>
      </w:r>
      <w:r>
        <w:t xml:space="preserve">is taken first for each row. If this standardised numeric result is missing for a given row, the standardised character value</w:t>
      </w:r>
      <w:r>
        <w:t xml:space="preserve"> </w:t>
      </w:r>
      <w:r>
        <w:t xml:space="preserve">(i.e. </w:t>
      </w:r>
      <w:r>
        <w:rPr>
          <w:rStyle w:val="VerbatimChar"/>
        </w:rPr>
        <w:t xml:space="preserve">MBSTRESC</w:t>
      </w:r>
      <w:r>
        <w:t xml:space="preserve">) will instead be populated as the best choice result for that given row (Figure 2). If both standardised results</w:t>
      </w:r>
      <w:r>
        <w:t xml:space="preserve"> </w:t>
      </w:r>
      <w:r>
        <w:t xml:space="preserve">are absent from a row, the modified result (i.e. </w:t>
      </w:r>
      <w:r>
        <w:rPr>
          <w:rStyle w:val="VerbatimChar"/>
        </w:rPr>
        <w:t xml:space="preserve">MBMODIFY</w:t>
      </w:r>
      <w:r>
        <w:t xml:space="preserve">) will be used, where present. The original contributed result from the study</w:t>
      </w:r>
      <w:r>
        <w:t xml:space="preserve"> </w:t>
      </w:r>
      <w:r>
        <w:t xml:space="preserve">(i.e. </w:t>
      </w:r>
      <w:r>
        <w:rPr>
          <w:rStyle w:val="VerbatimChar"/>
        </w:rPr>
        <w:t xml:space="preserve">MBORRES</w:t>
      </w:r>
      <w:r>
        <w:t xml:space="preserve">) is utilised if no other options are available. Note that</w:t>
      </w:r>
      <w:r>
        <w:t xml:space="preserve"> </w:t>
      </w:r>
      <w:r>
        <w:rPr>
          <w:rStyle w:val="VerbatimChar"/>
        </w:rPr>
        <w:t xml:space="preserve">MBMODIFY</w:t>
      </w:r>
      <w:r>
        <w:t xml:space="preserve"> </w:t>
      </w:r>
      <w:r>
        <w:t xml:space="preserve">is used by IDDO specifically for a handful of</w:t>
      </w:r>
      <w:r>
        <w:t xml:space="preserve"> </w:t>
      </w:r>
      <w:r>
        <w:t xml:space="preserve">diseases and will not be relevant to most. The hierarchy of timing variables is study dependent – it is therefore a customisable</w:t>
      </w:r>
      <w:r>
        <w:t xml:space="preserve"> </w:t>
      </w:r>
      <w:r>
        <w:t xml:space="preserve">parameter to enable researchers to select the most appropriate variable(s) for their analysis. By choosing a</w:t>
      </w:r>
      <w:r>
        <w:t xml:space="preserve"> </w:t>
      </w:r>
      <w:r>
        <w:t xml:space="preserve">‘best choice’</w:t>
      </w:r>
      <w:r>
        <w:t xml:space="preserve"> </w:t>
      </w:r>
      <w:r>
        <w:t xml:space="preserve">timing</w:t>
      </w:r>
      <w:r>
        <w:t xml:space="preserve"> </w:t>
      </w:r>
      <w:r>
        <w:t xml:space="preserve">and result, potential confusion surrounding multiple columns is removed.</w:t>
      </w:r>
    </w:p>
    <w:p>
      <w:pPr>
        <w:pStyle w:val="CaptionedFigure"/>
      </w:pPr>
      <w:r>
        <w:drawing>
          <wp:inline>
            <wp:extent cx="2239290" cy="2857500"/>
            <wp:effectExtent b="0" l="0" r="0" t="0"/>
            <wp:docPr descr="Hierarchy of best choice results/events/findings in prepare_domain(). STRESN or DECOD would be used in the first instance and, where rows are missing this information, they are populated with the variables under them in order. The two letter domain code preceeds these variable names." title="" id="29" name="Picture"/>
            <a:graphic>
              <a:graphicData uri="http://schemas.openxmlformats.org/drawingml/2006/picture">
                <pic:pic>
                  <pic:nvPicPr>
                    <pic:cNvPr descr="figures/Figure%202%20-%20Hierarchy%20Choices.tif" id="30" name="Picture"/>
                    <pic:cNvPicPr>
                      <a:picLocks noChangeArrowheads="1" noChangeAspect="1"/>
                    </pic:cNvPicPr>
                  </pic:nvPicPr>
                  <pic:blipFill>
                    <a:blip r:embed="rId28"/>
                    <a:stretch>
                      <a:fillRect/>
                    </a:stretch>
                  </pic:blipFill>
                  <pic:spPr bwMode="auto">
                    <a:xfrm>
                      <a:off x="0" y="0"/>
                      <a:ext cx="2239290" cy="2857500"/>
                    </a:xfrm>
                    <a:prstGeom prst="rect">
                      <a:avLst/>
                    </a:prstGeom>
                    <a:noFill/>
                    <a:ln w="9525">
                      <a:noFill/>
                      <a:headEnd/>
                      <a:tailEnd/>
                    </a:ln>
                  </pic:spPr>
                </pic:pic>
              </a:graphicData>
            </a:graphic>
          </wp:inline>
        </w:drawing>
      </w:r>
    </w:p>
    <w:p>
      <w:pPr>
        <w:pStyle w:val="ImageCaption"/>
      </w:pPr>
      <w:r>
        <w:t xml:space="preserve">Hierarchy of best choice results/events/findings in</w:t>
      </w:r>
      <w:r>
        <w:t xml:space="preserve"> </w:t>
      </w:r>
      <w:r>
        <w:rPr>
          <w:rStyle w:val="VerbatimChar"/>
        </w:rPr>
        <w:t xml:space="preserve">prepare_domain()</w:t>
      </w:r>
      <w:r>
        <w:t xml:space="preserve">.</w:t>
      </w:r>
      <w:r>
        <w:t xml:space="preserve"> </w:t>
      </w:r>
      <w:r>
        <w:rPr>
          <w:rStyle w:val="VerbatimChar"/>
        </w:rPr>
        <w:t xml:space="preserve">STRESN</w:t>
      </w:r>
      <w:r>
        <w:t xml:space="preserve"> </w:t>
      </w:r>
      <w:r>
        <w:t xml:space="preserve">or</w:t>
      </w:r>
      <w:r>
        <w:t xml:space="preserve"> </w:t>
      </w:r>
      <w:r>
        <w:rPr>
          <w:rStyle w:val="VerbatimChar"/>
        </w:rPr>
        <w:t xml:space="preserve">DECOD</w:t>
      </w:r>
      <w:r>
        <w:t xml:space="preserve"> </w:t>
      </w:r>
      <w:r>
        <w:t xml:space="preserve">would be used in the first instance and, where rows are missing this information, they are populated with the variables under them in order. The two letter domain code preceeds these variable names.</w:t>
      </w:r>
    </w:p>
    <w:p>
      <w:pPr>
        <w:pStyle w:val="BodyText"/>
      </w:pPr>
      <w:r>
        <w:t xml:space="preserve">The</w:t>
      </w:r>
      <w:r>
        <w:t xml:space="preserve"> </w:t>
      </w:r>
      <w:r>
        <w:rPr>
          <w:rStyle w:val="VerbatimChar"/>
        </w:rPr>
        <w:t xml:space="preserve">prepare_domain()</w:t>
      </w:r>
      <w:r>
        <w:t xml:space="preserve"> </w:t>
      </w:r>
      <w:r>
        <w:t xml:space="preserve">function then pivots the rows by the best choice time variable (</w:t>
      </w:r>
      <w:r>
        <w:rPr>
          <w:rStyle w:val="VerbatimChar"/>
        </w:rPr>
        <w:t xml:space="preserve">TIME</w:t>
      </w:r>
      <w:r>
        <w:t xml:space="preserve">,</w:t>
      </w:r>
      <w:r>
        <w:t xml:space="preserve"> </w:t>
      </w:r>
      <w:r>
        <w:rPr>
          <w:rStyle w:val="VerbatimChar"/>
        </w:rPr>
        <w:t xml:space="preserve">TIME_SOURCE</w:t>
      </w:r>
      <w:r>
        <w:t xml:space="preserve">), the study ID (</w:t>
      </w:r>
      <w:r>
        <w:rPr>
          <w:rStyle w:val="VerbatimChar"/>
        </w:rPr>
        <w:t xml:space="preserve">STUDYID</w:t>
      </w:r>
      <w:r>
        <w:t xml:space="preserve">)</w:t>
      </w:r>
      <w:r>
        <w:t xml:space="preserve"> </w:t>
      </w:r>
      <w:r>
        <w:t xml:space="preserve">and participant number (</w:t>
      </w:r>
      <w:r>
        <w:rPr>
          <w:rStyle w:val="VerbatimChar"/>
        </w:rPr>
        <w:t xml:space="preserve">USUBJID</w:t>
      </w:r>
      <w:r>
        <w:t xml:space="preserve">). The different events/findings/tests are transformed into columns, and the dataset is populated</w:t>
      </w:r>
      <w:r>
        <w:t xml:space="preserve"> </w:t>
      </w:r>
      <w:r>
        <w:t xml:space="preserve">with the associated result. Several domains can then be analysed separately or joined together by the uniquely identifying keys:</w:t>
      </w:r>
      <w:r>
        <w:t xml:space="preserve"> </w:t>
      </w:r>
      <w:r>
        <w:rPr>
          <w:rStyle w:val="VerbatimChar"/>
        </w:rPr>
        <w:t xml:space="preserve">STUDYID</w:t>
      </w:r>
      <w:r>
        <w:t xml:space="preserve">,</w:t>
      </w:r>
      <w:r>
        <w:t xml:space="preserve"> </w:t>
      </w:r>
      <w:r>
        <w:rPr>
          <w:rStyle w:val="VerbatimChar"/>
        </w:rPr>
        <w:t xml:space="preserve">USUBJID</w:t>
      </w:r>
      <w:r>
        <w:t xml:space="preserve">,</w:t>
      </w:r>
      <w:r>
        <w:t xml:space="preserve"> </w:t>
      </w:r>
      <w:r>
        <w:rPr>
          <w:rStyle w:val="VerbatimChar"/>
        </w:rPr>
        <w:t xml:space="preserve">TIME</w:t>
      </w:r>
      <w:r>
        <w:t xml:space="preserve"> </w:t>
      </w:r>
      <w:r>
        <w:t xml:space="preserve">and</w:t>
      </w:r>
      <w:r>
        <w:t xml:space="preserve"> </w:t>
      </w:r>
      <w:r>
        <w:rPr>
          <w:rStyle w:val="VerbatimChar"/>
        </w:rPr>
        <w:t xml:space="preserve">TIME_SOURCE</w:t>
      </w:r>
      <w:r>
        <w:t xml:space="preserve">.</w:t>
      </w:r>
    </w:p>
    <w:p>
      <w:pPr>
        <w:pStyle w:val="SourceCode"/>
      </w:pPr>
      <w:r>
        <w:rPr>
          <w:rStyle w:val="SpecialCharTok"/>
        </w:rPr>
        <w:t xml:space="preserve">&gt;</w:t>
      </w:r>
      <w:r>
        <w:rPr>
          <w:rStyle w:val="NormalTok"/>
        </w:rPr>
        <w:t xml:space="preserve"> </w:t>
      </w:r>
      <w:r>
        <w:rPr>
          <w:rStyle w:val="FunctionTok"/>
        </w:rPr>
        <w:t xml:space="preserve">prepare_domain</w:t>
      </w:r>
      <w:r>
        <w:rPr>
          <w:rStyle w:val="NormalTok"/>
        </w:rPr>
        <w:t xml:space="preserve">(MB_RPTESTB, </w:t>
      </w:r>
      <w:r>
        <w:rPr>
          <w:rStyle w:val="StringTok"/>
        </w:rPr>
        <w:t xml:space="preserve">"mb"</w:t>
      </w:r>
      <w:r>
        <w:rPr>
          <w:rStyle w:val="NormalTok"/>
        </w:rPr>
        <w:t xml:space="preserve">)</w:t>
      </w:r>
      <w:r>
        <w:br/>
      </w:r>
      <w:r>
        <w:rPr>
          <w:rStyle w:val="NormalTok"/>
        </w:rPr>
        <w:t xml:space="preserve">[</w:t>
      </w:r>
      <w:r>
        <w:rPr>
          <w:rStyle w:val="DecValTok"/>
        </w:rPr>
        <w:t xml:space="preserve">1</w:t>
      </w:r>
      <w:r>
        <w:rPr>
          <w:rStyle w:val="NormalTok"/>
        </w:rPr>
        <w:t xml:space="preserve">] </w:t>
      </w:r>
      <w:r>
        <w:rPr>
          <w:rStyle w:val="StringTok"/>
        </w:rPr>
        <w:t xml:space="preserve">"Number of rows where values_fn has been used to pick record in the MB domain: 0"</w:t>
      </w:r>
      <w:r>
        <w:br/>
      </w:r>
      <w:r>
        <w:rPr>
          <w:rStyle w:val="CommentTok"/>
        </w:rPr>
        <w:t xml:space="preserve"># A tibble: 14 × 5</w:t>
      </w:r>
      <w:r>
        <w:br/>
      </w:r>
      <w:r>
        <w:rPr>
          <w:rStyle w:val="NormalTok"/>
        </w:rPr>
        <w:t xml:space="preserve">   STUDYID USUBJID     TIME  TIME_SOURCE </w:t>
      </w:r>
      <w:r>
        <w:rPr>
          <w:rStyle w:val="StringTok"/>
        </w:rPr>
        <w:t xml:space="preserve">`</w:t>
      </w:r>
      <w:r>
        <w:rPr>
          <w:rStyle w:val="AttributeTok"/>
        </w:rPr>
        <w:t xml:space="preserve">PFALCIPA_10^6/L</w:t>
      </w:r>
      <w:r>
        <w:rPr>
          <w:rStyle w:val="StringTok"/>
        </w:rPr>
        <w:t xml:space="preserve">`</w:t>
      </w:r>
      <w:r>
        <w:br/>
      </w:r>
      <w:r>
        <w:rPr>
          <w:rStyle w:val="NormalTok"/>
        </w:rPr>
        <w:t xml:space="preserve">   </w:t>
      </w:r>
      <w:r>
        <w:rPr>
          <w:rStyle w:val="SpecialCharTok"/>
        </w:rPr>
        <w:t xml:space="preserve">&lt;</w:t>
      </w:r>
      <w:r>
        <w:rPr>
          <w:rStyle w:val="NormalTok"/>
        </w:rPr>
        <w:t xml:space="preserve">chr</w:t>
      </w:r>
      <w:r>
        <w:rPr>
          <w:rStyle w:val="SpecialCharTok"/>
        </w:rPr>
        <w:t xml:space="preserve">&gt;</w:t>
      </w:r>
      <w:r>
        <w:rPr>
          <w:rStyle w:val="NormalTok"/>
        </w:rPr>
        <w:t xml:space="preserve">   </w:t>
      </w:r>
      <w:r>
        <w:rPr>
          <w:rStyle w:val="ErrorTok"/>
        </w:rPr>
        <w:t xml:space="preserve">&lt;</w:t>
      </w:r>
      <w:r>
        <w:rPr>
          <w:rStyle w:val="NormalTok"/>
        </w:rPr>
        <w:t xml:space="preserve">chr</w:t>
      </w:r>
      <w:r>
        <w:rPr>
          <w:rStyle w:val="SpecialCharTok"/>
        </w:rPr>
        <w:t xml:space="preserve">&gt;</w:t>
      </w:r>
      <w:r>
        <w:rPr>
          <w:rStyle w:val="NormalTok"/>
        </w:rPr>
        <w:t xml:space="preserve">       </w:t>
      </w:r>
      <w:r>
        <w:rPr>
          <w:rStyle w:val="ErrorTok"/>
        </w:rPr>
        <w:t xml:space="preserve">&lt;</w:t>
      </w:r>
      <w:r>
        <w:rPr>
          <w:rStyle w:val="NormalTok"/>
        </w:rPr>
        <w:t xml:space="preserve">chr</w:t>
      </w:r>
      <w:r>
        <w:rPr>
          <w:rStyle w:val="SpecialCharTok"/>
        </w:rPr>
        <w:t xml:space="preserve">&gt;</w:t>
      </w:r>
      <w:r>
        <w:rPr>
          <w:rStyle w:val="NormalTok"/>
        </w:rPr>
        <w:t xml:space="preserve"> </w:t>
      </w:r>
      <w:r>
        <w:rPr>
          <w:rStyle w:val="ErrorTok"/>
        </w:rPr>
        <w:t xml:space="preserve">&lt;</w:t>
      </w:r>
      <w:r>
        <w:rPr>
          <w:rStyle w:val="NormalTok"/>
        </w:rPr>
        <w:t xml:space="preserve">chr</w:t>
      </w:r>
      <w:r>
        <w:rPr>
          <w:rStyle w:val="SpecialCharTok"/>
        </w:rPr>
        <w:t xml:space="preserve">&gt;</w:t>
      </w:r>
      <w:r>
        <w:rPr>
          <w:rStyle w:val="NormalTok"/>
        </w:rPr>
        <w:t xml:space="preserve">       </w:t>
      </w:r>
      <w:r>
        <w:rPr>
          <w:rStyle w:val="ErrorTok"/>
        </w:rPr>
        <w:t xml:space="preserve">&lt;</w:t>
      </w:r>
      <w:r>
        <w:rPr>
          <w:rStyle w:val="NormalTok"/>
        </w:rPr>
        <w:t xml:space="preserve">chr</w:t>
      </w:r>
      <w:r>
        <w:rPr>
          <w:rStyle w:val="SpecialCharTok"/>
        </w:rPr>
        <w:t xml:space="preserve">&gt;</w:t>
      </w:r>
      <w:r>
        <w:rPr>
          <w:rStyle w:val="NormalTok"/>
        </w:rPr>
        <w:t xml:space="preserve">            </w:t>
      </w:r>
      <w:r>
        <w:br/>
      </w:r>
      <w:r>
        <w:rPr>
          <w:rStyle w:val="NormalTok"/>
        </w:rPr>
        <w:t xml:space="preserve"> </w:t>
      </w:r>
      <w:r>
        <w:rPr>
          <w:rStyle w:val="DecValTok"/>
        </w:rPr>
        <w:t xml:space="preserve">1</w:t>
      </w:r>
      <w:r>
        <w:rPr>
          <w:rStyle w:val="NormalTok"/>
        </w:rPr>
        <w:t xml:space="preserve"> RPTESTB RPTESTB_001 </w:t>
      </w:r>
      <w:r>
        <w:rPr>
          <w:rStyle w:val="DecValTok"/>
        </w:rPr>
        <w:t xml:space="preserve">1</w:t>
      </w:r>
      <w:r>
        <w:rPr>
          <w:rStyle w:val="NormalTok"/>
        </w:rPr>
        <w:t xml:space="preserve">     DY          </w:t>
      </w:r>
      <w:r>
        <w:rPr>
          <w:rStyle w:val="DecValTok"/>
        </w:rPr>
        <w:t xml:space="preserve">899</w:t>
      </w:r>
      <w:r>
        <w:rPr>
          <w:rStyle w:val="NormalTok"/>
        </w:rPr>
        <w:t xml:space="preserve">              </w:t>
      </w:r>
      <w:r>
        <w:br/>
      </w:r>
      <w:r>
        <w:rPr>
          <w:rStyle w:val="NormalTok"/>
        </w:rPr>
        <w:t xml:space="preserve"> </w:t>
      </w:r>
      <w:r>
        <w:rPr>
          <w:rStyle w:val="DecValTok"/>
        </w:rPr>
        <w:t xml:space="preserve">2</w:t>
      </w:r>
      <w:r>
        <w:rPr>
          <w:rStyle w:val="NormalTok"/>
        </w:rPr>
        <w:t xml:space="preserve"> RPTESTB RPTESTB_001 </w:t>
      </w:r>
      <w:r>
        <w:rPr>
          <w:rStyle w:val="DecValTok"/>
        </w:rPr>
        <w:t xml:space="preserve">3</w:t>
      </w:r>
      <w:r>
        <w:rPr>
          <w:rStyle w:val="NormalTok"/>
        </w:rPr>
        <w:t xml:space="preserve">     DY          </w:t>
      </w:r>
      <w:r>
        <w:rPr>
          <w:rStyle w:val="DecValTok"/>
        </w:rPr>
        <w:t xml:space="preserve">0</w:t>
      </w:r>
      <w:r>
        <w:rPr>
          <w:rStyle w:val="NormalTok"/>
        </w:rPr>
        <w:t xml:space="preserve">                </w:t>
      </w:r>
      <w:r>
        <w:br/>
      </w:r>
      <w:r>
        <w:rPr>
          <w:rStyle w:val="NormalTok"/>
        </w:rPr>
        <w:t xml:space="preserve"> </w:t>
      </w:r>
      <w:r>
        <w:rPr>
          <w:rStyle w:val="DecValTok"/>
        </w:rPr>
        <w:t xml:space="preserve">3</w:t>
      </w:r>
      <w:r>
        <w:rPr>
          <w:rStyle w:val="NormalTok"/>
        </w:rPr>
        <w:t xml:space="preserve"> RPTESTB RPTESTB_001 </w:t>
      </w:r>
      <w:r>
        <w:rPr>
          <w:rStyle w:val="DecValTok"/>
        </w:rPr>
        <w:t xml:space="preserve">85</w:t>
      </w:r>
      <w:r>
        <w:rPr>
          <w:rStyle w:val="NormalTok"/>
        </w:rPr>
        <w:t xml:space="preserve">    DY          </w:t>
      </w:r>
      <w:r>
        <w:rPr>
          <w:rStyle w:val="DecValTok"/>
        </w:rPr>
        <w:t xml:space="preserve">450</w:t>
      </w:r>
      <w:r>
        <w:rPr>
          <w:rStyle w:val="NormalTok"/>
        </w:rPr>
        <w:t xml:space="preserve">              </w:t>
      </w:r>
      <w:r>
        <w:br/>
      </w:r>
      <w:r>
        <w:rPr>
          <w:rStyle w:val="NormalTok"/>
        </w:rPr>
        <w:t xml:space="preserve"> </w:t>
      </w:r>
      <w:r>
        <w:rPr>
          <w:rStyle w:val="DecValTok"/>
        </w:rPr>
        <w:t xml:space="preserve">4</w:t>
      </w:r>
      <w:r>
        <w:rPr>
          <w:rStyle w:val="NormalTok"/>
        </w:rPr>
        <w:t xml:space="preserve"> RPTESTB RPTESTB_001 </w:t>
      </w:r>
      <w:r>
        <w:rPr>
          <w:rStyle w:val="DecValTok"/>
        </w:rPr>
        <w:t xml:space="preserve">181</w:t>
      </w:r>
      <w:r>
        <w:rPr>
          <w:rStyle w:val="NormalTok"/>
        </w:rPr>
        <w:t xml:space="preserve">   DY          </w:t>
      </w:r>
      <w:r>
        <w:rPr>
          <w:rStyle w:val="DecValTok"/>
        </w:rPr>
        <w:t xml:space="preserve">2987</w:t>
      </w:r>
      <w:r>
        <w:rPr>
          <w:rStyle w:val="NormalTok"/>
        </w:rPr>
        <w:t xml:space="preserve">             </w:t>
      </w:r>
      <w:r>
        <w:br/>
      </w:r>
      <w:r>
        <w:rPr>
          <w:rStyle w:val="NormalTok"/>
        </w:rPr>
        <w:t xml:space="preserve"> </w:t>
      </w:r>
      <w:r>
        <w:rPr>
          <w:rStyle w:val="DecValTok"/>
        </w:rPr>
        <w:t xml:space="preserve">5</w:t>
      </w:r>
      <w:r>
        <w:rPr>
          <w:rStyle w:val="NormalTok"/>
        </w:rPr>
        <w:t xml:space="preserve"> RPTESTB RPTESTB_002 </w:t>
      </w:r>
      <w:r>
        <w:rPr>
          <w:rStyle w:val="DecValTok"/>
        </w:rPr>
        <w:t xml:space="preserve">1</w:t>
      </w:r>
      <w:r>
        <w:rPr>
          <w:rStyle w:val="NormalTok"/>
        </w:rPr>
        <w:t xml:space="preserve">     DY          </w:t>
      </w:r>
      <w:r>
        <w:rPr>
          <w:rStyle w:val="DecValTok"/>
        </w:rPr>
        <w:t xml:space="preserve">1056</w:t>
      </w:r>
      <w:r>
        <w:rPr>
          <w:rStyle w:val="NormalTok"/>
        </w:rPr>
        <w:t xml:space="preserve">             </w:t>
      </w:r>
      <w:r>
        <w:br/>
      </w:r>
      <w:r>
        <w:rPr>
          <w:rStyle w:val="NormalTok"/>
        </w:rPr>
        <w:t xml:space="preserve"> </w:t>
      </w:r>
      <w:r>
        <w:rPr>
          <w:rStyle w:val="DecValTok"/>
        </w:rPr>
        <w:t xml:space="preserve">6</w:t>
      </w:r>
      <w:r>
        <w:rPr>
          <w:rStyle w:val="NormalTok"/>
        </w:rPr>
        <w:t xml:space="preserve"> RPTESTB RPTESTB_002 </w:t>
      </w:r>
      <w:r>
        <w:rPr>
          <w:rStyle w:val="DecValTok"/>
        </w:rPr>
        <w:t xml:space="preserve">4</w:t>
      </w:r>
      <w:r>
        <w:rPr>
          <w:rStyle w:val="NormalTok"/>
        </w:rPr>
        <w:t xml:space="preserve">     DY          </w:t>
      </w:r>
      <w:r>
        <w:rPr>
          <w:rStyle w:val="DecValTok"/>
        </w:rPr>
        <w:t xml:space="preserve">48</w:t>
      </w:r>
      <w:r>
        <w:rPr>
          <w:rStyle w:val="NormalTok"/>
        </w:rPr>
        <w:t xml:space="preserve">               </w:t>
      </w:r>
      <w:r>
        <w:br/>
      </w:r>
      <w:r>
        <w:rPr>
          <w:rStyle w:val="NormalTok"/>
        </w:rPr>
        <w:t xml:space="preserve"> </w:t>
      </w:r>
      <w:r>
        <w:rPr>
          <w:rStyle w:val="DecValTok"/>
        </w:rPr>
        <w:t xml:space="preserve">7</w:t>
      </w:r>
      <w:r>
        <w:rPr>
          <w:rStyle w:val="NormalTok"/>
        </w:rPr>
        <w:t xml:space="preserve"> RPTESTB RPTESTB_002 </w:t>
      </w:r>
      <w:r>
        <w:rPr>
          <w:rStyle w:val="DecValTok"/>
        </w:rPr>
        <w:t xml:space="preserve">86</w:t>
      </w:r>
      <w:r>
        <w:rPr>
          <w:rStyle w:val="NormalTok"/>
        </w:rPr>
        <w:t xml:space="preserve">    DY          </w:t>
      </w:r>
      <w:r>
        <w:rPr>
          <w:rStyle w:val="DecValTok"/>
        </w:rPr>
        <w:t xml:space="preserve">0</w:t>
      </w:r>
      <w:r>
        <w:rPr>
          <w:rStyle w:val="NormalTok"/>
        </w:rPr>
        <w:t xml:space="preserve">                </w:t>
      </w:r>
      <w:r>
        <w:br/>
      </w:r>
      <w:r>
        <w:rPr>
          <w:rStyle w:val="NormalTok"/>
        </w:rPr>
        <w:t xml:space="preserve"> </w:t>
      </w:r>
      <w:r>
        <w:rPr>
          <w:rStyle w:val="DecValTok"/>
        </w:rPr>
        <w:t xml:space="preserve">8</w:t>
      </w:r>
      <w:r>
        <w:rPr>
          <w:rStyle w:val="NormalTok"/>
        </w:rPr>
        <w:t xml:space="preserve"> RPTESTB RPTESTB_002 </w:t>
      </w:r>
      <w:r>
        <w:rPr>
          <w:rStyle w:val="DecValTok"/>
        </w:rPr>
        <w:t xml:space="preserve">182</w:t>
      </w:r>
      <w:r>
        <w:rPr>
          <w:rStyle w:val="NormalTok"/>
        </w:rPr>
        <w:t xml:space="preserve">   DY          </w:t>
      </w:r>
      <w:r>
        <w:rPr>
          <w:rStyle w:val="DecValTok"/>
        </w:rPr>
        <w:t xml:space="preserve">0</w:t>
      </w:r>
      <w:r>
        <w:rPr>
          <w:rStyle w:val="NormalTok"/>
        </w:rPr>
        <w:t xml:space="preserve">                </w:t>
      </w:r>
      <w:r>
        <w:br/>
      </w:r>
      <w:r>
        <w:rPr>
          <w:rStyle w:val="NormalTok"/>
        </w:rPr>
        <w:t xml:space="preserve"> </w:t>
      </w:r>
      <w:r>
        <w:rPr>
          <w:rStyle w:val="DecValTok"/>
        </w:rPr>
        <w:t xml:space="preserve">9</w:t>
      </w:r>
      <w:r>
        <w:rPr>
          <w:rStyle w:val="NormalTok"/>
        </w:rPr>
        <w:t xml:space="preserve"> RPTESTB RPTESTB_002 </w:t>
      </w:r>
      <w:r>
        <w:rPr>
          <w:rStyle w:val="DecValTok"/>
        </w:rPr>
        <w:t xml:space="preserve">273</w:t>
      </w:r>
      <w:r>
        <w:rPr>
          <w:rStyle w:val="NormalTok"/>
        </w:rPr>
        <w:t xml:space="preserve">   DY          </w:t>
      </w:r>
      <w:r>
        <w:rPr>
          <w:rStyle w:val="DecValTok"/>
        </w:rPr>
        <w:t xml:space="preserve">0</w:t>
      </w:r>
      <w:r>
        <w:rPr>
          <w:rStyle w:val="NormalTok"/>
        </w:rPr>
        <w:t xml:space="preserve">                </w:t>
      </w:r>
      <w:r>
        <w:br/>
      </w:r>
      <w:r>
        <w:rPr>
          <w:rStyle w:val="DecValTok"/>
        </w:rPr>
        <w:t xml:space="preserve">10</w:t>
      </w:r>
      <w:r>
        <w:rPr>
          <w:rStyle w:val="NormalTok"/>
        </w:rPr>
        <w:t xml:space="preserve"> RPTESTB RPTESTB_002 </w:t>
      </w:r>
      <w:r>
        <w:rPr>
          <w:rStyle w:val="DecValTok"/>
        </w:rPr>
        <w:t xml:space="preserve">362</w:t>
      </w:r>
      <w:r>
        <w:rPr>
          <w:rStyle w:val="NormalTok"/>
        </w:rPr>
        <w:t xml:space="preserve">   DY          </w:t>
      </w:r>
      <w:r>
        <w:rPr>
          <w:rStyle w:val="DecValTok"/>
        </w:rPr>
        <w:t xml:space="preserve">0</w:t>
      </w:r>
      <w:r>
        <w:rPr>
          <w:rStyle w:val="NormalTok"/>
        </w:rPr>
        <w:t xml:space="preserve">                </w:t>
      </w:r>
      <w:r>
        <w:br/>
      </w:r>
      <w:r>
        <w:rPr>
          <w:rStyle w:val="DecValTok"/>
        </w:rPr>
        <w:t xml:space="preserve">11</w:t>
      </w:r>
      <w:r>
        <w:rPr>
          <w:rStyle w:val="NormalTok"/>
        </w:rPr>
        <w:t xml:space="preserve"> RPTESTB RPTESTB_003 </w:t>
      </w:r>
      <w:r>
        <w:rPr>
          <w:rStyle w:val="DecValTok"/>
        </w:rPr>
        <w:t xml:space="preserve">2</w:t>
      </w:r>
      <w:r>
        <w:rPr>
          <w:rStyle w:val="NormalTok"/>
        </w:rPr>
        <w:t xml:space="preserve">     DY          </w:t>
      </w:r>
      <w:r>
        <w:rPr>
          <w:rStyle w:val="DecValTok"/>
        </w:rPr>
        <w:t xml:space="preserve">989</w:t>
      </w:r>
      <w:r>
        <w:rPr>
          <w:rStyle w:val="NormalTok"/>
        </w:rPr>
        <w:t xml:space="preserve">              </w:t>
      </w:r>
      <w:r>
        <w:br/>
      </w:r>
      <w:r>
        <w:rPr>
          <w:rStyle w:val="DecValTok"/>
        </w:rPr>
        <w:t xml:space="preserve">12</w:t>
      </w:r>
      <w:r>
        <w:rPr>
          <w:rStyle w:val="NormalTok"/>
        </w:rPr>
        <w:t xml:space="preserve"> RPTESTB RPTESTB_003 </w:t>
      </w:r>
      <w:r>
        <w:rPr>
          <w:rStyle w:val="DecValTok"/>
        </w:rPr>
        <w:t xml:space="preserve">5</w:t>
      </w:r>
      <w:r>
        <w:rPr>
          <w:rStyle w:val="NormalTok"/>
        </w:rPr>
        <w:t xml:space="preserve">     DY          </w:t>
      </w:r>
      <w:r>
        <w:rPr>
          <w:rStyle w:val="DecValTok"/>
        </w:rPr>
        <w:t xml:space="preserve">0</w:t>
      </w:r>
      <w:r>
        <w:rPr>
          <w:rStyle w:val="NormalTok"/>
        </w:rPr>
        <w:t xml:space="preserve">                </w:t>
      </w:r>
      <w:r>
        <w:br/>
      </w:r>
      <w:r>
        <w:rPr>
          <w:rStyle w:val="DecValTok"/>
        </w:rPr>
        <w:t xml:space="preserve">13</w:t>
      </w:r>
      <w:r>
        <w:rPr>
          <w:rStyle w:val="NormalTok"/>
        </w:rPr>
        <w:t xml:space="preserve"> RPTESTB RPTESTB_003 </w:t>
      </w:r>
      <w:r>
        <w:rPr>
          <w:rStyle w:val="DecValTok"/>
        </w:rPr>
        <w:t xml:space="preserve">85</w:t>
      </w:r>
      <w:r>
        <w:rPr>
          <w:rStyle w:val="NormalTok"/>
        </w:rPr>
        <w:t xml:space="preserve">    DY          </w:t>
      </w:r>
      <w:r>
        <w:rPr>
          <w:rStyle w:val="DecValTok"/>
        </w:rPr>
        <w:t xml:space="preserve">167</w:t>
      </w:r>
      <w:r>
        <w:rPr>
          <w:rStyle w:val="NormalTok"/>
        </w:rPr>
        <w:t xml:space="preserve">              </w:t>
      </w:r>
      <w:r>
        <w:br/>
      </w:r>
      <w:r>
        <w:rPr>
          <w:rStyle w:val="DecValTok"/>
        </w:rPr>
        <w:t xml:space="preserve">14</w:t>
      </w:r>
      <w:r>
        <w:rPr>
          <w:rStyle w:val="NormalTok"/>
        </w:rPr>
        <w:t xml:space="preserve"> RPTESTB RPTESTB_003 </w:t>
      </w:r>
      <w:r>
        <w:rPr>
          <w:rStyle w:val="DecValTok"/>
        </w:rPr>
        <w:t xml:space="preserve">184</w:t>
      </w:r>
      <w:r>
        <w:rPr>
          <w:rStyle w:val="NormalTok"/>
        </w:rPr>
        <w:t xml:space="preserve">   DY          </w:t>
      </w:r>
      <w:r>
        <w:rPr>
          <w:rStyle w:val="DecValTok"/>
        </w:rPr>
        <w:t xml:space="preserve">0</w:t>
      </w:r>
      <w:r>
        <w:rPr>
          <w:rStyle w:val="NormalTok"/>
        </w:rPr>
        <w:t xml:space="preserve"> </w:t>
      </w:r>
    </w:p>
    <w:p>
      <w:pPr>
        <w:pStyle w:val="FirstParagraph"/>
      </w:pPr>
      <w:r>
        <w:t xml:space="preserve">Parameters provide customisation options such as variable selection, inclusion of information for test methodology or location,</w:t>
      </w:r>
      <w:r>
        <w:t xml:space="preserve"> </w:t>
      </w:r>
      <w:r>
        <w:t xml:space="preserve">and the mechanism for handling rows that are not uniquely separable in the pivot process.</w:t>
      </w:r>
    </w:p>
    <w:p>
      <w:pPr>
        <w:pStyle w:val="BodyText"/>
      </w:pPr>
      <w:r>
        <w:t xml:space="preserve">Additionally, the package contains functions to create standardised, multiple domain analysis datasets, such as</w:t>
      </w:r>
      <w:r>
        <w:t xml:space="preserve"> </w:t>
      </w:r>
      <w:r>
        <w:rPr>
          <w:rStyle w:val="VerbatimChar"/>
        </w:rPr>
        <w:t xml:space="preserve">create_participant_table()</w:t>
      </w:r>
      <w:r>
        <w:t xml:space="preserve">. These</w:t>
      </w:r>
      <w:r>
        <w:t xml:space="preserve"> </w:t>
      </w:r>
      <w:r>
        <w:t xml:space="preserve">functions merge various domain analysis datasets together by using the</w:t>
      </w:r>
      <w:r>
        <w:t xml:space="preserve"> </w:t>
      </w:r>
      <w:r>
        <w:rPr>
          <w:rStyle w:val="VerbatimChar"/>
        </w:rPr>
        <w:t xml:space="preserve">prepare_domain()</w:t>
      </w:r>
      <w:r>
        <w:t xml:space="preserve"> </w:t>
      </w:r>
      <w:r>
        <w:t xml:space="preserve">function multiple times to extract specific variables</w:t>
      </w:r>
      <w:r>
        <w:t xml:space="preserve"> </w:t>
      </w:r>
      <w:r>
        <w:t xml:space="preserve">from their source domains. The choice of which variables to include is based on subject matter expertise. The purpose of these tables</w:t>
      </w:r>
      <w:r>
        <w:t xml:space="preserve"> </w:t>
      </w:r>
      <w:r>
        <w:t xml:space="preserve">is to provide most of the key information required for analyses, for instance the information typically presented in Table 1 of clinical study publications.</w:t>
      </w:r>
    </w:p>
    <w:p>
      <w:pPr>
        <w:pStyle w:val="BodyText"/>
      </w:pPr>
      <w:r>
        <w:rPr>
          <w:rStyle w:val="VerbatimChar"/>
        </w:rPr>
        <w:t xml:space="preserve">iddoverse</w:t>
      </w:r>
      <w:r>
        <w:t xml:space="preserve"> </w:t>
      </w:r>
      <w:r>
        <w:t xml:space="preserve">also provides functions that check and summarise data, which confers support for exploratory data analysis and informs the</w:t>
      </w:r>
      <w:r>
        <w:t xml:space="preserve"> </w:t>
      </w:r>
      <w:r>
        <w:t xml:space="preserve">selection of parameters within</w:t>
      </w:r>
      <w:r>
        <w:t xml:space="preserve"> </w:t>
      </w:r>
      <w:r>
        <w:rPr>
          <w:rStyle w:val="VerbatimChar"/>
        </w:rPr>
        <w:t xml:space="preserve">prepare_domain()</w:t>
      </w:r>
      <w:r>
        <w:t xml:space="preserve">. Additionally, some utility and support functions exist to derive or convert certain variables.</w:t>
      </w:r>
    </w:p>
    <w:bookmarkEnd w:id="31"/>
    <w:bookmarkStart w:id="32" w:name="research-impact-statement"/>
    <w:p>
      <w:pPr>
        <w:pStyle w:val="Heading1"/>
      </w:pPr>
      <w:r>
        <w:t xml:space="preserve">Research Impact Statement</w:t>
      </w:r>
    </w:p>
    <w:p>
      <w:pPr>
        <w:pStyle w:val="FirstParagraph"/>
      </w:pPr>
      <w:r>
        <w:t xml:space="preserve">The IDDO data repository contains over 1.3 million IPD records from over 600 studies and 70 countries, across 8 disease themes. Since February 2026,</w:t>
      </w:r>
      <w:r>
        <w:t xml:space="preserve"> </w:t>
      </w:r>
      <w:r>
        <w:t xml:space="preserve">all researchers accessing data from the IDDO data repository have been provided with information on how to use and access the</w:t>
      </w:r>
      <w:r>
        <w:t xml:space="preserve"> </w:t>
      </w:r>
      <w:r>
        <w:rPr>
          <w:rStyle w:val="VerbatimChar"/>
        </w:rPr>
        <w:t xml:space="preserve">iddoverse</w:t>
      </w:r>
      <w:r>
        <w:t xml:space="preserve"> </w:t>
      </w:r>
      <w:r>
        <w:t xml:space="preserve">package,</w:t>
      </w:r>
      <w:r>
        <w:t xml:space="preserve"> </w:t>
      </w:r>
      <w:r>
        <w:t xml:space="preserve">thus increasing the number and diversity of users and organisations.</w:t>
      </w:r>
    </w:p>
    <w:p>
      <w:pPr>
        <w:pStyle w:val="BodyText"/>
      </w:pPr>
      <w:r>
        <w:t xml:space="preserve">Research which has used the</w:t>
      </w:r>
      <w:r>
        <w:t xml:space="preserve"> </w:t>
      </w:r>
      <w:r>
        <w:rPr>
          <w:rStyle w:val="VerbatimChar"/>
        </w:rPr>
        <w:t xml:space="preserve">iddoverse</w:t>
      </w:r>
      <w:r>
        <w:t xml:space="preserve"> </w:t>
      </w:r>
      <w:r>
        <w:t xml:space="preserve">includes malaria studies conducted by the Liverpool School of Tropical Medicine and the</w:t>
      </w:r>
      <w:r>
        <w:t xml:space="preserve"> </w:t>
      </w:r>
      <w:r>
        <w:t xml:space="preserve">Mahidol-Oxford Tropical Medicine Research Unit in Thailand (unpublished at time of writing). Published works which have used the</w:t>
      </w:r>
      <w:r>
        <w:t xml:space="preserve"> </w:t>
      </w:r>
      <w:r>
        <w:rPr>
          <w:rStyle w:val="VerbatimChar"/>
        </w:rPr>
        <w:t xml:space="preserve">iddoverse</w:t>
      </w:r>
      <w:r>
        <w:t xml:space="preserve"> </w:t>
      </w:r>
      <w:r>
        <w:t xml:space="preserve">package include research on factors associated with death from Ebola</w:t>
      </w:r>
      <w:r>
        <w:t xml:space="preserve"> </w:t>
      </w:r>
      <w:r>
        <w:t xml:space="preserve">(Yeabah TO 2025)</w:t>
      </w:r>
      <w:r>
        <w:t xml:space="preserve"> </w:t>
      </w:r>
      <w:r>
        <w:t xml:space="preserve">and two visceral leishmaniasis meta-analyses</w:t>
      </w:r>
      <w:r>
        <w:t xml:space="preserve"> </w:t>
      </w:r>
      <w:r>
        <w:t xml:space="preserve">(Munir A 2023; Kumar R 2023)</w:t>
      </w:r>
      <w:r>
        <w:t xml:space="preserve">. Additionally, the package is being used internally by IDDO to create summaries to check, and subsequently</w:t>
      </w:r>
      <w:r>
        <w:t xml:space="preserve"> </w:t>
      </w:r>
      <w:r>
        <w:t xml:space="preserve">improve, the quality of the data standardisation.</w:t>
      </w:r>
    </w:p>
    <w:p>
      <w:pPr>
        <w:pStyle w:val="BodyText"/>
      </w:pPr>
      <w:r>
        <w:t xml:space="preserve">In a survey conducted by IDDO, several users of the IDDO data repository have reported confusion with the variety of timing variables and</w:t>
      </w:r>
      <w:r>
        <w:t xml:space="preserve"> </w:t>
      </w:r>
      <w:r>
        <w:t xml:space="preserve">result columns. Users will benefit from the</w:t>
      </w:r>
      <w:r>
        <w:t xml:space="preserve"> </w:t>
      </w:r>
      <w:r>
        <w:rPr>
          <w:rStyle w:val="VerbatimChar"/>
        </w:rPr>
        <w:t xml:space="preserve">iddoverse</w:t>
      </w:r>
      <w:r>
        <w:t xml:space="preserve"> </w:t>
      </w:r>
      <w:r>
        <w:t xml:space="preserve">package as a solution to this complexity.</w:t>
      </w:r>
    </w:p>
    <w:bookmarkEnd w:id="32"/>
    <w:bookmarkStart w:id="33" w:name="acknowledgements"/>
    <w:p>
      <w:pPr>
        <w:pStyle w:val="Heading1"/>
      </w:pPr>
      <w:r>
        <w:t xml:space="preserve">Acknowledgements</w:t>
      </w:r>
    </w:p>
    <w:p>
      <w:pPr>
        <w:pStyle w:val="FirstParagraph"/>
      </w:pPr>
      <w:r>
        <w:t xml:space="preserve">This research was supported by the Wellcome Trust [222410/Z/21/Z].</w:t>
      </w:r>
    </w:p>
    <w:p>
      <w:pPr>
        <w:pStyle w:val="BodyText"/>
      </w:pPr>
      <w:r>
        <w:t xml:space="preserve">Special thanks to Dr Caitlin Naylor for their project management during the project.</w:t>
      </w:r>
    </w:p>
    <w:bookmarkEnd w:id="33"/>
    <w:bookmarkStart w:id="34" w:name="ai-usage-disclosure"/>
    <w:p>
      <w:pPr>
        <w:pStyle w:val="Heading1"/>
      </w:pPr>
      <w:r>
        <w:t xml:space="preserve">AI Usage Disclosure</w:t>
      </w:r>
    </w:p>
    <w:p>
      <w:pPr>
        <w:pStyle w:val="FirstParagraph"/>
      </w:pPr>
      <w:r>
        <w:t xml:space="preserve">Artificial Intelligence (AI) models were not used in documentation writing, paper authoring or dataset generation. ChatGPT 5.2</w:t>
      </w:r>
      <w:r>
        <w:t xml:space="preserve"> </w:t>
      </w:r>
      <w:r>
        <w:t xml:space="preserve">(OpenAI 2025)</w:t>
      </w:r>
      <w:r>
        <w:t xml:space="preserve"> </w:t>
      </w:r>
      <w:r>
        <w:t xml:space="preserve">was used</w:t>
      </w:r>
      <w:r>
        <w:t xml:space="preserve"> </w:t>
      </w:r>
      <w:r>
        <w:t xml:space="preserve">to suggest unit tests using R code for the development of</w:t>
      </w:r>
      <w:r>
        <w:t xml:space="preserve"> </w:t>
      </w:r>
      <w:r>
        <w:rPr>
          <w:rStyle w:val="VerbatimChar"/>
        </w:rPr>
        <w:t xml:space="preserve">testthat</w:t>
      </w:r>
      <w:r>
        <w:t xml:space="preserve"> </w:t>
      </w:r>
      <w:r>
        <w:t xml:space="preserve">script files. This code was manually verified for quality and correctness,</w:t>
      </w:r>
      <w:r>
        <w:t xml:space="preserve"> </w:t>
      </w:r>
      <w:r>
        <w:t xml:space="preserve">tested and modified before adding to the package. AI models were not used in the code creation for any of the exported functions in the package.</w:t>
      </w:r>
    </w:p>
    <w:bookmarkEnd w:id="34"/>
    <w:bookmarkStart w:id="69" w:name="references"/>
    <w:p>
      <w:pPr>
        <w:pStyle w:val="Heading1"/>
      </w:pPr>
      <w:r>
        <w:t xml:space="preserve">References</w:t>
      </w:r>
    </w:p>
    <w:bookmarkStart w:id="68" w:name="refs"/>
    <w:bookmarkStart w:id="36" w:name="ref-chen"/>
    <w:p>
      <w:pPr>
        <w:pStyle w:val="Bibliography"/>
      </w:pPr>
      <w:r>
        <w:t xml:space="preserve">Chen HL, Chen L, Zhang L. 2010.</w:t>
      </w:r>
      <w:r>
        <w:t xml:space="preserve"> </w:t>
      </w:r>
      <w:r>
        <w:t xml:space="preserve">“Date Conversions in SDTM and ADaM Datasets.”</w:t>
      </w:r>
      <w:r>
        <w:t xml:space="preserve"> </w:t>
      </w:r>
      <w:r>
        <w:rPr>
          <w:i/>
          <w:iCs/>
        </w:rPr>
        <w:t xml:space="preserve">NESUG</w:t>
      </w:r>
      <w:r>
        <w:t xml:space="preserve">.</w:t>
      </w:r>
      <w:r>
        <w:t xml:space="preserve"> </w:t>
      </w:r>
      <w:hyperlink r:id="rId35">
        <w:r>
          <w:rPr>
            <w:rStyle w:val="Hyperlink"/>
          </w:rPr>
          <w:t xml:space="preserve">https://www.lexjansen.com/nesug/nesug10/ph/ph11.pdf</w:t>
        </w:r>
      </w:hyperlink>
      <w:r>
        <w:t xml:space="preserve">.</w:t>
      </w:r>
    </w:p>
    <w:bookmarkEnd w:id="36"/>
    <w:bookmarkStart w:id="38" w:name="ref-cdisc"/>
    <w:p>
      <w:pPr>
        <w:pStyle w:val="Bibliography"/>
      </w:pPr>
      <w:r>
        <w:t xml:space="preserve">Clinical Data Interchange Standards Consortium. 2025.</w:t>
      </w:r>
      <w:r>
        <w:t xml:space="preserve"> </w:t>
      </w:r>
      <w:r>
        <w:t xml:space="preserve">“</w:t>
      </w:r>
      <w:r>
        <w:t xml:space="preserve">Clinical Data Interchange Standards Consortium</w:t>
      </w:r>
      <w:r>
        <w:t xml:space="preserve">.”</w:t>
      </w:r>
      <w:r>
        <w:t xml:space="preserve"> </w:t>
      </w:r>
      <w:hyperlink r:id="rId37">
        <w:r>
          <w:rPr>
            <w:rStyle w:val="Hyperlink"/>
          </w:rPr>
          <w:t xml:space="preserve">https://www.cdisc.org/standards</w:t>
        </w:r>
      </w:hyperlink>
      <w:r>
        <w:t xml:space="preserve">.</w:t>
      </w:r>
    </w:p>
    <w:bookmarkEnd w:id="38"/>
    <w:bookmarkStart w:id="40" w:name="ref-icon"/>
    <w:p>
      <w:pPr>
        <w:pStyle w:val="Bibliography"/>
      </w:pPr>
      <w:r>
        <w:t xml:space="preserve">ICON. n.d.</w:t>
      </w:r>
      <w:r>
        <w:t xml:space="preserve"> </w:t>
      </w:r>
      <w:hyperlink r:id="rId39">
        <w:r>
          <w:rPr>
            <w:rStyle w:val="Hyperlink"/>
          </w:rPr>
          <w:t xml:space="preserve">https://www.iconplc.com/solutions/clinical-scientific-operations/clinical-data-science/cdisc-data-standardisation</w:t>
        </w:r>
      </w:hyperlink>
      <w:r>
        <w:t xml:space="preserve">.</w:t>
      </w:r>
    </w:p>
    <w:bookmarkEnd w:id="40"/>
    <w:bookmarkStart w:id="42" w:name="ref-iddo_KKSS"/>
    <w:p>
      <w:pPr>
        <w:pStyle w:val="Bibliography"/>
      </w:pPr>
      <w:r>
        <w:t xml:space="preserve">Infectious Diseases Data Observatory. 2019.</w:t>
      </w:r>
      <w:r>
        <w:t xml:space="preserve"> </w:t>
      </w:r>
      <w:r>
        <w:t xml:space="preserve">“</w:t>
      </w:r>
      <w:r>
        <w:t xml:space="preserve">IDDO</w:t>
      </w:r>
      <w:r>
        <w:t xml:space="preserve"> </w:t>
      </w:r>
      <w:r>
        <w:t xml:space="preserve">Scientists’ Novel Solution for Data Standards.”</w:t>
      </w:r>
      <w:r>
        <w:t xml:space="preserve"> </w:t>
      </w:r>
      <w:hyperlink r:id="rId41">
        <w:r>
          <w:rPr>
            <w:rStyle w:val="Hyperlink"/>
          </w:rPr>
          <w:t xml:space="preserve">https://www.iddo.org/news/iddo-scientists-novel-solution-data-standards</w:t>
        </w:r>
      </w:hyperlink>
      <w:r>
        <w:t xml:space="preserve">.</w:t>
      </w:r>
    </w:p>
    <w:bookmarkEnd w:id="42"/>
    <w:bookmarkStart w:id="44" w:name="ref-iddo"/>
    <w:p>
      <w:pPr>
        <w:pStyle w:val="Bibliography"/>
      </w:pPr>
      <w:r>
        <w:t xml:space="preserve">———. 2025.</w:t>
      </w:r>
      <w:r>
        <w:t xml:space="preserve"> </w:t>
      </w:r>
      <w:r>
        <w:t xml:space="preserve">“</w:t>
      </w:r>
      <w:r>
        <w:t xml:space="preserve">Infectious Diseases Data Observatory</w:t>
      </w:r>
      <w:r>
        <w:t xml:space="preserve">.”</w:t>
      </w:r>
      <w:r>
        <w:t xml:space="preserve"> </w:t>
      </w:r>
      <w:r>
        <w:t xml:space="preserve">2025.</w:t>
      </w:r>
      <w:r>
        <w:t xml:space="preserve"> </w:t>
      </w:r>
      <w:hyperlink r:id="rId43">
        <w:r>
          <w:rPr>
            <w:rStyle w:val="Hyperlink"/>
          </w:rPr>
          <w:t xml:space="preserve">https://www.iddo.org</w:t>
        </w:r>
      </w:hyperlink>
      <w:r>
        <w:t xml:space="preserve">.</w:t>
      </w:r>
    </w:p>
    <w:bookmarkEnd w:id="44"/>
    <w:bookmarkStart w:id="46" w:name="ref-iddi"/>
    <w:p>
      <w:pPr>
        <w:pStyle w:val="Bibliography"/>
      </w:pPr>
      <w:r>
        <w:t xml:space="preserve">International Drug Development Institute. n.d.</w:t>
      </w:r>
      <w:r>
        <w:t xml:space="preserve"> </w:t>
      </w:r>
      <w:hyperlink r:id="rId45">
        <w:r>
          <w:rPr>
            <w:rStyle w:val="Hyperlink"/>
          </w:rPr>
          <w:t xml:space="preserve">https://iddi.com/services/clinical-data-management/</w:t>
        </w:r>
      </w:hyperlink>
      <w:r>
        <w:t xml:space="preserve">.</w:t>
      </w:r>
    </w:p>
    <w:bookmarkEnd w:id="46"/>
    <w:bookmarkStart w:id="48" w:name="ref-kumar"/>
    <w:p>
      <w:pPr>
        <w:pStyle w:val="Bibliography"/>
      </w:pPr>
      <w:r>
        <w:t xml:space="preserve">Kumar R, Singh-Phulgenda S, Dahal P. 2023.</w:t>
      </w:r>
      <w:r>
        <w:t xml:space="preserve"> </w:t>
      </w:r>
      <w:r>
        <w:t xml:space="preserve">“Host, Parasite and Drug Determinants of Clinical Outcomes Following Treatment of Visceral Leishmaniasis: A Protocol for Individual Participant Data Meta-Analysis.”</w:t>
      </w:r>
      <w:r>
        <w:t xml:space="preserve"> </w:t>
      </w:r>
      <w:r>
        <w:rPr>
          <w:i/>
          <w:iCs/>
        </w:rPr>
        <w:t xml:space="preserve">BMJ Open</w:t>
      </w:r>
      <w:r>
        <w:t xml:space="preserve"> </w:t>
      </w:r>
      <w:r>
        <w:t xml:space="preserve">13 (10).</w:t>
      </w:r>
      <w:r>
        <w:t xml:space="preserve"> </w:t>
      </w:r>
      <w:hyperlink r:id="rId47">
        <w:r>
          <w:rPr>
            <w:rStyle w:val="Hyperlink"/>
          </w:rPr>
          <w:t xml:space="preserve">https://doi.org/10.1136/bmjopen-2023-074679</w:t>
        </w:r>
      </w:hyperlink>
      <w:r>
        <w:t xml:space="preserve">.</w:t>
      </w:r>
    </w:p>
    <w:bookmarkEnd w:id="48"/>
    <w:bookmarkStart w:id="50" w:name="ref-munir"/>
    <w:p>
      <w:pPr>
        <w:pStyle w:val="Bibliography"/>
      </w:pPr>
      <w:r>
        <w:t xml:space="preserve">Munir A, Kumar R, Dahal P. 2023.</w:t>
      </w:r>
      <w:r>
        <w:t xml:space="preserve"> </w:t>
      </w:r>
      <w:r>
        <w:t xml:space="preserve">“Haematological Dynamics Following Treatment of Visceral Leishmaniasis: A Protocol for Systematic Review and Individual Participant Data (IPD) Meta-Analysis.”</w:t>
      </w:r>
      <w:r>
        <w:t xml:space="preserve"> </w:t>
      </w:r>
      <w:r>
        <w:rPr>
          <w:i/>
          <w:iCs/>
        </w:rPr>
        <w:t xml:space="preserve">BMJ Open</w:t>
      </w:r>
      <w:r>
        <w:t xml:space="preserve"> </w:t>
      </w:r>
      <w:r>
        <w:t xml:space="preserve">13 (12).</w:t>
      </w:r>
      <w:r>
        <w:t xml:space="preserve"> </w:t>
      </w:r>
      <w:hyperlink r:id="rId49">
        <w:r>
          <w:rPr>
            <w:rStyle w:val="Hyperlink"/>
          </w:rPr>
          <w:t xml:space="preserve">https://doi.org/10.1136/bmjopen-2023-074841</w:t>
        </w:r>
      </w:hyperlink>
      <w:r>
        <w:t xml:space="preserve">.</w:t>
      </w:r>
    </w:p>
    <w:bookmarkEnd w:id="50"/>
    <w:bookmarkStart w:id="52" w:name="ref-chat"/>
    <w:p>
      <w:pPr>
        <w:pStyle w:val="Bibliography"/>
      </w:pPr>
      <w:r>
        <w:t xml:space="preserve">OpenAI. 2025.</w:t>
      </w:r>
      <w:r>
        <w:t xml:space="preserve"> </w:t>
      </w:r>
      <w:r>
        <w:t xml:space="preserve">“ChatGPT.”</w:t>
      </w:r>
      <w:r>
        <w:t xml:space="preserve"> </w:t>
      </w:r>
      <w:hyperlink r:id="rId51">
        <w:r>
          <w:rPr>
            <w:rStyle w:val="Hyperlink"/>
          </w:rPr>
          <w:t xml:space="preserve">https://chatgpt.com</w:t>
        </w:r>
      </w:hyperlink>
      <w:r>
        <w:t xml:space="preserve">.</w:t>
      </w:r>
    </w:p>
    <w:bookmarkEnd w:id="52"/>
    <w:bookmarkStart w:id="54" w:name="ref-patel"/>
    <w:p>
      <w:pPr>
        <w:pStyle w:val="Bibliography"/>
      </w:pPr>
      <w:r>
        <w:t xml:space="preserve">Patel SK, Patel R, Mukkala SR. 2023.</w:t>
      </w:r>
      <w:r>
        <w:t xml:space="preserve"> </w:t>
      </w:r>
      <w:r>
        <w:t xml:space="preserve">“Statistical Analysis in Clinical Trials Using the Study Data Tabulation Model (SDTM) and the Analysis Dataset Model (ADaM): Effects, Obstacles, and Solutions.”</w:t>
      </w:r>
      <w:r>
        <w:t xml:space="preserve"> </w:t>
      </w:r>
      <w:r>
        <w:rPr>
          <w:i/>
          <w:iCs/>
        </w:rPr>
        <w:t xml:space="preserve">Int J Clin Biostat Biom</w:t>
      </w:r>
      <w:r>
        <w:t xml:space="preserve"> </w:t>
      </w:r>
      <w:r>
        <w:t xml:space="preserve">9:052.</w:t>
      </w:r>
      <w:r>
        <w:t xml:space="preserve"> </w:t>
      </w:r>
      <w:hyperlink r:id="rId53">
        <w:r>
          <w:rPr>
            <w:rStyle w:val="Hyperlink"/>
          </w:rPr>
          <w:t xml:space="preserve">https://doi.org/10.23937/2469-5831/1510052</w:t>
        </w:r>
      </w:hyperlink>
      <w:r>
        <w:t xml:space="preserve">.</w:t>
      </w:r>
    </w:p>
    <w:bookmarkEnd w:id="54"/>
    <w:bookmarkStart w:id="56" w:name="ref-pharmaverse"/>
    <w:p>
      <w:pPr>
        <w:pStyle w:val="Bibliography"/>
      </w:pPr>
      <w:r>
        <w:t xml:space="preserve">pharmaverse. 2023.</w:t>
      </w:r>
      <w:r>
        <w:t xml:space="preserve"> </w:t>
      </w:r>
      <w:r>
        <w:t xml:space="preserve">“Pharmaverse.”</w:t>
      </w:r>
      <w:r>
        <w:t xml:space="preserve"> </w:t>
      </w:r>
      <w:hyperlink r:id="rId55">
        <w:r>
          <w:rPr>
            <w:rStyle w:val="Hyperlink"/>
          </w:rPr>
          <w:t xml:space="preserve">https://pharmaverse.org/</w:t>
        </w:r>
      </w:hyperlink>
      <w:r>
        <w:t xml:space="preserve">.</w:t>
      </w:r>
    </w:p>
    <w:bookmarkEnd w:id="56"/>
    <w:bookmarkStart w:id="58" w:name="ref-pisani_lessons"/>
    <w:p>
      <w:pPr>
        <w:pStyle w:val="Bibliography"/>
      </w:pPr>
      <w:r>
        <w:t xml:space="preserve">Pisani E, Botchway S. 2016.</w:t>
      </w:r>
      <w:r>
        <w:t xml:space="preserve"> </w:t>
      </w:r>
      <w:r>
        <w:t xml:space="preserve">“Learning from the Pioneers: Lessons about Data Platforms Drawn from the WorldWide Antimalarial Resistance Network (WWARN) Experience.”</w:t>
      </w:r>
      <w:r>
        <w:t xml:space="preserve"> </w:t>
      </w:r>
      <w:r>
        <w:rPr>
          <w:i/>
          <w:iCs/>
        </w:rPr>
        <w:t xml:space="preserve">Wellcome Open Research</w:t>
      </w:r>
      <w:r>
        <w:t xml:space="preserve">.</w:t>
      </w:r>
      <w:r>
        <w:t xml:space="preserve"> </w:t>
      </w:r>
      <w:hyperlink r:id="rId57">
        <w:r>
          <w:rPr>
            <w:rStyle w:val="Hyperlink"/>
          </w:rPr>
          <w:t xml:space="preserve">https://doi.org/10.6084/m9.figshare.4476308.v1</w:t>
        </w:r>
      </w:hyperlink>
      <w:r>
        <w:t xml:space="preserve">.</w:t>
      </w:r>
    </w:p>
    <w:bookmarkEnd w:id="58"/>
    <w:bookmarkStart w:id="60" w:name="ref-pisani_sharing"/>
    <w:p>
      <w:pPr>
        <w:pStyle w:val="Bibliography"/>
      </w:pPr>
      <w:r>
        <w:t xml:space="preserve">———. 2017.</w:t>
      </w:r>
      <w:r>
        <w:t xml:space="preserve"> </w:t>
      </w:r>
      <w:r>
        <w:t xml:space="preserve">“Sharing Individual Patient and Parasite-Level Data Through the WorldWide Antimalarial Resistance Network Platform: A Qualitative Case Study.”</w:t>
      </w:r>
      <w:r>
        <w:t xml:space="preserve"> </w:t>
      </w:r>
      <w:r>
        <w:rPr>
          <w:i/>
          <w:iCs/>
        </w:rPr>
        <w:t xml:space="preserve">Wellcome Open Res</w:t>
      </w:r>
      <w:r>
        <w:t xml:space="preserve">.</w:t>
      </w:r>
      <w:r>
        <w:t xml:space="preserve"> </w:t>
      </w:r>
      <w:hyperlink r:id="rId59">
        <w:r>
          <w:rPr>
            <w:rStyle w:val="Hyperlink"/>
          </w:rPr>
          <w:t xml:space="preserve">https://doi.org/10.12688/wellcomeopenres.12259.1</w:t>
        </w:r>
      </w:hyperlink>
      <w:r>
        <w:t xml:space="preserve">.</w:t>
      </w:r>
    </w:p>
    <w:bookmarkEnd w:id="60"/>
    <w:bookmarkStart w:id="62" w:name="ref-quanticate"/>
    <w:p>
      <w:pPr>
        <w:pStyle w:val="Bibliography"/>
      </w:pPr>
      <w:r>
        <w:t xml:space="preserve">Quanticate. n.d.</w:t>
      </w:r>
      <w:r>
        <w:t xml:space="preserve"> </w:t>
      </w:r>
      <w:hyperlink r:id="rId61">
        <w:r>
          <w:rPr>
            <w:rStyle w:val="Hyperlink"/>
          </w:rPr>
          <w:t xml:space="preserve">https://www.quanticate.com/cdisc</w:t>
        </w:r>
      </w:hyperlink>
      <w:r>
        <w:t xml:space="preserve">.</w:t>
      </w:r>
    </w:p>
    <w:bookmarkEnd w:id="62"/>
    <w:bookmarkStart w:id="64" w:name="ref-r_core"/>
    <w:p>
      <w:pPr>
        <w:pStyle w:val="Bibliography"/>
      </w:pPr>
      <w:r>
        <w:t xml:space="preserve">R Core Team. 2022.</w:t>
      </w:r>
      <w:r>
        <w:t xml:space="preserve"> </w:t>
      </w:r>
      <w:r>
        <w:rPr>
          <w:i/>
          <w:iCs/>
        </w:rPr>
        <w:t xml:space="preserve">R: A Language and Environment for Statistical Computing</w:t>
      </w:r>
      <w:r>
        <w:t xml:space="preserve">. Vienna, Austria: R Foundation for Statistical Computing.</w:t>
      </w:r>
      <w:r>
        <w:t xml:space="preserve"> </w:t>
      </w:r>
      <w:hyperlink r:id="rId63">
        <w:r>
          <w:rPr>
            <w:rStyle w:val="Hyperlink"/>
          </w:rPr>
          <w:t xml:space="preserve">https://www.R-project.org/</w:t>
        </w:r>
      </w:hyperlink>
      <w:r>
        <w:t xml:space="preserve">.</w:t>
      </w:r>
    </w:p>
    <w:bookmarkEnd w:id="64"/>
    <w:bookmarkStart w:id="65" w:name="ref-ichihashi"/>
    <w:p>
      <w:pPr>
        <w:pStyle w:val="Bibliography"/>
      </w:pPr>
      <w:r>
        <w:t xml:space="preserve">Suchchenko L, Ichihashi R. 2023.</w:t>
      </w:r>
      <w:r>
        <w:t xml:space="preserve"> </w:t>
      </w:r>
      <w:r>
        <w:t xml:space="preserve">“Automating SDTM and ADaM Creation in Clinical Trials.”</w:t>
      </w:r>
    </w:p>
    <w:bookmarkEnd w:id="65"/>
    <w:bookmarkStart w:id="67" w:name="ref-trokon"/>
    <w:p>
      <w:pPr>
        <w:pStyle w:val="Bibliography"/>
      </w:pPr>
      <w:r>
        <w:t xml:space="preserve">Yeabah TO, Ramaswamy G et al, Kaba I. 2025.</w:t>
      </w:r>
      <w:r>
        <w:t xml:space="preserve"> </w:t>
      </w:r>
      <w:r>
        <w:t xml:space="preserve">“Factors Associated with Death in Patients Admitted with Ebola Virus Disease to Ebola Treatment Units in Guinea, Sierra Leone, and Liberia – December 2013 to March 2016.”</w:t>
      </w:r>
      <w:r>
        <w:t xml:space="preserve"> </w:t>
      </w:r>
      <w:r>
        <w:rPr>
          <w:i/>
          <w:iCs/>
        </w:rPr>
        <w:t xml:space="preserve">F1000Research</w:t>
      </w:r>
      <w:r>
        <w:t xml:space="preserve"> </w:t>
      </w:r>
      <w:r>
        <w:t xml:space="preserve">13: 672.</w:t>
      </w:r>
      <w:r>
        <w:t xml:space="preserve"> </w:t>
      </w:r>
      <w:hyperlink r:id="rId66">
        <w:r>
          <w:rPr>
            <w:rStyle w:val="Hyperlink"/>
          </w:rPr>
          <w:t xml:space="preserve">https://doi.org/10.12688/f1000research.149612.2</w:t>
        </w:r>
      </w:hyperlink>
      <w:r>
        <w:t xml:space="preserve">.</w:t>
      </w:r>
    </w:p>
    <w:bookmarkEnd w:id="67"/>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tiff" /><Relationship Type="http://schemas.openxmlformats.org/officeDocument/2006/relationships/image" Id="rId28" Target="media/rId28.tiff" /><Relationship Type="http://schemas.openxmlformats.org/officeDocument/2006/relationships/hyperlink" Id="rId51" Target="https://chatgpt.com" TargetMode="External" /><Relationship Type="http://schemas.openxmlformats.org/officeDocument/2006/relationships/hyperlink" Id="rId47" Target="https://doi.org/10.1136/bmjopen-2023-074679" TargetMode="External" /><Relationship Type="http://schemas.openxmlformats.org/officeDocument/2006/relationships/hyperlink" Id="rId49" Target="https://doi.org/10.1136/bmjopen-2023-074841" TargetMode="External" /><Relationship Type="http://schemas.openxmlformats.org/officeDocument/2006/relationships/hyperlink" Id="rId66" Target="https://doi.org/10.12688/f1000research.149612.2" TargetMode="External" /><Relationship Type="http://schemas.openxmlformats.org/officeDocument/2006/relationships/hyperlink" Id="rId59" Target="https://doi.org/10.12688/wellcomeopenres.12259.1" TargetMode="External" /><Relationship Type="http://schemas.openxmlformats.org/officeDocument/2006/relationships/hyperlink" Id="rId53" Target="https://doi.org/10.23937/2469-5831/1510052" TargetMode="External" /><Relationship Type="http://schemas.openxmlformats.org/officeDocument/2006/relationships/hyperlink" Id="rId57" Target="https://doi.org/10.6084/m9.figshare.4476308.v1" TargetMode="External" /><Relationship Type="http://schemas.openxmlformats.org/officeDocument/2006/relationships/hyperlink" Id="rId45" Target="https://iddi.com/services/clinical-data-management/" TargetMode="External" /><Relationship Type="http://schemas.openxmlformats.org/officeDocument/2006/relationships/hyperlink" Id="rId55" Target="https://pharmaverse.org/" TargetMode="External" /><Relationship Type="http://schemas.openxmlformats.org/officeDocument/2006/relationships/hyperlink" Id="rId63" Target="https://www.R-project.org/" TargetMode="External" /><Relationship Type="http://schemas.openxmlformats.org/officeDocument/2006/relationships/hyperlink" Id="rId37" Target="https://www.cdisc.org/standards" TargetMode="External" /><Relationship Type="http://schemas.openxmlformats.org/officeDocument/2006/relationships/hyperlink" Id="rId39" Target="https://www.iconplc.com/solutions/clinical-scientific-operations/clinical-data-science/cdisc-data-standardisation" TargetMode="External" /><Relationship Type="http://schemas.openxmlformats.org/officeDocument/2006/relationships/hyperlink" Id="rId43" Target="https://www.iddo.org" TargetMode="External" /><Relationship Type="http://schemas.openxmlformats.org/officeDocument/2006/relationships/hyperlink" Id="rId41" Target="https://www.iddo.org/news/iddo-scientists-novel-solution-data-standards" TargetMode="External" /><Relationship Type="http://schemas.openxmlformats.org/officeDocument/2006/relationships/hyperlink" Id="rId35" Target="https://www.lexjansen.com/nesug/nesug10/ph/ph11.pdf" TargetMode="External" /><Relationship Type="http://schemas.openxmlformats.org/officeDocument/2006/relationships/hyperlink" Id="rId61" Target="https://www.quanticate.com/cdisc" TargetMode="External" /></Relationships>
</file>

<file path=word/_rels/footnotes.xml.rels><?xml version="1.0" encoding="UTF-8"?><Relationships xmlns="http://schemas.openxmlformats.org/package/2006/relationships"><Relationship Type="http://schemas.openxmlformats.org/officeDocument/2006/relationships/hyperlink" Id="rId51" Target="https://chatgpt.com" TargetMode="External" /><Relationship Type="http://schemas.openxmlformats.org/officeDocument/2006/relationships/hyperlink" Id="rId47" Target="https://doi.org/10.1136/bmjopen-2023-074679" TargetMode="External" /><Relationship Type="http://schemas.openxmlformats.org/officeDocument/2006/relationships/hyperlink" Id="rId49" Target="https://doi.org/10.1136/bmjopen-2023-074841" TargetMode="External" /><Relationship Type="http://schemas.openxmlformats.org/officeDocument/2006/relationships/hyperlink" Id="rId66" Target="https://doi.org/10.12688/f1000research.149612.2" TargetMode="External" /><Relationship Type="http://schemas.openxmlformats.org/officeDocument/2006/relationships/hyperlink" Id="rId59" Target="https://doi.org/10.12688/wellcomeopenres.12259.1" TargetMode="External" /><Relationship Type="http://schemas.openxmlformats.org/officeDocument/2006/relationships/hyperlink" Id="rId53" Target="https://doi.org/10.23937/2469-5831/1510052" TargetMode="External" /><Relationship Type="http://schemas.openxmlformats.org/officeDocument/2006/relationships/hyperlink" Id="rId57" Target="https://doi.org/10.6084/m9.figshare.4476308.v1" TargetMode="External" /><Relationship Type="http://schemas.openxmlformats.org/officeDocument/2006/relationships/hyperlink" Id="rId45" Target="https://iddi.com/services/clinical-data-management/" TargetMode="External" /><Relationship Type="http://schemas.openxmlformats.org/officeDocument/2006/relationships/hyperlink" Id="rId55" Target="https://pharmaverse.org/" TargetMode="External" /><Relationship Type="http://schemas.openxmlformats.org/officeDocument/2006/relationships/hyperlink" Id="rId63" Target="https://www.R-project.org/" TargetMode="External" /><Relationship Type="http://schemas.openxmlformats.org/officeDocument/2006/relationships/hyperlink" Id="rId37" Target="https://www.cdisc.org/standards" TargetMode="External" /><Relationship Type="http://schemas.openxmlformats.org/officeDocument/2006/relationships/hyperlink" Id="rId39" Target="https://www.iconplc.com/solutions/clinical-scientific-operations/clinical-data-science/cdisc-data-standardisation" TargetMode="External" /><Relationship Type="http://schemas.openxmlformats.org/officeDocument/2006/relationships/hyperlink" Id="rId43" Target="https://www.iddo.org" TargetMode="External" /><Relationship Type="http://schemas.openxmlformats.org/officeDocument/2006/relationships/hyperlink" Id="rId41" Target="https://www.iddo.org/news/iddo-scientists-novel-solution-data-standards" TargetMode="External" /><Relationship Type="http://schemas.openxmlformats.org/officeDocument/2006/relationships/hyperlink" Id="rId35" Target="https://www.lexjansen.com/nesug/nesug10/ph/ph11.pdf" TargetMode="External" /><Relationship Type="http://schemas.openxmlformats.org/officeDocument/2006/relationships/hyperlink" Id="rId61" Target="https://www.quanticate.com/cdis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Welcome to the iddoverse: An R package for converting IDDO-SDTM data into analysis datasets</dc:title>
  <dc:creator/>
  <cp:keywords/>
  <dcterms:created xsi:type="dcterms:W3CDTF">2026-05-11T11:41:39Z</dcterms:created>
  <dcterms:modified xsi:type="dcterms:W3CDTF">2026-05-11T11:41:39Z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graphy">
    <vt:lpwstr>paper.bib</vt:lpwstr>
  </property>
  <property fmtid="{D5CDD505-2E9C-101B-9397-08002B2CF9AE}" pid="5" name="date">
    <vt:lpwstr>7 April 2026</vt:lpwstr>
  </property>
  <property fmtid="{D5CDD505-2E9C-101B-9397-08002B2CF9AE}" pid="6" name="output">
    <vt:lpwstr/>
  </property>
  <property fmtid="{D5CDD505-2E9C-101B-9397-08002B2CF9AE}" pid="7" name="tags">
    <vt:lpwstr/>
  </property>
</Properties>
</file>