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Renewal and Services Addendum</w:t>
      </w:r>
    </w:p>
    <w:p>
      <w:r>
        <w:t>Counterparty: Northwind Analytics LLC</w:t>
      </w:r>
    </w:p>
    <w:p>
      <w:r>
        <w:t>Effective Date: 2026-04-01</w:t>
      </w:r>
    </w:p>
    <w:p>
      <w:r>
        <w:t>Jurisdiction: Delaware</w:t>
      </w:r>
    </w:p>
    <w:p>
      <w:r>
        <w:t>Term and Termination. The renewal term is 12 months. Either party may terminate the agreement with forty-five (45) days written notice after the initial stabilization period.</w:t>
      </w:r>
    </w:p>
    <w:p>
      <w:r>
        <w:t>Operational Review. The vendor must deliver a quarterly controls review and attach the incident trend appendix with each renewal checkpoint.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