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Client–Supplier Matchmaking Platform</w:t>
      </w:r>
    </w:p>
    <w:p>
      <w:r>
        <w:rPr>
          <w:i/>
          <w:color w:val="5F5E59"/>
          <w:sz w:val="24"/>
        </w:rPr>
        <w:t>Project reference document — Wisdom Group AI Intern evaluation</w:t>
      </w:r>
    </w:p>
    <w:p>
      <w:r>
        <w:rPr>
          <w:color w:val="828282"/>
          <w:sz w:val="18"/>
        </w:rPr>
        <w:t>Prepared by: Rushikesh Giri  |  Deadline: Thursday, 24 September 2026, 4:00 PM</w:t>
      </w:r>
    </w:p>
    <w:p/>
    <w:p>
      <w:pPr>
        <w:pStyle w:val="Heading1"/>
      </w:pPr>
      <w:r>
        <w:t>1. Original requirements (as given)</w:t>
      </w:r>
    </w:p>
    <w:p>
      <w:r>
        <w:t>The evaluation brief asked for a web-based platform connecting clients with suitable suppliers using an AI-powered matching system, with the following components:</w:t>
      </w:r>
    </w:p>
    <w:p>
      <w:pPr>
        <w:pStyle w:val="Heading2"/>
      </w:pPr>
      <w:r>
        <w:t>1.1 Client portal</w:t>
      </w:r>
    </w:p>
    <w:p>
      <w:r>
        <w:t>A form where clients submit: company/client name, product requirement, category, quantity required, budget, location, delivery timeline, additional notes.</w:t>
      </w:r>
    </w:p>
    <w:p>
      <w:pPr>
        <w:pStyle w:val="Heading2"/>
      </w:pPr>
      <w:r>
        <w:t>1.2 Supplier portal</w:t>
      </w:r>
    </w:p>
    <w:p>
      <w:r>
        <w:t>A form where suppliers submit: supplier name, product offered, category, available quantity, pricing details, location, delivery capability, additional notes.</w:t>
      </w:r>
    </w:p>
    <w:p>
      <w:pPr>
        <w:pStyle w:val="Heading2"/>
      </w:pPr>
      <w:r>
        <w:t>1.3 AI matching system</w:t>
      </w:r>
    </w:p>
    <w:p>
      <w:r>
        <w:t>Must analyze requirements and offerings, identify suitable matches, generate a match score/ranking, display and store results, and use genuine AI/ML techniques rather than simple keyword matching.</w:t>
      </w:r>
    </w:p>
    <w:p>
      <w:pPr>
        <w:pStyle w:val="Heading2"/>
      </w:pPr>
      <w:r>
        <w:t>1.4 Notifications</w:t>
      </w:r>
    </w:p>
    <w:p>
      <w:r>
        <w:t>Both client and supplier must be notified when a relevant match is found.</w:t>
      </w:r>
    </w:p>
    <w:p>
      <w:pPr>
        <w:pStyle w:val="Heading2"/>
      </w:pPr>
      <w:r>
        <w:t>1.5 Dashboard</w:t>
      </w:r>
    </w:p>
    <w:p>
      <w:r>
        <w:t>Must display client requirements, supplier offerings, match results, and match status/score.</w:t>
      </w:r>
    </w:p>
    <w:p>
      <w:pPr>
        <w:pStyle w:val="Heading2"/>
      </w:pPr>
      <w:r>
        <w:t>1.6 Deliverables</w:t>
      </w:r>
    </w:p>
    <w:p>
      <w:pPr>
        <w:pStyle w:val="ListBullet"/>
      </w:pPr>
      <w:r>
        <w:t>Source code (GitHub repository preferred)</w:t>
      </w:r>
    </w:p>
    <w:p>
      <w:pPr>
        <w:pStyle w:val="ListBullet"/>
      </w:pPr>
      <w:r>
        <w:t>Working application / demo</w:t>
      </w:r>
    </w:p>
    <w:p>
      <w:pPr>
        <w:pStyle w:val="ListBullet"/>
      </w:pPr>
      <w:r>
        <w:t>Documentation covering: architecture, technology stack, AI matching approach, setup instructions</w:t>
      </w:r>
    </w:p>
    <w:p>
      <w:pPr>
        <w:pStyle w:val="Heading2"/>
      </w:pPr>
      <w:r>
        <w:t>1.7 Evaluation criteria</w:t>
      </w:r>
    </w:p>
    <w:p>
      <w:pPr>
        <w:pStyle w:val="ListBullet"/>
      </w:pPr>
      <w:r>
        <w:t>Quality and completeness of implementation</w:t>
      </w:r>
    </w:p>
    <w:p>
      <w:pPr>
        <w:pStyle w:val="ListBullet"/>
      </w:pPr>
      <w:r>
        <w:t>AI matching logic and effectiveness</w:t>
      </w:r>
    </w:p>
    <w:p>
      <w:pPr>
        <w:pStyle w:val="ListBullet"/>
      </w:pPr>
      <w:r>
        <w:t>UI/UX design</w:t>
      </w:r>
    </w:p>
    <w:p>
      <w:pPr>
        <w:pStyle w:val="ListBullet"/>
      </w:pPr>
      <w:r>
        <w:t>Code quality and project structure</w:t>
      </w:r>
    </w:p>
    <w:p>
      <w:pPr>
        <w:pStyle w:val="ListBullet"/>
      </w:pPr>
      <w:r>
        <w:t>Documentation and scalability</w:t>
      </w:r>
    </w:p>
    <w:p>
      <w:r>
        <w:br w:type="page"/>
      </w:r>
    </w:p>
    <w:p>
      <w:pPr>
        <w:pStyle w:val="Heading1"/>
      </w:pPr>
      <w:r>
        <w:t>2. Technology stack — final decision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EEDFE"/>
          </w:tcPr>
          <w:p>
            <w:r>
              <w:rPr>
                <w:b/>
                <w:sz w:val="18"/>
              </w:rPr>
              <w:t>Layer</w:t>
            </w:r>
          </w:p>
        </w:tc>
        <w:tc>
          <w:tcPr>
            <w:tcW w:type="dxa" w:w="3312"/>
            <w:shd w:fill="EEEDFE"/>
          </w:tcPr>
          <w:p>
            <w:r>
              <w:rPr>
                <w:b/>
                <w:sz w:val="18"/>
              </w:rPr>
              <w:t>Choice</w:t>
            </w:r>
          </w:p>
        </w:tc>
        <w:tc>
          <w:tcPr>
            <w:tcW w:type="dxa" w:w="3312"/>
            <w:shd w:fill="EEEDFE"/>
          </w:tcPr>
          <w:p>
            <w:r>
              <w:rPr>
                <w:b/>
                <w:sz w:val="18"/>
              </w:rPr>
              <w:t>Why</w:t>
            </w:r>
          </w:p>
        </w:tc>
      </w:tr>
      <w:tr>
        <w:tc>
          <w:tcPr>
            <w:tcW w:type="dxa" w:w="3312"/>
            <w:vAlign w:val="center"/>
          </w:tcPr>
          <w:p>
            <w:r>
              <w:rPr>
                <w:sz w:val="17"/>
              </w:rPr>
              <w:t>Frontend</w:t>
            </w:r>
          </w:p>
        </w:tc>
        <w:tc>
          <w:tcPr>
            <w:tcW w:type="dxa" w:w="3312"/>
            <w:vAlign w:val="center"/>
          </w:tcPr>
          <w:p>
            <w:r>
              <w:rPr>
                <w:sz w:val="17"/>
              </w:rPr>
              <w:t>React + Tailwind</w:t>
            </w:r>
          </w:p>
        </w:tc>
        <w:tc>
          <w:tcPr>
            <w:tcW w:type="dxa" w:w="3312"/>
            <w:vAlign w:val="center"/>
          </w:tcPr>
          <w:p>
            <w:r>
              <w:rPr>
                <w:sz w:val="17"/>
              </w:rPr>
              <w:t>Matches existing experience; fast to build forms + dashboard</w:t>
            </w:r>
          </w:p>
        </w:tc>
      </w:tr>
      <w:tr>
        <w:tc>
          <w:tcPr>
            <w:tcW w:type="dxa" w:w="3312"/>
            <w:vAlign w:val="center"/>
          </w:tcPr>
          <w:p>
            <w:r>
              <w:rPr>
                <w:sz w:val="17"/>
              </w:rPr>
              <w:t>Backend</w:t>
            </w:r>
          </w:p>
        </w:tc>
        <w:tc>
          <w:tcPr>
            <w:tcW w:type="dxa" w:w="3312"/>
            <w:vAlign w:val="center"/>
          </w:tcPr>
          <w:p>
            <w:r>
              <w:rPr>
                <w:sz w:val="17"/>
              </w:rPr>
              <w:t>FastAPI (Python)</w:t>
            </w:r>
          </w:p>
        </w:tc>
        <w:tc>
          <w:tcPr>
            <w:tcW w:type="dxa" w:w="3312"/>
            <w:vAlign w:val="center"/>
          </w:tcPr>
          <w:p>
            <w:r>
              <w:rPr>
                <w:sz w:val="17"/>
              </w:rPr>
              <w:t>One language for CRUD and AI matching logic; avoids cross-service calls to a separate Python matching service</w:t>
            </w:r>
          </w:p>
        </w:tc>
      </w:tr>
      <w:tr>
        <w:tc>
          <w:tcPr>
            <w:tcW w:type="dxa" w:w="3312"/>
            <w:vAlign w:val="center"/>
          </w:tcPr>
          <w:p>
            <w:r>
              <w:rPr>
                <w:sz w:val="17"/>
              </w:rPr>
              <w:t>Database</w:t>
            </w:r>
          </w:p>
        </w:tc>
        <w:tc>
          <w:tcPr>
            <w:tcW w:type="dxa" w:w="3312"/>
            <w:vAlign w:val="center"/>
          </w:tcPr>
          <w:p>
            <w:r>
              <w:rPr>
                <w:sz w:val="17"/>
              </w:rPr>
              <w:t>MongoDB</w:t>
            </w:r>
          </w:p>
        </w:tc>
        <w:tc>
          <w:tcPr>
            <w:tcW w:type="dxa" w:w="3312"/>
            <w:vAlign w:val="center"/>
          </w:tcPr>
          <w:p>
            <w:r>
              <w:rPr>
                <w:sz w:val="17"/>
              </w:rPr>
              <w:t>Existing experience; flexible schema for evolving fields</w:t>
            </w:r>
          </w:p>
        </w:tc>
      </w:tr>
      <w:tr>
        <w:tc>
          <w:tcPr>
            <w:tcW w:type="dxa" w:w="3312"/>
            <w:vAlign w:val="center"/>
          </w:tcPr>
          <w:p>
            <w:r>
              <w:rPr>
                <w:sz w:val="17"/>
              </w:rPr>
              <w:t>Embeddings</w:t>
            </w:r>
          </w:p>
        </w:tc>
        <w:tc>
          <w:tcPr>
            <w:tcW w:type="dxa" w:w="3312"/>
            <w:vAlign w:val="center"/>
          </w:tcPr>
          <w:p>
            <w:r>
              <w:rPr>
                <w:sz w:val="17"/>
              </w:rPr>
              <w:t>sentence-transformers (all-MiniLM-L6-v2)</w:t>
            </w:r>
          </w:p>
        </w:tc>
        <w:tc>
          <w:tcPr>
            <w:tcW w:type="dxa" w:w="3312"/>
            <w:vAlign w:val="center"/>
          </w:tcPr>
          <w:p>
            <w:r>
              <w:rPr>
                <w:sz w:val="17"/>
              </w:rPr>
              <w:t>Local, free, no API cost/latency; genuine semantic AI without training a model from scratch</w:t>
            </w:r>
          </w:p>
        </w:tc>
      </w:tr>
      <w:tr>
        <w:tc>
          <w:tcPr>
            <w:tcW w:type="dxa" w:w="3312"/>
            <w:vAlign w:val="center"/>
          </w:tcPr>
          <w:p>
            <w:r>
              <w:rPr>
                <w:sz w:val="17"/>
              </w:rPr>
              <w:t>Auth</w:t>
            </w:r>
          </w:p>
        </w:tc>
        <w:tc>
          <w:tcPr>
            <w:tcW w:type="dxa" w:w="3312"/>
            <w:vAlign w:val="center"/>
          </w:tcPr>
          <w:p>
            <w:r>
              <w:rPr>
                <w:sz w:val="17"/>
              </w:rPr>
              <w:t>JWT (email + password, bcrypt hash)</w:t>
            </w:r>
          </w:p>
        </w:tc>
        <w:tc>
          <w:tcPr>
            <w:tcW w:type="dxa" w:w="3312"/>
            <w:vAlign w:val="center"/>
          </w:tcPr>
          <w:p>
            <w:r>
              <w:rPr>
                <w:sz w:val="17"/>
              </w:rPr>
              <w:t>Simple now, structured to harden later</w:t>
            </w:r>
          </w:p>
        </w:tc>
      </w:tr>
      <w:tr>
        <w:tc>
          <w:tcPr>
            <w:tcW w:type="dxa" w:w="3312"/>
            <w:vAlign w:val="center"/>
          </w:tcPr>
          <w:p>
            <w:r>
              <w:rPr>
                <w:sz w:val="17"/>
              </w:rPr>
              <w:t>Containerization</w:t>
            </w:r>
          </w:p>
        </w:tc>
        <w:tc>
          <w:tcPr>
            <w:tcW w:type="dxa" w:w="3312"/>
            <w:vAlign w:val="center"/>
          </w:tcPr>
          <w:p>
            <w:r>
              <w:rPr>
                <w:sz w:val="17"/>
              </w:rPr>
              <w:t>Docker + docker-compose (Day 3, 2-hour timebox)</w:t>
            </w:r>
          </w:p>
        </w:tc>
        <w:tc>
          <w:tcPr>
            <w:tcW w:type="dxa" w:w="3312"/>
            <w:vAlign w:val="center"/>
          </w:tcPr>
          <w:p>
            <w:r>
              <w:rPr>
                <w:sz w:val="17"/>
              </w:rPr>
              <w:t>Addresses “scalability” criterion; zero-setup demo for evaluator</w:t>
            </w:r>
          </w:p>
        </w:tc>
      </w:tr>
    </w:tbl>
    <w:p/>
    <w:p>
      <w:r>
        <w:rPr>
          <w:b/>
        </w:rPr>
        <w:t xml:space="preserve">Note: </w:t>
      </w:r>
      <w:r>
        <w:t>OpenAI/Claude-style LLM API calls were deliberately not used for the matching engine itself — local embeddings are simpler, free, and equally legitimate as “AI/ML” for this evaluation, and avoid API cost/latency/justification overhead.</w:t>
      </w:r>
    </w:p>
    <w:p>
      <w:r>
        <w:br w:type="page"/>
      </w:r>
    </w:p>
    <w:p>
      <w:pPr>
        <w:pStyle w:val="Heading1"/>
      </w:pPr>
      <w:r>
        <w:t>3. System architecture</w:t>
      </w:r>
    </w:p>
    <w:p>
      <w:r>
        <w:t>The frontend talks to the FastAPI backend over REST with JWT auth. The backend fans out to MongoDB (storage), the matching engine (embeddings + scoring), and the notification service. The matching engine calls a local sentence-transformers model for semantic similarity, reads/writes match records in MongoDB, and triggers notifications when a match clears the threshold.</w:t>
      </w:r>
    </w:p>
    <w:tbl>
      <w:tblPr>
        <w:tblStyle w:val="TableGrid"/>
        <w:tblW w:type="auto" w:w="0"/>
        <w:tblLook w:firstColumn="1" w:firstRow="1" w:lastColumn="0" w:lastRow="0" w:noHBand="0" w:noVBand="1" w:val="04A0"/>
      </w:tblPr>
      <w:tblGrid>
        <w:gridCol w:w="9936"/>
      </w:tblGrid>
      <w:tr>
        <w:tc>
          <w:tcPr>
            <w:tcW w:type="dxa" w:w="9936"/>
            <w:shd w:fill="F3F2EF"/>
          </w:tcPr>
          <w:p>
            <w:pPr>
              <w:jc w:val="center"/>
            </w:pPr>
            <w:r>
              <w:rPr>
                <w:i/>
                <w:color w:val="646464"/>
                <w:sz w:val="18"/>
              </w:rPr>
              <w:t>[ DIAGRAM PLACEHOLDER — SYSTEM ARCHITECTURE ]</w:t>
              <w:br/>
              <w:t>Frontend · FastAPI backend · MongoDB · matching engine · embedding model · notifications</w:t>
              <w:br/>
              <w:br/>
              <w:t>Original asset referenced in source: not supplied</w:t>
            </w:r>
          </w:p>
        </w:tc>
      </w:tr>
    </w:tbl>
    <w:p/>
    <w:p>
      <w:r>
        <w:t>Figure 1 — System architecture: frontend, backend, storage, matching engine, and notifications.</w:t>
      </w:r>
    </w:p>
    <w:p>
      <w:pPr>
        <w:pStyle w:val="Heading1"/>
      </w:pPr>
      <w:r>
        <w:t>4. Data model / schema</w:t>
      </w:r>
    </w:p>
    <w:p>
      <w:r>
        <w:t>Five core entities. A User is either a client or a supplier (role field) and owns exactly one profile of the matching type. Every Match stores the total score plus all five sub-scores separately, so the dashboard can show a full breakdown, not just one number. Notifications link back to both a user and the match that triggered them.</w:t>
      </w:r>
    </w:p>
    <w:tbl>
      <w:tblPr>
        <w:tblStyle w:val="TableGrid"/>
        <w:tblW w:type="auto" w:w="0"/>
        <w:tblLook w:firstColumn="1" w:firstRow="1" w:lastColumn="0" w:lastRow="0" w:noHBand="0" w:noVBand="1" w:val="04A0"/>
      </w:tblPr>
      <w:tblGrid>
        <w:gridCol w:w="9936"/>
      </w:tblGrid>
      <w:tr>
        <w:tc>
          <w:tcPr>
            <w:tcW w:type="dxa" w:w="9936"/>
            <w:shd w:fill="F3F2EF"/>
          </w:tcPr>
          <w:p>
            <w:pPr>
              <w:jc w:val="center"/>
            </w:pPr>
            <w:r>
              <w:rPr>
                <w:i/>
                <w:color w:val="646464"/>
                <w:sz w:val="18"/>
              </w:rPr>
              <w:t>[ DIAGRAM PLACEHOLDER — DATA MODEL / SCHEMA ]</w:t>
              <w:br/>
              <w:t>User · Client profile · Supplier profile · Match · Notification</w:t>
              <w:br/>
              <w:br/>
              <w:t>Original asset referenced in source: not supplied</w:t>
            </w:r>
          </w:p>
        </w:tc>
      </w:tr>
    </w:tbl>
    <w:p/>
    <w:p>
      <w:r>
        <w:t>Figure 2 — Entities: User, Client profile, Supplier profile, Match, Notification.</w:t>
      </w:r>
    </w:p>
    <w:p>
      <w:pPr>
        <w:pStyle w:val="Heading2"/>
      </w:pPr>
      <w:r>
        <w:t>4.1 Field decisions worth remembering</w:t>
      </w:r>
    </w:p>
    <w:p>
      <w:pPr>
        <w:pStyle w:val="ListBullet"/>
      </w:pPr>
      <w:r>
        <w:t>Budget and pricing are numeric ranges (budget_min/max, price_min/max) — NOT free text. A separate notes field captures qualifiers like “negotiable” and still feeds the embedding model.</w:t>
      </w:r>
    </w:p>
    <w:p>
      <w:pPr>
        <w:pStyle w:val="ListBullet"/>
      </w:pPr>
      <w:r>
        <w:t>Location is state + city, both structured dropdowns backed by a static ~30-40 city JSON file (not free text, not a live geocoding API).</w:t>
      </w:r>
    </w:p>
    <w:p>
      <w:pPr>
        <w:pStyle w:val="ListBullet"/>
      </w:pPr>
      <w:r>
        <w:t>Delivery timeline is numeric days on both sides (client: days needed; supplier: days capable) — not free text like “2 weeks”.</w:t>
      </w:r>
    </w:p>
    <w:p>
      <w:pPr>
        <w:pStyle w:val="ListBullet"/>
      </w:pPr>
      <w:r>
        <w:t>Category is a fixed dropdown (~10-15 options) on both forms — this sidesteps label-mismatch problems (e.g. “Steel Pipes” vs “Industrial Piping”) entirely.</w:t>
      </w:r>
    </w:p>
    <w:p>
      <w:pPr>
        <w:pStyle w:val="ListBullet"/>
      </w:pPr>
      <w:r>
        <w:t>No edit/update endpoints for this submission — scoped out deliberately (see section 7.4).</w:t>
      </w:r>
    </w:p>
    <w:p>
      <w:pPr>
        <w:pStyle w:val="Heading1"/>
      </w:pPr>
      <w:r>
        <w:t>5. AI matching approach</w:t>
      </w:r>
    </w:p>
    <w:p>
      <w:pPr>
        <w:pStyle w:val="Heading2"/>
      </w:pPr>
      <w:r>
        <w:t>5.1 Why embeddings, not keyword matching</w:t>
      </w:r>
    </w:p>
    <w:p>
      <w:r>
        <w:t>Product Requirement + Category + Notes (client) and Product Offered + Category + Notes (supplier) are embedded using sentence-transformers (all-MiniLM-L6-v2). Cosine similarity between embeddings gives a genuine semantic match score — this is what makes the system AI/ML-based rather than simple string/keyword matching, directly satisfying the brief's explicit requirement.</w:t>
      </w:r>
    </w:p>
    <w:p>
      <w:pPr>
        <w:pStyle w:val="Heading2"/>
      </w:pPr>
      <w:r>
        <w:t>5.2 Pipeline</w:t>
      </w:r>
    </w:p>
    <w:p>
      <w:r>
        <w:t>On every new submission: filter to the fixed category first, then score every same-category pair on five weighted sub-factors, combine into one weighted total, store the full breakdown, and notify both sides if the score clears a threshold.</w:t>
      </w:r>
    </w:p>
    <w:tbl>
      <w:tblPr>
        <w:tblStyle w:val="TableGrid"/>
        <w:tblW w:type="auto" w:w="0"/>
        <w:tblLook w:firstColumn="1" w:firstRow="1" w:lastColumn="0" w:lastRow="0" w:noHBand="0" w:noVBand="1" w:val="04A0"/>
      </w:tblPr>
      <w:tblGrid>
        <w:gridCol w:w="9936"/>
      </w:tblGrid>
      <w:tr>
        <w:tc>
          <w:tcPr>
            <w:tcW w:type="dxa" w:w="9936"/>
            <w:shd w:fill="F3F2EF"/>
          </w:tcPr>
          <w:p>
            <w:pPr>
              <w:jc w:val="center"/>
            </w:pPr>
            <w:r>
              <w:rPr>
                <w:i/>
                <w:color w:val="646464"/>
                <w:sz w:val="18"/>
              </w:rPr>
              <w:t>[ DIAGRAM PLACEHOLDER — MATCHING ALGORITHM FLOW ]</w:t>
              <w:br/>
              <w:t>Category filter → five weighted sub-scores → weighted total → threshold-gated notification</w:t>
              <w:br/>
              <w:br/>
              <w:t>Original asset referenced in source: not supplied</w:t>
            </w:r>
          </w:p>
        </w:tc>
      </w:tr>
    </w:tbl>
    <w:p/>
    <w:p>
      <w:r>
        <w:t>Figure 3 — Matching algorithm: category filter, five weighted sub-scores, weighted sum, threshold-gated notification.</w:t>
      </w:r>
    </w:p>
    <w:p>
      <w:pPr>
        <w:pStyle w:val="Heading2"/>
      </w:pPr>
      <w:r>
        <w:t>5.3 Scoring weights (final)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EEDFE"/>
          </w:tcPr>
          <w:p>
            <w:r>
              <w:rPr>
                <w:b/>
                <w:sz w:val="18"/>
              </w:rPr>
              <w:t>Factor</w:t>
            </w:r>
          </w:p>
        </w:tc>
        <w:tc>
          <w:tcPr>
            <w:tcW w:type="dxa" w:w="3312"/>
            <w:shd w:fill="EEEDFE"/>
          </w:tcPr>
          <w:p>
            <w:r>
              <w:rPr>
                <w:b/>
                <w:sz w:val="18"/>
              </w:rPr>
              <w:t>Weight</w:t>
            </w:r>
          </w:p>
        </w:tc>
        <w:tc>
          <w:tcPr>
            <w:tcW w:type="dxa" w:w="3312"/>
            <w:shd w:fill="EEEDFE"/>
          </w:tcPr>
          <w:p>
            <w:r>
              <w:rPr>
                <w:b/>
                <w:sz w:val="18"/>
              </w:rPr>
              <w:t>How it's computed</w:t>
            </w:r>
          </w:p>
        </w:tc>
      </w:tr>
      <w:tr>
        <w:tc>
          <w:tcPr>
            <w:tcW w:type="dxa" w:w="3312"/>
            <w:vAlign w:val="center"/>
          </w:tcPr>
          <w:p>
            <w:r>
              <w:rPr>
                <w:sz w:val="17"/>
              </w:rPr>
              <w:t>Semantic similarity</w:t>
            </w:r>
          </w:p>
        </w:tc>
        <w:tc>
          <w:tcPr>
            <w:tcW w:type="dxa" w:w="3312"/>
            <w:vAlign w:val="center"/>
          </w:tcPr>
          <w:p>
            <w:r>
              <w:rPr>
                <w:sz w:val="17"/>
              </w:rPr>
              <w:t>35%</w:t>
            </w:r>
          </w:p>
        </w:tc>
        <w:tc>
          <w:tcPr>
            <w:tcW w:type="dxa" w:w="3312"/>
            <w:vAlign w:val="center"/>
          </w:tcPr>
          <w:p>
            <w:r>
              <w:rPr>
                <w:sz w:val="17"/>
              </w:rPr>
              <w:t>Cosine similarity between client and supplier text embeddings</w:t>
            </w:r>
          </w:p>
        </w:tc>
      </w:tr>
      <w:tr>
        <w:tc>
          <w:tcPr>
            <w:tcW w:type="dxa" w:w="3312"/>
            <w:vAlign w:val="center"/>
          </w:tcPr>
          <w:p>
            <w:r>
              <w:rPr>
                <w:sz w:val="17"/>
              </w:rPr>
              <w:t>Price fit</w:t>
            </w:r>
          </w:p>
        </w:tc>
        <w:tc>
          <w:tcPr>
            <w:tcW w:type="dxa" w:w="3312"/>
            <w:vAlign w:val="center"/>
          </w:tcPr>
          <w:p>
            <w:r>
              <w:rPr>
                <w:sz w:val="17"/>
              </w:rPr>
              <w:t>25%</w:t>
            </w:r>
          </w:p>
        </w:tc>
        <w:tc>
          <w:tcPr>
            <w:tcW w:type="dxa" w:w="3312"/>
            <w:vAlign w:val="center"/>
          </w:tcPr>
          <w:p>
            <w:r>
              <w:rPr>
                <w:sz w:val="17"/>
              </w:rPr>
              <w:t>Overlap between client budget range and supplier price range</w:t>
            </w:r>
          </w:p>
        </w:tc>
      </w:tr>
      <w:tr>
        <w:tc>
          <w:tcPr>
            <w:tcW w:type="dxa" w:w="3312"/>
            <w:vAlign w:val="center"/>
          </w:tcPr>
          <w:p>
            <w:r>
              <w:rPr>
                <w:sz w:val="17"/>
              </w:rPr>
              <w:t>Location</w:t>
            </w:r>
          </w:p>
        </w:tc>
        <w:tc>
          <w:tcPr>
            <w:tcW w:type="dxa" w:w="3312"/>
            <w:vAlign w:val="center"/>
          </w:tcPr>
          <w:p>
            <w:r>
              <w:rPr>
                <w:sz w:val="17"/>
              </w:rPr>
              <w:t>20%</w:t>
            </w:r>
          </w:p>
        </w:tc>
        <w:tc>
          <w:tcPr>
            <w:tcW w:type="dxa" w:w="3312"/>
            <w:vAlign w:val="center"/>
          </w:tcPr>
          <w:p>
            <w:r>
              <w:rPr>
                <w:sz w:val="17"/>
              </w:rPr>
              <w:t>3-tier: same city = 1.0, same state = 0.6, different state = 0.2</w:t>
            </w:r>
          </w:p>
        </w:tc>
      </w:tr>
      <w:tr>
        <w:tc>
          <w:tcPr>
            <w:tcW w:type="dxa" w:w="3312"/>
            <w:vAlign w:val="center"/>
          </w:tcPr>
          <w:p>
            <w:r>
              <w:rPr>
                <w:sz w:val="17"/>
              </w:rPr>
              <w:t>Delivery timeline</w:t>
            </w:r>
          </w:p>
        </w:tc>
        <w:tc>
          <w:tcPr>
            <w:tcW w:type="dxa" w:w="3312"/>
            <w:vAlign w:val="center"/>
          </w:tcPr>
          <w:p>
            <w:r>
              <w:rPr>
                <w:sz w:val="17"/>
              </w:rPr>
              <w:t>12%</w:t>
            </w:r>
          </w:p>
        </w:tc>
        <w:tc>
          <w:tcPr>
            <w:tcW w:type="dxa" w:w="3312"/>
            <w:vAlign w:val="center"/>
          </w:tcPr>
          <w:p>
            <w:r>
              <w:rPr>
                <w:sz w:val="17"/>
              </w:rPr>
              <w:t>Client days-needed vs supplier days-capable</w:t>
            </w:r>
          </w:p>
        </w:tc>
      </w:tr>
      <w:tr>
        <w:tc>
          <w:tcPr>
            <w:tcW w:type="dxa" w:w="3312"/>
            <w:vAlign w:val="center"/>
          </w:tcPr>
          <w:p>
            <w:r>
              <w:rPr>
                <w:sz w:val="17"/>
              </w:rPr>
              <w:t>Quantity fit</w:t>
            </w:r>
          </w:p>
        </w:tc>
        <w:tc>
          <w:tcPr>
            <w:tcW w:type="dxa" w:w="3312"/>
            <w:vAlign w:val="center"/>
          </w:tcPr>
          <w:p>
            <w:r>
              <w:rPr>
                <w:sz w:val="17"/>
              </w:rPr>
              <w:t>8%</w:t>
            </w:r>
          </w:p>
        </w:tc>
        <w:tc>
          <w:tcPr>
            <w:tcW w:type="dxa" w:w="3312"/>
            <w:vAlign w:val="center"/>
          </w:tcPr>
          <w:p>
            <w:r>
              <w:rPr>
                <w:sz w:val="17"/>
              </w:rPr>
              <w:t>Soft ratio: min(supplier_qty / client_qty, 1.0) — never a hard exclusion</w:t>
            </w:r>
          </w:p>
        </w:tc>
      </w:tr>
    </w:tbl>
    <w:p/>
    <w:p>
      <w:r>
        <w:rPr>
          <w:b/>
        </w:rPr>
        <w:t xml:space="preserve">Ranking given by the user (most to least important): </w:t>
      </w:r>
      <w:r>
        <w:t>Semantic similarity → Price fit → Location → Delivery timeline → Quantity fit. Weights above respect this ranking. These percentages are a starting point — expect to tune them once real scores are visible on sample data.</w:t>
      </w:r>
    </w:p>
    <w:p>
      <w:pPr>
        <w:pStyle w:val="Heading2"/>
      </w:pPr>
      <w:r>
        <w:t>5.4 Category filtering: strict, not soft</w:t>
      </w:r>
    </w:p>
    <w:p>
      <w:r>
        <w:t>Matching only compares same-category client-supplier pairs (hard filter), then ranks by weighted score within that category. This was chosen over a “no filter, category as soft signal” approach because a fixed dropdown removes the label-mismatch problem that soft-signal matching exists to solve, while staying simpler, faster, and easier to defend to evaluators (“why did this client match that supplier” always has a category-first, then-semantic answer).</w:t>
      </w:r>
    </w:p>
    <w:p>
      <w:pPr>
        <w:pStyle w:val="Heading2"/>
      </w:pPr>
      <w:r>
        <w:t>5.5 Quantity: soft-scored, never a hard filter</w:t>
      </w:r>
    </w:p>
    <w:p>
      <w:r>
        <w:t>A supplier with only partial stock still appears as a match (ranked lower), rather than being excluded outright. This avoids sparse-looking demo results and mirrors real procurement, where partial fulfillment or negotiation is common. Matches below full quantity get a “Partial stock (X%)” badge in the UI.</w:t>
      </w:r>
    </w:p>
    <w:p>
      <w:pPr>
        <w:pStyle w:val="Heading2"/>
      </w:pPr>
      <w:r>
        <w:t>5.6 Score display</w:t>
      </w:r>
    </w:p>
    <w:p>
      <w:r>
        <w:t>Every match shows a 0-100 total score plus a label (Excellent 80+, Good 60-79, Fair 40-59, Poor &lt;40, color-coded), with an expandable “why this match?” breakdown showing all five sub-scores. This directly strengthens the “AI matching logic and effectiveness” evaluation criterion — the system is explainable, not a black box.</w:t>
      </w:r>
    </w:p>
    <w:p>
      <w:r>
        <w:br w:type="page"/>
      </w:r>
    </w:p>
    <w:p>
      <w:pPr>
        <w:pStyle w:val="Heading1"/>
      </w:pPr>
      <w:r>
        <w:t>6. Submission → matching → notification flow</w:t>
      </w:r>
    </w:p>
    <w:p>
      <w:r>
        <w:t>Matching runs automatically on every new submission (not manually triggered). This sequence shows exactly what happens when a client submits a requirement — the same flow runs in reverse when a supplier submits an offering.</w:t>
      </w:r>
    </w:p>
    <w:tbl>
      <w:tblPr>
        <w:tblStyle w:val="TableGrid"/>
        <w:tblW w:type="auto" w:w="0"/>
        <w:tblLook w:firstColumn="1" w:firstRow="1" w:lastColumn="0" w:lastRow="0" w:noHBand="0" w:noVBand="1" w:val="04A0"/>
      </w:tblPr>
      <w:tblGrid>
        <w:gridCol w:w="9936"/>
      </w:tblGrid>
      <w:tr>
        <w:tc>
          <w:tcPr>
            <w:tcW w:type="dxa" w:w="9936"/>
            <w:shd w:fill="F3F2EF"/>
          </w:tcPr>
          <w:p>
            <w:pPr>
              <w:jc w:val="center"/>
            </w:pPr>
            <w:r>
              <w:rPr>
                <w:i/>
                <w:color w:val="646464"/>
                <w:sz w:val="18"/>
              </w:rPr>
              <w:t>[ DIAGRAM PLACEHOLDER — SUBMISSION → MATCHING SEQUENCE ]</w:t>
              <w:br/>
              <w:t>Save submission → category-filtered matching → score pairs → store matches → notify both sides → return ranked matches</w:t>
              <w:br/>
              <w:br/>
              <w:t>Original asset referenced in source: not supplied</w:t>
            </w:r>
          </w:p>
        </w:tc>
      </w:tr>
    </w:tbl>
    <w:p/>
    <w:p>
      <w:r>
        <w:t>Figure 4 — Sequence: submission saves to MongoDB, triggers category-filtered matching, scores pairs, stores results, notifies both sides, returns ranked matches.</w:t>
      </w:r>
    </w:p>
    <w:p>
      <w:r>
        <w:br w:type="page"/>
      </w:r>
    </w:p>
    <w:p>
      <w:pPr>
        <w:pStyle w:val="Heading1"/>
      </w:pPr>
      <w:r>
        <w:t>7. Full decisions log</w:t>
      </w:r>
    </w:p>
    <w:p>
      <w:r>
        <w:t>Every decision made during planning, in order, with the reasoning. Referenced by section number above where relevant.</w:t>
      </w:r>
    </w:p>
    <w:p>
      <w:pPr>
        <w:pStyle w:val="Heading2"/>
      </w:pPr>
      <w:r>
        <w:t>7.1 Matching trigger</w:t>
      </w:r>
    </w:p>
    <w:p>
      <w:r>
        <w:t>Auto-run on every new submission (not a manual “find matches” button). Chosen for a smoother demo experience and because it's what a real platform would do.</w:t>
      </w:r>
    </w:p>
    <w:p>
      <w:pPr>
        <w:pStyle w:val="Heading2"/>
      </w:pPr>
      <w:r>
        <w:t>7.2 Authentication</w:t>
      </w:r>
    </w:p>
    <w:p>
      <w:r>
        <w:t>Simple JWT (email + password, bcrypt-hashed) for this submission. Flagged stretch goals for “better security if time permits”: rate limiting on login, refresh tokens, HTTPS-only cookies instead of localStorage for the token — documented even if not all implemented, to show security awareness.</w:t>
      </w:r>
    </w:p>
    <w:p>
      <w:pPr>
        <w:pStyle w:val="Heading2"/>
      </w:pPr>
      <w:r>
        <w:t>7.3 Notifications</w:t>
      </w:r>
    </w:p>
    <w:p>
      <w:r>
        <w:t>In-app only (a Notification collection + bell icon/badge + toast), not SMTP email or WebSocket push. Chosen because it fully satisfies the stated requirement without the setup overhead and flakiness risk of email deliverability, freeing time for the matching engine and docs. SMTP is documented as a future-scalability point.</w:t>
      </w:r>
    </w:p>
    <w:p>
      <w:pPr>
        <w:pStyle w:val="Heading2"/>
      </w:pPr>
      <w:r>
        <w:t>7.4 No edit endpoints</w:t>
      </w:r>
    </w:p>
    <w:p>
      <w:r>
        <w:t>Clients/suppliers cannot edit a submission after posting. The CRUD part is trivial (~15-20 min), but per the auto-match design an edit should logically re-trigger matching, which opens real edge-case surface area: stale match records, stale notifications tied to now-invalid matches, and deciding whether to delete/regenerate/mark-invalid old matches. None of this is in the original brief. Scoped out; noted in docs as future work.</w:t>
      </w:r>
    </w:p>
    <w:p>
      <w:pPr>
        <w:pStyle w:val="Heading2"/>
      </w:pPr>
      <w:r>
        <w:t>7.5 No separate admin role</w:t>
      </w:r>
    </w:p>
    <w:p>
      <w:r>
        <w:t>The brief's dashboard requirement doesn't demand a distinct third role. Adding one would mean a new role type, admin-only route guards, an admin login/seed process, and a justification for what admin actions exist — real scope creep with no requirement backing it. Instead, dashboards are role-scoped (each user sees only their own requirements/offerings/matches), which satisfies the literal requirement and avoids a data-exposure issue (clients seeing other clients' submissions).</w:t>
      </w:r>
    </w:p>
    <w:p>
      <w:pPr>
        <w:pStyle w:val="Heading2"/>
      </w:pPr>
      <w:r>
        <w:t>7.6 GET /dashboard/overview</w:t>
      </w:r>
    </w:p>
    <w:p>
      <w:r>
        <w:t>One lightweight, unauthenticated-or-lightly-protected endpoint returning aggregate stats (total clients, total suppliers, total matches, average match score). Roughly 10 minutes of work, no new role needed, gives a system-wide-visibility screenshot for the README without any admin-role engineering cost.</w:t>
      </w:r>
    </w:p>
    <w:p>
      <w:pPr>
        <w:pStyle w:val="Heading2"/>
      </w:pPr>
      <w:r>
        <w:t>7.7 Match direction</w:t>
      </w:r>
    </w:p>
    <w:p>
      <w:r>
        <w:t>Separate ranked lists per side — a client sees ranked suppliers, a supplier sees ranked clients — rather than one symmetric match record shown identically to both sides.</w:t>
      </w:r>
    </w:p>
    <w:p>
      <w:pPr>
        <w:pStyle w:val="Heading2"/>
      </w:pPr>
      <w:r>
        <w:t>7.8 Repo structure</w:t>
      </w:r>
    </w:p>
    <w:p>
      <w:r>
        <w:t>Monorepo: one GitHub repo, /frontend and /backend folders, one root README (with sub-READMEs for setup specifics if needed). A true single-process monolith was ruled out (incompatible with a separate React build toolchain); two separate repos was ruled out (adds reviewer friction — two clones, two READMEs to cross-reference — for zero benefit at this scale, and the brief explicitly asks for “a GitHub repository,” singular).</w:t>
      </w:r>
    </w:p>
    <w:p>
      <w:pPr>
        <w:pStyle w:val="Heading2"/>
      </w:pPr>
      <w:r>
        <w:t>7.9 Docker</w:t>
      </w:r>
    </w:p>
    <w:p>
      <w:r>
        <w:t>Committed to, but scheduled as the first task on Day 3 with a hard 2-hour timebox, only after the app fully works locally without Docker. This protects the submission: if container networking issues eat time, there's still a working non-Dockerized fallback to submit. Payoff: directly addresses the “scalability” evaluation criterion and removes all “works on my machine” risk for the evaluator.</w:t>
      </w:r>
    </w:p>
    <w:p>
      <w:pPr>
        <w:pStyle w:val="Heading2"/>
      </w:pPr>
      <w:r>
        <w:t>7.10 Seed data</w:t>
      </w:r>
    </w:p>
    <w:p>
      <w:r>
        <w:t>Both a seed script (for volume/realistic demo data) and manual entry via the forms (for a polished walkthrough) — not one or the other alone.</w:t>
      </w:r>
    </w:p>
    <w:p>
      <w:r>
        <w:br w:type="page"/>
      </w:r>
    </w:p>
    <w:p>
      <w:pPr>
        <w:pStyle w:val="Heading1"/>
      </w:pPr>
      <w:r>
        <w:t>8. Final API route list</w:t>
      </w:r>
    </w:p>
    <w:p>
      <w:pPr>
        <w:pStyle w:val="Heading2"/>
      </w:pPr>
      <w:r>
        <w:t>8.1 Auth</w:t>
      </w:r>
    </w:p>
    <w:p>
      <w:pPr>
        <w:pStyle w:val="ListBullet"/>
      </w:pPr>
      <w:r>
        <w:t>POST /auth/register — create user (role: client/supplier, email, password)</w:t>
      </w:r>
    </w:p>
    <w:p>
      <w:pPr>
        <w:pStyle w:val="ListBullet"/>
      </w:pPr>
      <w:r>
        <w:t>POST /auth/login — returns JWT</w:t>
      </w:r>
    </w:p>
    <w:p>
      <w:pPr>
        <w:pStyle w:val="ListBullet"/>
      </w:pPr>
      <w:r>
        <w:t>GET /auth/me — current user info</w:t>
      </w:r>
    </w:p>
    <w:p>
      <w:pPr>
        <w:pStyle w:val="Heading2"/>
      </w:pPr>
      <w:r>
        <w:t>8.2 Client</w:t>
      </w:r>
    </w:p>
    <w:p>
      <w:pPr>
        <w:pStyle w:val="ListBullet"/>
      </w:pPr>
      <w:r>
        <w:t>POST /clients — submit new requirement (auth required, role=client) → triggers auto-matching against same-category suppliers</w:t>
      </w:r>
    </w:p>
    <w:p>
      <w:pPr>
        <w:pStyle w:val="ListBullet"/>
      </w:pPr>
      <w:r>
        <w:t>GET /clients/me — current client's own requirements</w:t>
      </w:r>
    </w:p>
    <w:p>
      <w:pPr>
        <w:pStyle w:val="ListBullet"/>
      </w:pPr>
      <w:r>
        <w:t>GET /clients/{id} — one requirement (detail view)</w:t>
      </w:r>
    </w:p>
    <w:p>
      <w:pPr>
        <w:pStyle w:val="Heading2"/>
      </w:pPr>
      <w:r>
        <w:t>8.3 Supplier</w:t>
      </w:r>
    </w:p>
    <w:p>
      <w:pPr>
        <w:pStyle w:val="ListBullet"/>
      </w:pPr>
      <w:r>
        <w:t>POST /suppliers — submit new offering (auth required, role=supplier) → triggers auto-matching against same-category clients</w:t>
      </w:r>
    </w:p>
    <w:p>
      <w:pPr>
        <w:pStyle w:val="ListBullet"/>
      </w:pPr>
      <w:r>
        <w:t>GET /suppliers/me — current supplier's own offerings</w:t>
      </w:r>
    </w:p>
    <w:p>
      <w:pPr>
        <w:pStyle w:val="ListBullet"/>
      </w:pPr>
      <w:r>
        <w:t>GET /suppliers/{id} — one offering</w:t>
      </w:r>
    </w:p>
    <w:p>
      <w:pPr>
        <w:pStyle w:val="Heading2"/>
      </w:pPr>
      <w:r>
        <w:t>8.4 Matching</w:t>
      </w:r>
    </w:p>
    <w:p>
      <w:pPr>
        <w:pStyle w:val="ListBullet"/>
      </w:pPr>
      <w:r>
        <w:t>GET /matches/client/{client_id} — ranked supplier matches, role-scoped, with score + sub-factor breakdown</w:t>
      </w:r>
    </w:p>
    <w:p>
      <w:pPr>
        <w:pStyle w:val="ListBullet"/>
      </w:pPr>
      <w:r>
        <w:t>GET /matches/supplier/{supplier_id} — ranked client matches, role-scoped</w:t>
      </w:r>
    </w:p>
    <w:p>
      <w:pPr>
        <w:pStyle w:val="ListBullet"/>
      </w:pPr>
      <w:r>
        <w:t>No POST /matches — matching is never manually triggered; only called internally from submission handlers</w:t>
      </w:r>
    </w:p>
    <w:p>
      <w:pPr>
        <w:pStyle w:val="Heading2"/>
      </w:pPr>
      <w:r>
        <w:t>8.5 Notifications</w:t>
      </w:r>
    </w:p>
    <w:p>
      <w:pPr>
        <w:pStyle w:val="ListBullet"/>
      </w:pPr>
      <w:r>
        <w:t>GET /notifications/me — current user's notifications (read + unread)</w:t>
      </w:r>
    </w:p>
    <w:p>
      <w:pPr>
        <w:pStyle w:val="ListBullet"/>
      </w:pPr>
      <w:r>
        <w:t>PATCH /notifications/{id}/read — mark as read</w:t>
      </w:r>
    </w:p>
    <w:p>
      <w:pPr>
        <w:pStyle w:val="Heading2"/>
      </w:pPr>
      <w:r>
        <w:t>8.6 Dashboard</w:t>
      </w:r>
    </w:p>
    <w:p>
      <w:pPr>
        <w:pStyle w:val="ListBullet"/>
      </w:pPr>
      <w:r>
        <w:t>GET /dashboard/overview — aggregate stats only (total clients, total suppliers, total matches, average score); no auth complexity</w:t>
      </w:r>
    </w:p>
    <w:p>
      <w:pPr>
        <w:pStyle w:val="ListBullet"/>
      </w:pPr>
      <w:r>
        <w:t>Per-user dashboards are composed on the frontend from /clients/me or /suppliers/me + /matches/* — no separate heavy dashboard endpoint needed</w:t>
      </w:r>
    </w:p>
    <w:p>
      <w:pPr>
        <w:pStyle w:val="Heading2"/>
      </w:pPr>
      <w:r>
        <w:t>8.7 Reference data</w:t>
      </w:r>
    </w:p>
    <w:p>
      <w:pPr>
        <w:pStyle w:val="ListBullet"/>
      </w:pPr>
      <w:r>
        <w:t>GET /categories — fixed category dropdown list</w:t>
      </w:r>
    </w:p>
    <w:p>
      <w:pPr>
        <w:pStyle w:val="ListBullet"/>
      </w:pPr>
      <w:r>
        <w:t>GET /locations — state → city static list for dropdowns</w:t>
      </w:r>
    </w:p>
    <w:p>
      <w:pPr>
        <w:pStyle w:val="Heading2"/>
      </w:pPr>
      <w:r>
        <w:t>8.8 Explicitly excluded</w:t>
      </w:r>
    </w:p>
    <w:p>
      <w:pPr>
        <w:pStyle w:val="ListBullet"/>
      </w:pPr>
      <w:r>
        <w:t>No PATCH /clients/{id} or PATCH /suppliers/{id} (see 7.4)</w:t>
      </w:r>
    </w:p>
    <w:p>
      <w:pPr>
        <w:pStyle w:val="ListBullet"/>
      </w:pPr>
      <w:r>
        <w:t>No admin-only routes (see 7.5)</w:t>
      </w:r>
    </w:p>
    <w:p>
      <w:r>
        <w:br w:type="page"/>
      </w:r>
    </w:p>
    <w:p>
      <w:pPr>
        <w:pStyle w:val="Heading1"/>
      </w:pPr>
      <w:r>
        <w:t>9. Diagram inventory</w:t>
      </w:r>
    </w:p>
    <w:p>
      <w:r>
        <w:t>Four diagrams were chosen to cover system structure, data structure, runtime flow, and algorithm logic — the four angles an evaluator needs to understand the project. Skipped: auth-flow sequence (too standard to need a diagram), use-case diagram (route list already covers this), separate ER diagram (folded into the class/schema diagram since MongoDB is document-based, not relational).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EEDFE"/>
          </w:tcPr>
          <w:p>
            <w:r>
              <w:rPr>
                <w:b/>
                <w:sz w:val="18"/>
              </w:rPr>
              <w:t>#</w:t>
            </w:r>
          </w:p>
        </w:tc>
        <w:tc>
          <w:tcPr>
            <w:tcW w:type="dxa" w:w="3312"/>
            <w:shd w:fill="EEEDFE"/>
          </w:tcPr>
          <w:p>
            <w:r>
              <w:rPr>
                <w:b/>
                <w:sz w:val="18"/>
              </w:rPr>
              <w:t>Diagram</w:t>
            </w:r>
          </w:p>
        </w:tc>
        <w:tc>
          <w:tcPr>
            <w:tcW w:type="dxa" w:w="3312"/>
            <w:shd w:fill="EEEDFE"/>
          </w:tcPr>
          <w:p>
            <w:r>
              <w:rPr>
                <w:b/>
                <w:sz w:val="18"/>
              </w:rPr>
              <w:t>Covers</w:t>
            </w:r>
          </w:p>
        </w:tc>
      </w:tr>
      <w:tr>
        <w:tc>
          <w:tcPr>
            <w:tcW w:type="dxa" w:w="3312"/>
            <w:vAlign w:val="center"/>
          </w:tcPr>
          <w:p>
            <w:r>
              <w:rPr>
                <w:sz w:val="17"/>
              </w:rPr>
              <w:t>1</w:t>
            </w:r>
          </w:p>
        </w:tc>
        <w:tc>
          <w:tcPr>
            <w:tcW w:type="dxa" w:w="3312"/>
            <w:vAlign w:val="center"/>
          </w:tcPr>
          <w:p>
            <w:r>
              <w:rPr>
                <w:sz w:val="17"/>
              </w:rPr>
              <w:t>System architecture</w:t>
            </w:r>
          </w:p>
        </w:tc>
        <w:tc>
          <w:tcPr>
            <w:tcW w:type="dxa" w:w="3312"/>
            <w:vAlign w:val="center"/>
          </w:tcPr>
          <w:p>
            <w:r>
              <w:rPr>
                <w:sz w:val="17"/>
              </w:rPr>
              <w:t>Frontend, backend, DB, matching engine, notifications, embedding model — component-level connections</w:t>
            </w:r>
          </w:p>
        </w:tc>
      </w:tr>
      <w:tr>
        <w:tc>
          <w:tcPr>
            <w:tcW w:type="dxa" w:w="3312"/>
            <w:vAlign w:val="center"/>
          </w:tcPr>
          <w:p>
            <w:r>
              <w:rPr>
                <w:sz w:val="17"/>
              </w:rPr>
              <w:t>2</w:t>
            </w:r>
          </w:p>
        </w:tc>
        <w:tc>
          <w:tcPr>
            <w:tcW w:type="dxa" w:w="3312"/>
            <w:vAlign w:val="center"/>
          </w:tcPr>
          <w:p>
            <w:r>
              <w:rPr>
                <w:sz w:val="17"/>
              </w:rPr>
              <w:t>Data model / schema</w:t>
            </w:r>
          </w:p>
        </w:tc>
        <w:tc>
          <w:tcPr>
            <w:tcW w:type="dxa" w:w="3312"/>
            <w:vAlign w:val="center"/>
          </w:tcPr>
          <w:p>
            <w:r>
              <w:rPr>
                <w:sz w:val="17"/>
              </w:rPr>
              <w:t>User, Client profile, Supplier profile, Match, Notification entities and fields</w:t>
            </w:r>
          </w:p>
        </w:tc>
      </w:tr>
      <w:tr>
        <w:tc>
          <w:tcPr>
            <w:tcW w:type="dxa" w:w="3312"/>
            <w:vAlign w:val="center"/>
          </w:tcPr>
          <w:p>
            <w:r>
              <w:rPr>
                <w:sz w:val="17"/>
              </w:rPr>
              <w:t>3</w:t>
            </w:r>
          </w:p>
        </w:tc>
        <w:tc>
          <w:tcPr>
            <w:tcW w:type="dxa" w:w="3312"/>
            <w:vAlign w:val="center"/>
          </w:tcPr>
          <w:p>
            <w:r>
              <w:rPr>
                <w:sz w:val="17"/>
              </w:rPr>
              <w:t>Submission → matching sequence</w:t>
            </w:r>
          </w:p>
        </w:tc>
        <w:tc>
          <w:tcPr>
            <w:tcW w:type="dxa" w:w="3312"/>
            <w:vAlign w:val="center"/>
          </w:tcPr>
          <w:p>
            <w:r>
              <w:rPr>
                <w:sz w:val="17"/>
              </w:rPr>
              <w:t>Exact runtime order of operations on a new submission</w:t>
            </w:r>
          </w:p>
        </w:tc>
      </w:tr>
      <w:tr>
        <w:tc>
          <w:tcPr>
            <w:tcW w:type="dxa" w:w="3312"/>
            <w:vAlign w:val="center"/>
          </w:tcPr>
          <w:p>
            <w:r>
              <w:rPr>
                <w:sz w:val="17"/>
              </w:rPr>
              <w:t>4</w:t>
            </w:r>
          </w:p>
        </w:tc>
        <w:tc>
          <w:tcPr>
            <w:tcW w:type="dxa" w:w="3312"/>
            <w:vAlign w:val="center"/>
          </w:tcPr>
          <w:p>
            <w:r>
              <w:rPr>
                <w:sz w:val="17"/>
              </w:rPr>
              <w:t>Matching algorithm flow</w:t>
            </w:r>
          </w:p>
        </w:tc>
        <w:tc>
          <w:tcPr>
            <w:tcW w:type="dxa" w:w="3312"/>
            <w:vAlign w:val="center"/>
          </w:tcPr>
          <w:p>
            <w:r>
              <w:rPr>
                <w:sz w:val="17"/>
              </w:rPr>
              <w:t>Category filter → 5 weighted sub-scores → weighted sum → threshold-gated notification</w:t>
            </w:r>
          </w:p>
        </w:tc>
      </w:tr>
    </w:tbl>
    <w:p/>
    <w:p>
      <w:r>
        <w:br w:type="page"/>
      </w:r>
    </w:p>
    <w:p>
      <w:pPr>
        <w:pStyle w:val="Heading1"/>
      </w:pPr>
      <w:r>
        <w:t>10. Build plan / timeline</w:t>
      </w:r>
    </w:p>
    <w:p>
      <w:pPr>
        <w:pStyle w:val="Heading2"/>
      </w:pPr>
      <w:r>
        <w:t>Day 1 (Mon) — Setup &amp; data layer</w:t>
      </w:r>
    </w:p>
    <w:p>
      <w:pPr>
        <w:pStyle w:val="ListBullet"/>
      </w:pPr>
      <w:r>
        <w:t>Scaffold FastAPI backend + MongoDB models</w:t>
      </w:r>
    </w:p>
    <w:p>
      <w:pPr>
        <w:pStyle w:val="ListBullet"/>
      </w:pPr>
      <w:r>
        <w:t>Scaffold React frontend with routing</w:t>
      </w:r>
    </w:p>
    <w:p>
      <w:pPr>
        <w:pStyle w:val="ListBullet"/>
      </w:pPr>
      <w:r>
        <w:t>Client + supplier forms with POST endpoints</w:t>
      </w:r>
    </w:p>
    <w:p>
      <w:pPr>
        <w:pStyle w:val="ListBullet"/>
      </w:pPr>
      <w:r>
        <w:t>Push initial repo structure to GitHub with README skeleton</w:t>
      </w:r>
    </w:p>
    <w:p>
      <w:pPr>
        <w:pStyle w:val="Heading2"/>
      </w:pPr>
      <w:r>
        <w:t>Day 2 (Tue) — AI matching engine</w:t>
      </w:r>
    </w:p>
    <w:p>
      <w:pPr>
        <w:pStyle w:val="ListBullet"/>
      </w:pPr>
      <w:r>
        <w:t>Install sentence-transformers, test embeddings on sample data</w:t>
      </w:r>
    </w:p>
    <w:p>
      <w:pPr>
        <w:pStyle w:val="ListBullet"/>
      </w:pPr>
      <w:r>
        <w:t>Semantic similarity + 4 rule-based sub-scores</w:t>
      </w:r>
    </w:p>
    <w:p>
      <w:pPr>
        <w:pStyle w:val="ListBullet"/>
      </w:pPr>
      <w:r>
        <w:t>Weighted final score, stored as Match documents</w:t>
      </w:r>
    </w:p>
    <w:p>
      <w:pPr>
        <w:pStyle w:val="ListBullet"/>
      </w:pPr>
      <w:r>
        <w:t>Auto-matching trigger on submission</w:t>
      </w:r>
    </w:p>
    <w:p>
      <w:pPr>
        <w:pStyle w:val="ListBullet"/>
      </w:pPr>
      <w:r>
        <w:t>In-app notification records above threshold</w:t>
      </w:r>
    </w:p>
    <w:p>
      <w:pPr>
        <w:pStyle w:val="Heading2"/>
      </w:pPr>
      <w:r>
        <w:t>Day 3 (Wed) — Dashboard, polish &amp; docs</w:t>
      </w:r>
    </w:p>
    <w:p>
      <w:pPr>
        <w:pStyle w:val="ListBullet"/>
      </w:pPr>
      <w:r>
        <w:t>Dashboard: client list, supplier list, match table with score badges + breakdown</w:t>
      </w:r>
    </w:p>
    <w:p>
      <w:pPr>
        <w:pStyle w:val="ListBullet"/>
      </w:pPr>
      <w:r>
        <w:t>Notification UI (badge/toast)</w:t>
      </w:r>
    </w:p>
    <w:p>
      <w:pPr>
        <w:pStyle w:val="ListBullet"/>
      </w:pPr>
      <w:r>
        <w:t>Docker — first task, 2-hour timebox (see 7.9)</w:t>
      </w:r>
    </w:p>
    <w:p>
      <w:pPr>
        <w:pStyle w:val="ListBullet"/>
      </w:pPr>
      <w:r>
        <w:t>Documentation: architecture, tech stack, AI approach, setup instructions</w:t>
      </w:r>
    </w:p>
    <w:p>
      <w:pPr>
        <w:pStyle w:val="ListBullet"/>
      </w:pPr>
      <w:r>
        <w:t>End-to-end testing</w:t>
      </w:r>
    </w:p>
    <w:p>
      <w:pPr>
        <w:pStyle w:val="Heading2"/>
      </w:pPr>
      <w:r>
        <w:t>Day 4 (Thu, before 4 PM) — Buffer &amp; submission</w:t>
      </w:r>
    </w:p>
    <w:p>
      <w:pPr>
        <w:pStyle w:val="ListBullet"/>
      </w:pPr>
      <w:r>
        <w:t>Clean-environment smoke test (fresh clone, follow own setup instructions)</w:t>
      </w:r>
    </w:p>
    <w:p>
      <w:pPr>
        <w:pStyle w:val="ListBullet"/>
      </w:pPr>
      <w:r>
        <w:t>Screenshots / short demo walkthrough in README</w:t>
      </w:r>
    </w:p>
    <w:p>
      <w:pPr>
        <w:pStyle w:val="ListBullet"/>
      </w:pPr>
      <w:r>
        <w:t>Submit well before deadline</w:t>
      </w:r>
    </w:p>
    <w:p/>
    <w:p>
      <w:r>
        <w:rPr>
          <w:i/>
          <w:color w:val="5F5E59"/>
          <w:sz w:val="18"/>
        </w:rPr>
        <w:t>End of reference document. This should be treated as the source of truth for all scoping decisions — if something in the actual build diverges from this document, update this document rather than letting them drift apart.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Wisdom Group AI Intern Evaluation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524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542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542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524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