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36"/>
          <w:szCs w:val="36"/>
        </w:rPr>
        <w:t xml:space="preserve">Tour and Travel Agency Operations System</w:t>
      </w:r>
    </w:p>
    <w:p>
      <w:pPr>
        <w:pStyle w:val="Heading2"/>
      </w:pPr>
      <w:r>
        <w:rPr>
          <w:rFonts w:ascii="Arial" w:cs="Arial" w:eastAsia="Arial" w:hAnsi="Arial"/>
          <w:b/>
          <w:bCs/>
          <w:color w:val="2E75B6"/>
          <w:sz w:val="26"/>
          <w:szCs w:val="26"/>
        </w:rPr>
        <w:t xml:space="preserve">Non-Functional Requirements — Master Reference v1</w:t>
      </w:r>
    </w:p>
    <w:p>
      <w:pPr>
        <w:spacing w:after="200" w:before="100"/>
      </w:pPr>
      <w:r>
        <w:rPr>
          <w:rFonts w:ascii="Arial" w:cs="Arial" w:eastAsia="Arial" w:hAnsi="Arial"/>
          <w:color w:val="404040"/>
          <w:sz w:val="18"/>
          <w:szCs w:val="18"/>
        </w:rPr>
        <w:t xml:space="preserve">This document contains the complete revised set of non-functional requirements for the Tour and Travel Agency Operations System. Requirements have been reorganized by category, revised for testability, and expanded to cover gaps identified during the project audit. Each requirement includes a concrete metric or test method to ensure verifiability. Requirements that were identified as functional in nature have been removed from this list and captured in the Functional Requirements Master Reference.</w:t>
      </w:r>
    </w:p>
    <w:p>
      <w:pPr>
        <w:spacing w:after="300" w:before="100"/>
      </w:pPr>
      <w:r>
        <w:rPr>
          <w:rFonts w:ascii="Arial" w:cs="Arial" w:eastAsia="Arial" w:hAnsi="Arial"/>
          <w:b/>
          <w:bCs/>
          <w:sz w:val="20"/>
          <w:szCs w:val="20"/>
        </w:rPr>
        <w:t xml:space="preserve">Total Requirements: </w:t>
      </w:r>
      <w:r>
        <w:rPr>
          <w:rFonts w:ascii="Arial" w:cs="Arial" w:eastAsia="Arial" w:hAnsi="Arial"/>
          <w:sz w:val="20"/>
          <w:szCs w:val="20"/>
        </w:rPr>
        <w:t xml:space="preserve">16  |  </w:t>
      </w:r>
      <w:r>
        <w:rPr>
          <w:rFonts w:ascii="Arial" w:cs="Arial" w:eastAsia="Arial" w:hAnsi="Arial"/>
          <w:b/>
          <w:bCs/>
          <w:sz w:val="20"/>
          <w:szCs w:val="20"/>
        </w:rPr>
        <w:t xml:space="preserve">Categories: </w:t>
      </w:r>
      <w:r>
        <w:rPr>
          <w:rFonts w:ascii="Arial" w:cs="Arial" w:eastAsia="Arial" w:hAnsi="Arial"/>
          <w:sz w:val="20"/>
          <w:szCs w:val="20"/>
        </w:rPr>
        <w:t xml:space="preserve">6  |  </w:t>
      </w:r>
      <w:r>
        <w:rPr>
          <w:rFonts w:ascii="Arial" w:cs="Arial" w:eastAsia="Arial" w:hAnsi="Arial"/>
          <w:b/>
          <w:bCs/>
          <w:sz w:val="20"/>
          <w:szCs w:val="20"/>
        </w:rPr>
        <w:t xml:space="preserve">Version: </w:t>
      </w:r>
      <w:r>
        <w:rPr>
          <w:rFonts w:ascii="Arial" w:cs="Arial" w:eastAsia="Arial" w:hAnsi="Arial"/>
          <w:sz w:val="20"/>
          <w:szCs w:val="20"/>
        </w:rPr>
        <w:t xml:space="preserve">1.0 (Revised &amp; Expanded)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426"/>
        <w:gridCol w:w="1200"/>
        <w:gridCol w:w="1500"/>
        <w:gridCol w:w="10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Non-Functional 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 / Test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26"/>
            <w:gridSpan w:val="5"/>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Performance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NFR-01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support a minimum of 500 concurrent users under normal operating conditions, and shall remain stable under peak loads of up to 1,000 concurrent users without exceeding the response time threshold defined in NFR-02.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Performance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Load test at 500 and 1,000 concurrent users; response time must remain within 2 seconds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Scalability for agency operations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NFR-02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respond to common user actions within 2 seconds under normal load conditions.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Performance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Measured via response time testing under normal load; 95% of requests must complete within 2 seconds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Responsiveness and usability</w:t>
            </w:r>
          </w:p>
        </w:tc>
      </w:tr>
      <w:tr>
        <w:tc>
          <w:tcPr>
            <w:tcW w:type="dxa" w:w="9026"/>
            <w:gridSpan w:val="5"/>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Security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NFR-03</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protect authentication credentials, sensitive customer data, and financial records through industry-standard encryption for data in transit and at rest, ensuring no user can access data beyond their assigned role and permissions.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via security audit; all data transmissions use TLS; stored sensitive data is encrypted at rest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Data protection and privacy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NFR-04</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enforce role-based access control, ensuring that each user type can only access the functions and data appropriate to their assigned role.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by access testing per role; unauthorized access attempts must return access denied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Access control and authorization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NFR-05</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Audit log entries shall not be editable or deletable by any user, including administrators, ensuring a tamper-proof record of all significant system 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by attempting edit and delete operations on log entries across all roles; all attempts must fail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Tamper-proof audit trail</w:t>
            </w:r>
          </w:p>
        </w:tc>
      </w:tr>
      <w:tr>
        <w:tc>
          <w:tcPr>
            <w:tcW w:type="dxa" w:w="9026"/>
            <w:gridSpan w:val="5"/>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Availability &amp; Reliability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NFR-06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maintain at least 99% availability during business hours, with planned maintenance scheduled outside of peak operational periods.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Availability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Measured via uptime monitoring; maximum allowable downtime during business hours is 1.68 hours per week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Operational continuity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NFR-07</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maintain consistency across all interrelated records including booking status, payment status, package capacity, traveler information, and financial adjustments, such that a booking confirmation always triggers a corresponding capacity update and payment status record within the same operation.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Reliability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via integration testing; no booking confirmation may exist without a matching capacity and payment record update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Data integrity across modules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NFR-08</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perform automated backups of all operational data at least once every 24 hours, and shall be capable of restoring to the most recent backup state within 4 hours of a system 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Reliability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via backup logs and recovery drill; restoration must complete within 4 hours of initiated recovery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Business continuity and disaster recovery</w:t>
            </w:r>
          </w:p>
        </w:tc>
      </w:tr>
      <w:tr>
        <w:tc>
          <w:tcPr>
            <w:tcW w:type="dxa" w:w="9026"/>
            <w:gridSpan w:val="5"/>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Usability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NFR-09</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 first-time user shall be able to complete a standard booking workflow without formal training and within 10 minutes of their first interaction with the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Usability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via usability testing with first-time users; 80% must complete the booking workflow within 10 minutes unaided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Ease of use for customers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NFR-10</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display a confirmation or error message within 2 seconds of every user-initiated action, covering success, failure, and validation states.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Usability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via functional testing; every action must produce a visible feedback message within 2 seconds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User clarity and feedback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NFR-11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All system modules shall use the same navigation structure, button placement conventions, and terminology, ensuring a consistent interface experience across the entire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Usability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via UI review against interface style guide; deviations in navigation or terminology constitute a defect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Interface consistency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NFR-12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support display of interface content in the user's preferred language or detected device language, with English as the default language.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Usability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by switching device language settings; interface must reflect the selected language within one page load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Localization and accessibility</w:t>
            </w:r>
          </w:p>
        </w:tc>
      </w:tr>
      <w:tr>
        <w:tc>
          <w:tcPr>
            <w:tcW w:type="dxa" w:w="9026"/>
            <w:gridSpan w:val="5"/>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Compliance &amp; Legal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NFR-13</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comply with applicable legal and regulatory requirements including GDPR or equivalent data privacy legislation, financial record-keeping regulations applicable to travel agencies, and consumer protection laws relevant to the operating jurisdiction.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Compliance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via compliance review against applicable legislation; data handling practices must be documented and auditable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Legal alignment and risk management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NFR-14</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retain booking records and financial data for a minimum of 7 years, and uploaded customer documents for a minimum of 2 years following trip completion, after which records may be archived or purged according to a defined retention policy.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Compliance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via data retention audit; records must remain retrievable for the defined minimum periods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Legal record-keeping obligations</w:t>
            </w:r>
          </w:p>
        </w:tc>
      </w:tr>
      <w:tr>
        <w:tc>
          <w:tcPr>
            <w:tcW w:type="dxa" w:w="9026"/>
            <w:gridSpan w:val="5"/>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Constraints &amp; Extensibility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NFR-15</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system shall enforce file size and format constraints on customer document uploads, accepting only PDF, JPEG, and PNG formats with a maximum file size of 10MB per uploaded document.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Constraint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via upload testing; files exceeding 10MB or outside accepted formats must be rejected with a clear error message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Storage management and compatibility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NFR-16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New integration modules shall be addable to the system without modifying existing core system components, supporting future integration with external services such as payment gateways, partner booking platforms, and government travel advisory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Extensibility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Verified via architectural review; addition of a new integration module must not require changes to existing core modules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Future-proofing and scalability</w:t>
            </w:r>
          </w:p>
        </w:tc>
      </w:tr>
    </w:tbl>
    <w:p>
      <w:pPr>
        <w:spacing w:after="100" w:before="300"/>
      </w:pPr>
      <w:r>
        <w:rPr>
          <w:rFonts w:ascii="Arial" w:cs="Arial" w:eastAsia="Arial" w:hAnsi="Arial"/>
          <w:b/>
          <w:bCs/>
          <w:sz w:val="18"/>
          <w:szCs w:val="18"/>
        </w:rPr>
        <w:t xml:space="preserve">Note: </w:t>
      </w:r>
      <w:r>
        <w:rPr>
          <w:rFonts w:ascii="Arial" w:cs="Arial" w:eastAsia="Arial" w:hAnsi="Arial"/>
          <w:color w:val="404040"/>
          <w:sz w:val="18"/>
          <w:szCs w:val="18"/>
        </w:rPr>
        <w:t xml:space="preserve">NFR-05 (logging) was reclassified as a functional requirement and is now captured as FR-51 in the Functional Requirements Master Reference. NFR-11 (professional language) was removed as untestable and reclassified as a design guideline. NFR-13 (internet access) was removed as an implied deployment assumption rather than a verifiable requirement.</w:t>
      </w:r>
    </w:p>
    <w:sectPr>
      <w:pgSz w:w="11906" w:h="16838" w:orient="portrait"/>
      <w:pgMar w:top="1440" w:right="1000" w:bottom="144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2026-04-25T21:17:48.964Z</dcterms:created>
  <dcterms:modified xsi:type="dcterms:W3CDTF">2026-04-25T21:17:48.964Z</dcterms:modified>
</cp:coreProperties>
</file>

<file path=docProps/custom.xml><?xml version="1.0" encoding="utf-8"?>
<Properties xmlns="http://schemas.openxmlformats.org/officeDocument/2006/custom-properties" xmlns:vt="http://schemas.openxmlformats.org/officeDocument/2006/docPropsVTypes"/>
</file>