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VASCULITI DEI GRANDI E MEDI VASI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Guida pratica alla diagnosi istologica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per giovani specialisti di Anatomia Patologica</w:t>
      </w:r>
    </w:p>
    <w:p>
      <w:pPr>
        <w:pBdr>
          <w:top w:val="single" w:color="2E75B6" w:sz="6" w:space="4"/>
        </w:pBdr>
        <w:spacing w:before="48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Anatomia Patologica — uso interno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Versione 1.0 —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Premessa: perché le vasculiti fanno paura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vasculiti dei grandi e medi vasi sono patologie rare, ma quando arrivano sul tuo tavolo spesso arrivano con una diagnosi clinica già scritta: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GCA</w:t>
      </w:r>
      <w:r>
        <w:rPr>
          <w:rFonts w:ascii="Arial" w:cs="Arial" w:eastAsia="Arial" w:hAnsi="Arial"/>
          <w:sz w:val="22"/>
          <w:szCs w:val="22"/>
        </w:rPr>
        <w:t xml:space="preserve">. Il problema è che quella diagnosi è sbagliata nel 20-40% dei casi in cui viene formulata, e tu sei l'ultimo filtro prima che il paziente prenda mesi di alte dosi di steroidi — o, peggio, non li prenda quando dovrebbe.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Questo bigino non sostituisce un testo di patologia, ma ti dà gli strumenti per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non farti sorprendere</w:t>
      </w:r>
      <w:r>
        <w:rPr>
          <w:rFonts w:ascii="Arial" w:cs="Arial" w:eastAsia="Arial" w:hAnsi="Arial"/>
          <w:sz w:val="22"/>
          <w:szCs w:val="22"/>
        </w:rPr>
        <w:t xml:space="preserve"> davanti al microscopio. Il principio di base è semplice: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leggi il vetrino con occhio aperto, non confermare quello che il clinico si aspetta.</w:t>
      </w:r>
    </w:p>
    <w:p>
      <w:pPr>
        <w:spacing w:before="60" w:after="60"/>
      </w:pPr>
      <w:r>
        <w:t xml:space="preserve"/>
      </w:r>
    </w:p>
    <w:p>
      <w:pPr>
        <w:pBdr>
          <w:left w:val="single" w:color="C00000" w:sz="12" w:space="4"/>
        </w:pBdr>
        <w:shd w:fill="FCE4D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⚡ Attenzione: </w:t>
      </w:r>
      <w:r>
        <w:rPr>
          <w:rFonts w:ascii="Arial" w:cs="Arial" w:eastAsia="Arial" w:hAnsi="Arial"/>
          <w:color w:val="C00000"/>
          <w:sz w:val="21"/>
          <w:szCs w:val="21"/>
        </w:rPr>
        <w:t xml:space="preserve">Il referto di una biopsia temporale negativa non esclude GCA. Il referto positivo non significa automaticamente GCA. Il contesto morfologico è tutto.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Classificazione rapida: di cosa stiamo parlando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vasculiti si classificano per calibro del vaso colpito secondo la Nomenclatura di Chapel Hill (2012). Qui ci occupiamo delle prime due categorie.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438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Entità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Vaso bersaglio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Età tipica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Biopsia utile?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GCA (Horton)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Aorta, rami cefalici, a. temporale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 aa, picco 70-80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— a. temporale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Arterite di Takayasu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Aorta e rami principali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&lt;40 aa, F&gt;&gt;M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Rara (aorta intra-op)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(poliarterite nodosa)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Arterie muscolari medie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40-60 aa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— vari distretti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Vasculiti ANCA-associate (GPA, EGPA, MPA)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Piccoli vasi ± medi vasi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— rene, polmone, altri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Vasculite IgG4-correlata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Aorta, grandi vasi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50-70 aa, M&gt;F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— aorta, altri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FD700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⚠ Nota: </w:t>
      </w:r>
      <w:r>
        <w:rPr>
          <w:rFonts w:ascii="Arial" w:cs="Arial" w:eastAsia="Arial" w:hAnsi="Arial"/>
          <w:i/>
          <w:iCs/>
          <w:color w:val="7F6000"/>
          <w:sz w:val="21"/>
          <w:szCs w:val="21"/>
        </w:rPr>
        <w:t xml:space="preserve">GPA = granulomatosi con poliangite (ex Wegener); EGPA = granulomatosi eosinofilica con poliangite (ex Churg-Strauss); MPA = poliangite microscopica.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Arterite a cellule giganti (GCA)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Il campione — prima ancora di guardare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 di aprire il cassetto, chiediti se il campione è adeguato. Una biopsia inadeguata refertata come negativa è un falso negativo istituzionale.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Lunghezza minima: </w:t>
      </w:r>
      <w:r>
        <w:rPr>
          <w:rFonts w:ascii="Arial" w:cs="Arial" w:eastAsia="Arial" w:hAnsi="Arial"/>
          <w:sz w:val="22"/>
          <w:szCs w:val="22"/>
        </w:rPr>
        <w:t xml:space="preserve">≥5 mm per refertare, ottimale 10-20 mm. Sotto i 5 mm senza struttura riconoscibile: non valutabile.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Sezioni seriali: </w:t>
      </w:r>
      <w:r>
        <w:rPr>
          <w:rFonts w:ascii="Arial" w:cs="Arial" w:eastAsia="Arial" w:hAnsi="Arial"/>
          <w:sz w:val="22"/>
          <w:szCs w:val="22"/>
        </w:rPr>
        <w:t xml:space="preserve">minimo 6, ottimale ≥10. Le skip lesions saltano in media ogni 3-5 mm.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Colorazione elastica obbligatoria: </w:t>
      </w:r>
      <w:r>
        <w:rPr>
          <w:rFonts w:ascii="Arial" w:cs="Arial" w:eastAsia="Arial" w:hAnsi="Arial"/>
          <w:sz w:val="22"/>
          <w:szCs w:val="22"/>
        </w:rPr>
        <w:t xml:space="preserve">Verhoeff-Van Gieson o equivalente. Senza elastica stai guardando metà vetrino.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Struttura riconoscibile: </w:t>
      </w:r>
      <w:r>
        <w:rPr>
          <w:rFonts w:ascii="Arial" w:cs="Arial" w:eastAsia="Arial" w:hAnsi="Arial"/>
          <w:sz w:val="22"/>
          <w:szCs w:val="22"/>
        </w:rPr>
        <w:t xml:space="preserve">intima-media-avventizia devono essere identificabili. Se non lo sono, descrivi cosa vedi ma avverti il clinico.</w:t>
      </w:r>
    </w:p>
    <w:p>
      <w:pPr>
        <w:spacing w:before="60" w:after="60"/>
      </w:pPr>
      <w:r>
        <w:t xml:space="preserve"/>
      </w:r>
    </w:p>
    <w:p>
      <w:pPr>
        <w:pBdr>
          <w:left w:val="single" w:color="C00000" w:sz="12" w:space="4"/>
        </w:pBdr>
        <w:shd w:fill="FCE4D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⚡ Attenzione: </w:t>
      </w:r>
      <w:r>
        <w:rPr>
          <w:rFonts w:ascii="Arial" w:cs="Arial" w:eastAsia="Arial" w:hAnsi="Arial"/>
          <w:color w:val="C00000"/>
          <w:sz w:val="21"/>
          <w:szCs w:val="21"/>
        </w:rPr>
        <w:t xml:space="preserve">Campione adeguato ma referto negativo NON esclude GCA. Le skip lesions si trovano nel 10-15% dei casi. Se il sospetto clinico è alto, raccomanda biopsia controlaterale o eco-Doppler.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Cosa cercare — morfologia H&amp;E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 la parete a partire dalla giunzione intima-media, non dall'avventizia. È lì che succede tutto.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Reperti maggiori (alta specificità)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Cellule giganti multinucleate: </w:t>
      </w:r>
      <w:r>
        <w:rPr>
          <w:rFonts w:ascii="Arial" w:cs="Arial" w:eastAsia="Arial" w:hAnsi="Arial"/>
          <w:sz w:val="22"/>
          <w:szCs w:val="22"/>
        </w:rPr>
        <w:t xml:space="preserve">il reperto più specifico. Si trovano alla giunzione intima-media, spesso a contatto diretto con la lamina elastica interna. Possono essere di tipo Langhans (nuclei a ferro di cavallo) o a corpo estraneo. Anche poche cellule giganti in un contesto infiammatorio sono diagnostiche.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Infiammazione granulomatosa organizzata: </w:t>
      </w:r>
      <w:r>
        <w:rPr>
          <w:rFonts w:ascii="Arial" w:cs="Arial" w:eastAsia="Arial" w:hAnsi="Arial"/>
          <w:sz w:val="22"/>
          <w:szCs w:val="22"/>
        </w:rPr>
        <w:t xml:space="preserve">aggregati macrofagici ben formati centrati sulla lamina elastica interna, con distruzione elastica attiva. Non è sufficiente un semplice infiltrato macrofagico diffuso: serve la focalità sulla IEL.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Frammentazione elastica diffusa (&gt;30%): </w:t>
      </w:r>
      <w:r>
        <w:rPr>
          <w:rFonts w:ascii="Arial" w:cs="Arial" w:eastAsia="Arial" w:hAnsi="Arial"/>
          <w:sz w:val="22"/>
          <w:szCs w:val="22"/>
        </w:rPr>
        <w:t xml:space="preserve">valida solo se accompagnata da infiltrato infiammatorio attivo. In assenza di infiammazione è semplicemente invecchiamento arteriosclerotico.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Infiammazione transmurale: </w:t>
      </w:r>
      <w:r>
        <w:rPr>
          <w:rFonts w:ascii="Arial" w:cs="Arial" w:eastAsia="Arial" w:hAnsi="Arial"/>
          <w:sz w:val="22"/>
          <w:szCs w:val="22"/>
        </w:rPr>
        <w:t xml:space="preserve">infiltrato che coinvolge tutti e tre gli strati. Presente in GCA ma non specifico: si vede anche in PAN tardiva, vasculiti ANCA, IgG4.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Reperti minori (aumentano la sensibilità)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Infiltrato linfocitario medio-intimale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Ispessimento intimale concentrico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Infiammazione avventiziale/periavventiziale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Neovascolarizzazione della parete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Frammentazione elastica focale (&lt;30%) con infiammazione associata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Reperto atipico — red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Eosinofili intraparietali significativi: </w:t>
      </w:r>
      <w:r>
        <w:rPr>
          <w:rFonts w:ascii="Arial" w:cs="Arial" w:eastAsia="Arial" w:hAnsi="Arial"/>
          <w:sz w:val="22"/>
          <w:szCs w:val="22"/>
        </w:rPr>
        <w:t xml:space="preserve">reperto atipico per GCA. Se li vedi, fermati. Considera EGPA, vasculite ANCA-eosinofilica, o reazione avventiziale aspecifica (farmaci, parassitosi). Chiedi gli ANCA con differenziazione MPO/PR3 e la conta degli eosinofili periferici.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Cellule linfoidi atipiche intravascolari: </w:t>
      </w:r>
      <w:r>
        <w:rPr>
          <w:rFonts w:ascii="Arial" w:cs="Arial" w:eastAsia="Arial" w:hAnsi="Arial"/>
          <w:sz w:val="22"/>
          <w:szCs w:val="22"/>
        </w:rPr>
        <w:t xml:space="preserve">anche poche cellule con nucleo irregolare/ipercromico nei lumi vascolari o nei vasa vasorum dell'avventizia devono fermarti. Escludere linfoma intravascolare — IHC urgente: CD20, CD3, MUM1, Ki67.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Granulomi con necrosi centrale: </w:t>
      </w:r>
      <w:r>
        <w:rPr>
          <w:rFonts w:ascii="Arial" w:cs="Arial" w:eastAsia="Arial" w:hAnsi="Arial"/>
          <w:sz w:val="22"/>
          <w:szCs w:val="22"/>
        </w:rPr>
        <w:t xml:space="preserve">eccezionale in GCA. La necrosi caseosa/fibrinoide al centro di un granuloma deve farti pensare a TBC o micosi. Esegui ZN, PAS, GMS. Chiedi colture su tessuto fresco se disponibile.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IHC — quando e cosa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GCA si diagnostica morfologicamente. L'IHC è un supplemento, non una scorciatoia.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38"/>
        <w:gridCol w:w="3000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GCA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chiederlo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Interpretazione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CD68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Positivo macrofagi/CG — media e intima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Quasi sempre — identifica infiltrato macrofagico anche in assenza di CG evidenti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Sensibile (94% GCA confermate) ma non specifico. Valuta la distribuzione, non solo la positività.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Predominante nella media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Casi borderline, biopsia sotto steroidi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GCA il pattern è CD4+ in media, CD8+ in avventizia. Il rapporto CD4/CD8 &gt;2:1 nella media supporta GCA.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Predominante in avventizia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Insieme a CD4 per distribuzione compartimentale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Utile per la DD con altre vasculiti che non mostrano questa segregazione.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Scarso/assente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Sospetto IgG4, vasculite ANCA, linfoma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abbondante: riconsiderare la diagnosi di GCA.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CD20+CD3+MUM1+Ki67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linfoidi atipiche intravascolari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URGENTE — escludere linfoma intravascolare.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La biopsia sotto steroidi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clinico spesso inizia il cortisone prima della biopsia — è corretto farlo per proteggere il visus. Ma tu devi saperlo.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Entro 3 giorni: </w:t>
      </w:r>
      <w:r>
        <w:rPr>
          <w:rFonts w:ascii="Arial" w:cs="Arial" w:eastAsia="Arial" w:hAnsi="Arial"/>
          <w:sz w:val="22"/>
          <w:szCs w:val="22"/>
        </w:rPr>
        <w:t xml:space="preserve">morfologia ancora ben valutabile nella maggior parte dei casi.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3-7 giorni: </w:t>
      </w:r>
      <w:r>
        <w:rPr>
          <w:rFonts w:ascii="Arial" w:cs="Arial" w:eastAsia="Arial" w:hAnsi="Arial"/>
          <w:sz w:val="22"/>
          <w:szCs w:val="22"/>
        </w:rPr>
        <w:t xml:space="preserve">riduzione progressiva delle cellule giganti, infiltrato che si rarefà. Presta più attenzione alla frammentazione elastica e ai linfociti residui.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Oltre 14 giorni: </w:t>
      </w:r>
      <w:r>
        <w:rPr>
          <w:rFonts w:ascii="Arial" w:cs="Arial" w:eastAsia="Arial" w:hAnsi="Arial"/>
          <w:sz w:val="22"/>
          <w:szCs w:val="22"/>
        </w:rPr>
        <w:t xml:space="preserve">sensibilità istologica sostanzialmente ridotta. Un referto negativo a questo punto ha poco valore predittivo.</w:t>
      </w:r>
    </w:p>
    <w:p>
      <w:pPr>
        <w:spacing w:before="60" w:after="60"/>
      </w:pPr>
      <w:r>
        <w:t xml:space="preserve"/>
      </w:r>
    </w:p>
    <w:p>
      <w:pPr>
        <w:pBdr>
          <w:left w:val="single" w:color="FFD700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⚠ Nota: </w:t>
      </w:r>
      <w:r>
        <w:rPr>
          <w:rFonts w:ascii="Arial" w:cs="Arial" w:eastAsia="Arial" w:hAnsi="Arial"/>
          <w:i/>
          <w:iCs/>
          <w:color w:val="7F6000"/>
          <w:sz w:val="21"/>
          <w:szCs w:val="21"/>
        </w:rPr>
        <w:t xml:space="preserve">Sotto steroidi la distribuzione CD4/CD8 è più resistente alla terapia rispetto alla presenza di cellule giganti. In casi dubbi con biopsia tardiva, l'IHC compartimentale può compensare parzialmente.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Arterite di Takayasu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L'arterite di Takayasu raramente arriva in biopsia temporale — ti capiterà su materiale aortico intraoperatorio o su explant. Morfologicamente è quasi identica alla GCA, e questo è esattamente il problema.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Come distinguerla da GCA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Takayasu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 anni, picco 70-80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&lt;40 anni (raramente oltre)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F&gt;M (3:1)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F&gt;&gt;M (9:1)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Vasi colpiti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temporale, rami cefalici, aorta (25%)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Aorta e rami principali (succlavia, carotide, renali)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giganti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Frequenti (60-80% dei casi)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Frequenti — morfologicamente identiche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Necrosi granulomi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Eccezionale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Eccezionale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Fibrosi avventiziale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Spesso marcata con obliterazione dei vasa vasorum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Diagnosi differenziale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 pratica: età e distretto anatomico sono i discriminanti principali. La morfologia da sola non distingue.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 pratica: età e distretto anatomico sono i discriminanti principali. La morfologia da sola non distingue.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00000" w:sz="12" w:space="4"/>
        </w:pBdr>
        <w:shd w:fill="FCE4D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⚡ Attenzione: </w:t>
      </w:r>
      <w:r>
        <w:rPr>
          <w:rFonts w:ascii="Arial" w:cs="Arial" w:eastAsia="Arial" w:hAnsi="Arial"/>
          <w:color w:val="C00000"/>
          <w:sz w:val="21"/>
          <w:szCs w:val="21"/>
        </w:rPr>
        <w:t xml:space="preserve">Se ti arriva una biopsia di aorta con granulomi e cellule giganti in una donna di 30 anni: è Takayasu fino a prova contraria, non GCA. Il contesto clinico è imprescindibile.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Poliarterite nodosa (PAN)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PAN è una vasculite necrotizzante delle arterie muscolari di medio calibro, senza coinvolgimento dei capillari e delle venule — questo la distingue formalmente dalle vasculiti ANCA-associate.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Morfologia caratteristica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Necrosi fibrinoide della parete: </w:t>
      </w:r>
      <w:r>
        <w:rPr>
          <w:rFonts w:ascii="Arial" w:cs="Arial" w:eastAsia="Arial" w:hAnsi="Arial"/>
          <w:sz w:val="22"/>
          <w:szCs w:val="22"/>
        </w:rPr>
        <w:t xml:space="preserve">il reperto più caratteristico. Materiale eosinofilo amorfo che sostituisce i normali strati della parete — spesso segmentale e asimmetrico.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Infiammazione transmurale mista: </w:t>
      </w:r>
      <w:r>
        <w:rPr>
          <w:rFonts w:ascii="Arial" w:cs="Arial" w:eastAsia="Arial" w:hAnsi="Arial"/>
          <w:sz w:val="22"/>
          <w:szCs w:val="22"/>
        </w:rPr>
        <w:t xml:space="preserve">polimorfonucleati nella fase acuta (aspetto leucocitoclastico), linfociti nella fase cronica. L'eterogeneità temporale delle lesioni — lesioni acute, subacute e croniche nello stesso campione — è molto suggestiva di PAN.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Coinvolgimento segmentale: </w:t>
      </w:r>
      <w:r>
        <w:rPr>
          <w:rFonts w:ascii="Arial" w:cs="Arial" w:eastAsia="Arial" w:hAnsi="Arial"/>
          <w:sz w:val="22"/>
          <w:szCs w:val="22"/>
        </w:rPr>
        <w:t xml:space="preserve">non tutta la circonferenza è colpita. Cerca le zone di transizione tra parete normale e parete necrotica.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Aneurismi microvascolari: </w:t>
      </w:r>
      <w:r>
        <w:rPr>
          <w:rFonts w:ascii="Arial" w:cs="Arial" w:eastAsia="Arial" w:hAnsi="Arial"/>
          <w:sz w:val="22"/>
          <w:szCs w:val="22"/>
        </w:rPr>
        <w:t xml:space="preserve">conseguenza della distruzione parietale. Visibili come saccature irregolari.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Assenza di granulomi: </w:t>
      </w:r>
      <w:r>
        <w:rPr>
          <w:rFonts w:ascii="Arial" w:cs="Arial" w:eastAsia="Arial" w:hAnsi="Arial"/>
          <w:sz w:val="22"/>
          <w:szCs w:val="22"/>
        </w:rPr>
        <w:t xml:space="preserve">se ci sono granulomi ben formati, ripensa alla diagnosi. PAN classica non è granulomatosa.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Dove arriva la biopsia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 è sistemica ma colpisce preferenzialmente rene, fegato, cute, nervi periferici, e muscolo. La biopsia di nervo-muscolo (bioptato combinato) è spesso il campione più informativo nei casi dubbi.</w:t>
      </w:r>
    </w:p>
    <w:p>
      <w:pPr>
        <w:spacing w:before="60" w:after="60"/>
      </w:pPr>
      <w:r>
        <w:t xml:space="preserve"/>
      </w:r>
    </w:p>
    <w:p>
      <w:pPr>
        <w:pBdr>
          <w:left w:val="single" w:color="FFD700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⚠ Nota: </w:t>
      </w:r>
      <w:r>
        <w:rPr>
          <w:rFonts w:ascii="Arial" w:cs="Arial" w:eastAsia="Arial" w:hAnsi="Arial"/>
          <w:i/>
          <w:iCs/>
          <w:color w:val="7F6000"/>
          <w:sz w:val="21"/>
          <w:szCs w:val="21"/>
        </w:rPr>
        <w:t xml:space="preserve">PAN classica è ANCA-negativa per definizione. Se ANCA sono positivi, stai probabilmente guardando MPA (poliangite microscopica) — che ha morfologia simile ma coinvolge anche i piccoli vasi e i capillari glomerulari.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Vasculiti ANCA-associate (AAV)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tre entità principali — GPA, EGPA, MPA — condividono la positività sierologica per ANCA ma hanno morfologia distinta. Sul vetrino questo si traduce in tre quadri diversi che non dovresti confondere.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GPA (Granulomatosi con Poliangite, ex Wegener)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Granulomi necrotizzanti: </w:t>
      </w:r>
      <w:r>
        <w:rPr>
          <w:rFonts w:ascii="Arial" w:cs="Arial" w:eastAsia="Arial" w:hAnsi="Arial"/>
          <w:sz w:val="22"/>
          <w:szCs w:val="22"/>
        </w:rPr>
        <w:t xml:space="preserve">necrosi geografica con bordi mal definiti, spesso descritta come 'basofila' o 'sporcizia geografica'. Circondata da palizzata di macrofagi e cellule giganti.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Vasculite dei piccoli vasi sovrapposta: </w:t>
      </w:r>
      <w:r>
        <w:rPr>
          <w:rFonts w:ascii="Arial" w:cs="Arial" w:eastAsia="Arial" w:hAnsi="Arial"/>
          <w:sz w:val="22"/>
          <w:szCs w:val="22"/>
        </w:rPr>
        <w:t xml:space="preserve">nelle aree necrotiche si trovano vasi con necrosi fibrinoide e infiltrato neutrofilo.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Infiltrato misto: </w:t>
      </w:r>
      <w:r>
        <w:rPr>
          <w:rFonts w:ascii="Arial" w:cs="Arial" w:eastAsia="Arial" w:hAnsi="Arial"/>
          <w:sz w:val="22"/>
          <w:szCs w:val="22"/>
        </w:rPr>
        <w:t xml:space="preserve">neutrofili, macrofagi, linfociti, plasmacellule. I neutrofili in granulomi non necrotizzanti devono sempre farti pensare a GPA.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Distretto tipico: </w:t>
      </w:r>
      <w:r>
        <w:rPr>
          <w:rFonts w:ascii="Arial" w:cs="Arial" w:eastAsia="Arial" w:hAnsi="Arial"/>
          <w:sz w:val="22"/>
          <w:szCs w:val="22"/>
        </w:rPr>
        <w:t xml:space="preserve">vie aeree superiori e inferiori, rene. La biopsia nasale o bronchiale è spesso più informativa della renale nelle fasi iniziali.</w:t>
      </w:r>
    </w:p>
    <w:p>
      <w:pPr>
        <w:spacing w:before="60" w:after="60"/>
      </w:pPr>
      <w:r>
        <w:t xml:space="preserve"/>
      </w:r>
    </w:p>
    <w:p>
      <w:pPr>
        <w:pBdr>
          <w:left w:val="single" w:color="FFD700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⚠ Nota: </w:t>
      </w:r>
      <w:r>
        <w:rPr>
          <w:rFonts w:ascii="Arial" w:cs="Arial" w:eastAsia="Arial" w:hAnsi="Arial"/>
          <w:i/>
          <w:iCs/>
          <w:color w:val="7F6000"/>
          <w:sz w:val="21"/>
          <w:szCs w:val="21"/>
        </w:rPr>
        <w:t xml:space="preserve">La triade classica Wegener — granulomi, vasculite, glomerulonefrite — è presente nel campione bioptico solo nel 20-30% dei casi. Spesso hai solo uno o due elementi.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EGPA (Granulomatosi Eosinofilica con Poliangite, ex Churg-Strauss)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Infiltrato eosinofilico tissutale: </w:t>
      </w:r>
      <w:r>
        <w:rPr>
          <w:rFonts w:ascii="Arial" w:cs="Arial" w:eastAsia="Arial" w:hAnsi="Arial"/>
          <w:sz w:val="22"/>
          <w:szCs w:val="22"/>
        </w:rPr>
        <w:t xml:space="preserve">abbondante, con tendenza alla necrosi eosinofilica ('necrosi eosinofilica'). Questo è il reperto che devi cercare se trovi eosinofili intraparietali in una temporale.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Granulomi eosinofilici: </w:t>
      </w:r>
      <w:r>
        <w:rPr>
          <w:rFonts w:ascii="Arial" w:cs="Arial" w:eastAsia="Arial" w:hAnsi="Arial"/>
          <w:sz w:val="22"/>
          <w:szCs w:val="22"/>
        </w:rPr>
        <w:t xml:space="preserve">aggregati di macrofagi e cellule giganti con eosinofili al centro e in periferia.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Vasculite necrotizzante sovrapposta: </w:t>
      </w:r>
      <w:r>
        <w:rPr>
          <w:rFonts w:ascii="Arial" w:cs="Arial" w:eastAsia="Arial" w:hAnsi="Arial"/>
          <w:sz w:val="22"/>
          <w:szCs w:val="22"/>
        </w:rPr>
        <w:t xml:space="preserve">nei casi conclamati.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Contesto clinico imprescindibile: </w:t>
      </w:r>
      <w:r>
        <w:rPr>
          <w:rFonts w:ascii="Arial" w:cs="Arial" w:eastAsia="Arial" w:hAnsi="Arial"/>
          <w:sz w:val="22"/>
          <w:szCs w:val="22"/>
        </w:rPr>
        <w:t xml:space="preserve">asma bronchiale, sinusite, eosinofilia periferica &gt;10%. ANCA (MPO) positivi in circa il 40% — ma il 60% è ANCA-negativo.</w:t>
      </w:r>
    </w:p>
    <w:p>
      <w:pPr>
        <w:spacing w:before="60" w:after="60"/>
      </w:pPr>
      <w:r>
        <w:t xml:space="preserve"/>
      </w:r>
    </w:p>
    <w:p>
      <w:pPr>
        <w:pBdr>
          <w:left w:val="single" w:color="C00000" w:sz="12" w:space="4"/>
        </w:pBdr>
        <w:shd w:fill="FCE4D6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⚡ Attenzione: </w:t>
      </w:r>
      <w:r>
        <w:rPr>
          <w:rFonts w:ascii="Arial" w:cs="Arial" w:eastAsia="Arial" w:hAnsi="Arial"/>
          <w:color w:val="C00000"/>
          <w:sz w:val="21"/>
          <w:szCs w:val="21"/>
        </w:rPr>
        <w:t xml:space="preserve">Se trovi eosinofili intraparietali significativi in una biopsia temporale di anziano inviata per sospetta GCA: chiedi subito ANCA MPO/PR3 e conta degli eosinofili. Non refertare come GCA prima di avere questa risposta.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MPA (Poliangite Microscopica)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Vasculite necrotizzante pauci-immune: </w:t>
      </w:r>
      <w:r>
        <w:rPr>
          <w:rFonts w:ascii="Arial" w:cs="Arial" w:eastAsia="Arial" w:hAnsi="Arial"/>
          <w:sz w:val="22"/>
          <w:szCs w:val="22"/>
        </w:rPr>
        <w:t xml:space="preserve">necrosi fibrinoide della parete senza depositi immuni all'immunofluorescenza (pauci-immune). Coinvolge capillari, venule, arteriole.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Assenza di granulomi: </w:t>
      </w:r>
      <w:r>
        <w:rPr>
          <w:rFonts w:ascii="Arial" w:cs="Arial" w:eastAsia="Arial" w:hAnsi="Arial"/>
          <w:sz w:val="22"/>
          <w:szCs w:val="22"/>
        </w:rPr>
        <w:t xml:space="preserve">questo è il discriminante rispetto a GPA.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Glomerulonefrite necrotizzante a semilune: </w:t>
      </w:r>
      <w:r>
        <w:rPr>
          <w:rFonts w:ascii="Arial" w:cs="Arial" w:eastAsia="Arial" w:hAnsi="Arial"/>
          <w:sz w:val="22"/>
          <w:szCs w:val="22"/>
        </w:rPr>
        <w:t xml:space="preserve">il reperto renale più frequente e più diagnostico.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Capillarite polmonare: </w:t>
      </w:r>
      <w:r>
        <w:rPr>
          <w:rFonts w:ascii="Arial" w:cs="Arial" w:eastAsia="Arial" w:hAnsi="Arial"/>
          <w:sz w:val="22"/>
          <w:szCs w:val="22"/>
        </w:rPr>
        <w:t xml:space="preserve">quando presente, clinicamente si manifesta come emorragia alveolare diffusa.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Vasculite IgG4-correlata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malattia IgG4-correlata può coinvolgere l'aorta e i grandi vasi — si chiama aortite IgG4-correlata o periaortite IgG4-correlata. È importante perché risponde ai corticosteroidi ma non ai trattamenti immunosoppressivi usati per GCA.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Morfologia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Fibrosi storiformica: </w:t>
      </w:r>
      <w:r>
        <w:rPr>
          <w:rFonts w:ascii="Arial" w:cs="Arial" w:eastAsia="Arial" w:hAnsi="Arial"/>
          <w:sz w:val="22"/>
          <w:szCs w:val="22"/>
        </w:rPr>
        <w:t xml:space="preserve">il reperto più caratteristico. Fibrosi 'a ruota di carro' con pattern storiforme — bande di collagene che si intrecciano irregolarmente. Non è semplice fibrosi post-infiammatoria.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Flebite obliterante: </w:t>
      </w:r>
      <w:r>
        <w:rPr>
          <w:rFonts w:ascii="Arial" w:cs="Arial" w:eastAsia="Arial" w:hAnsi="Arial"/>
          <w:sz w:val="22"/>
          <w:szCs w:val="22"/>
        </w:rPr>
        <w:t xml:space="preserve">occlusione delle vene adiacenti da parte del processo infiammatorio/fibrotico. Cerca i profili vascolari obliterati nell'avventizia.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Infiltrato linfoplasmacellulare: </w:t>
      </w:r>
      <w:r>
        <w:rPr>
          <w:rFonts w:ascii="Arial" w:cs="Arial" w:eastAsia="Arial" w:hAnsi="Arial"/>
          <w:sz w:val="22"/>
          <w:szCs w:val="22"/>
        </w:rPr>
        <w:t xml:space="preserve">abbondante, con numerose plasmacellule IgG4+. Il conteggio diagnostico è ≥10 plasmacellule IgG4+/HPF con rapporto IgG4/IgG &gt;40%.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Eosinofili: </w:t>
      </w:r>
      <w:r>
        <w:rPr>
          <w:rFonts w:ascii="Arial" w:cs="Arial" w:eastAsia="Arial" w:hAnsi="Arial"/>
          <w:sz w:val="22"/>
          <w:szCs w:val="22"/>
        </w:rPr>
        <w:t xml:space="preserve">spesso presenti, a differenza di GCA.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Assenza di necrosi fibrinoide: </w:t>
      </w:r>
      <w:r>
        <w:rPr>
          <w:rFonts w:ascii="Arial" w:cs="Arial" w:eastAsia="Arial" w:hAnsi="Arial"/>
          <w:sz w:val="22"/>
          <w:szCs w:val="22"/>
        </w:rPr>
        <w:t xml:space="preserve">distingue da PAN e vasculiti ANCA.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IHC diagnostica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IgG4 (plasmacellule): </w:t>
      </w:r>
      <w:r>
        <w:rPr>
          <w:rFonts w:ascii="Arial" w:cs="Arial" w:eastAsia="Arial" w:hAnsi="Arial"/>
          <w:sz w:val="22"/>
          <w:szCs w:val="22"/>
        </w:rPr>
        <w:t xml:space="preserve">≥10/HPF nelle sedi tipiche. Conta in zona di massima positività. Attenzione: IgG4 positività si trova anche in altre condizioni (Rosai-Dorfman, linfomi, reazioni reattive) — non è patognomonica da sola.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IgG (totale): </w:t>
      </w:r>
      <w:r>
        <w:rPr>
          <w:rFonts w:ascii="Arial" w:cs="Arial" w:eastAsia="Arial" w:hAnsi="Arial"/>
          <w:sz w:val="22"/>
          <w:szCs w:val="22"/>
        </w:rPr>
        <w:t xml:space="preserve">per calcolare il rapporto IgG4/IgG. Rapporto &gt;40% richiesto per diagnosi.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CD138: </w:t>
      </w:r>
      <w:r>
        <w:rPr>
          <w:rFonts w:ascii="Arial" w:cs="Arial" w:eastAsia="Arial" w:hAnsi="Arial"/>
          <w:sz w:val="22"/>
          <w:szCs w:val="22"/>
        </w:rPr>
        <w:t xml:space="preserve">per evidenziare il totale delle plasmacellule prima della conta.</w:t>
      </w:r>
    </w:p>
    <w:p>
      <w:pPr>
        <w:spacing w:before="60" w:after="60"/>
      </w:pPr>
      <w:r>
        <w:t xml:space="preserve"/>
      </w:r>
    </w:p>
    <w:p>
      <w:pPr>
        <w:pBdr>
          <w:left w:val="single" w:color="FFD700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⚠ Nota: </w:t>
      </w:r>
      <w:r>
        <w:rPr>
          <w:rFonts w:ascii="Arial" w:cs="Arial" w:eastAsia="Arial" w:hAnsi="Arial"/>
          <w:i/>
          <w:iCs/>
          <w:color w:val="7F6000"/>
          <w:sz w:val="21"/>
          <w:szCs w:val="21"/>
        </w:rPr>
        <w:t xml:space="preserve">In una biopsia aortica con fibrosi storiformica, infiltrato linfoplasmacellulare e flebite obliterante: fai sempre IgG4 prima di refertare come aortite aspecifica. Il trattamento è radicalmente diverso.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Diagnosi differenziale sinottica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Tabella di consultazione rapida per i reperti morfologici chiave.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300"/>
        <w:gridCol w:w="1400"/>
        <w:gridCol w:w="1338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Reperto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Takayasu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EGPA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IgG4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giganti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Granulomi necrotizzanti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Necrosi fibrinoide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+++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Eosinofili abbondanti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+++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Fibrosi storiformica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+/—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+++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Flebite obliterante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+++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Infiltrato plasmacellulare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+++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PR3 +++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MPO +/—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Red flag morfologici — fermati e pensa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 reperti in una biopsia per vasculite devono bloccarti prima di firmare il referto.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Reperto inatteso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Diagnosi alternativa da escludere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IHC/colorazioni da eseguire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Eosinofili intraparietali significativi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EGPA, vasculite ANCA-eosinofilica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ANCA MPO/PR3 (sierologia), conta eosinofili periferici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Cellule linfoidi atipiche intravascolari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Linfoma intravascolare (B o 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CD20, CD3, MUM1, Ki67 — urgente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Granulomi con necrosi centrale/caseosa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TBC, micosi invasive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 (micobatteri), PAS + GMS (funghi), colture su fresco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Fibrosi storiformica + plasmacellule abbondanti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Malattia IgG4-correlata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IgG4, IgG (rapporto), CD138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Paziente &lt;40 anni con quadro GCA-like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Arterite di Takayasu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Correlazione clinica obbligatoria — morfologia non distingue</w:t>
            </w:r>
          </w:p>
        </w:tc>
      </w:tr>
    </w:tbl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Come strutturare il referto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buon referto di biopsia per vasculite non è un elenco di reperti: è una risposta clinica a una domanda diagnostica. Strutturalo così: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Adeguatezza: </w:t>
      </w:r>
      <w:r>
        <w:rPr>
          <w:rFonts w:ascii="Arial" w:cs="Arial" w:eastAsia="Arial" w:hAnsi="Arial"/>
          <w:sz w:val="22"/>
          <w:szCs w:val="22"/>
        </w:rPr>
        <w:t xml:space="preserve">lunghezza stimata, numero di sezioni analizzate, presenza di struttura arteriosa, colorazione elastica eseguita.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Descrizione morfologica: </w:t>
      </w:r>
      <w:r>
        <w:rPr>
          <w:rFonts w:ascii="Arial" w:cs="Arial" w:eastAsia="Arial" w:hAnsi="Arial"/>
          <w:sz w:val="22"/>
          <w:szCs w:val="22"/>
        </w:rPr>
        <w:t xml:space="preserve">partendo dalla struttura parietale verso l'infiltrato. Prima dì cosa c'è, poi cosa manca.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Reperti speciali: </w:t>
      </w:r>
      <w:r>
        <w:rPr>
          <w:rFonts w:ascii="Arial" w:cs="Arial" w:eastAsia="Arial" w:hAnsi="Arial"/>
          <w:sz w:val="22"/>
          <w:szCs w:val="22"/>
        </w:rPr>
        <w:t xml:space="preserve">colorazione elastica: stato della IEL (integra, frammentata focalmente, frammentata diffusamente). IHC se eseguita.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Diagnosi/conclusione: </w:t>
      </w:r>
      <w:r>
        <w:rPr>
          <w:rFonts w:ascii="Arial" w:cs="Arial" w:eastAsia="Arial" w:hAnsi="Arial"/>
          <w:sz w:val="22"/>
          <w:szCs w:val="22"/>
        </w:rPr>
        <w:t xml:space="preserve">usa categorie qualitative — 'morfologicamente compatibile con', 'diagnostico per', 'non compatibile con'. Evita i numeri di probabilità non validati.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Nota clinica: </w:t>
      </w:r>
      <w:r>
        <w:rPr>
          <w:rFonts w:ascii="Arial" w:cs="Arial" w:eastAsia="Arial" w:hAnsi="Arial"/>
          <w:sz w:val="22"/>
          <w:szCs w:val="22"/>
        </w:rPr>
        <w:t xml:space="preserve">se pertinente — biopsia sotto steroidi, campione subottimale, raccomandazione di approfondimento.</w:t>
      </w:r>
    </w:p>
    <w:p>
      <w:pPr>
        <w:spacing w:before="60" w:after="60"/>
      </w:pPr>
      <w:r>
        <w:t xml:space="preserve"/>
      </w:r>
    </w:p>
    <w:p>
      <w:pPr>
        <w:pBdr>
          <w:left w:val="single" w:color="FFD700" w:sz="12" w:space="4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⚠ Nota: </w:t>
      </w:r>
      <w:r>
        <w:rPr>
          <w:rFonts w:ascii="Arial" w:cs="Arial" w:eastAsia="Arial" w:hAnsi="Arial"/>
          <w:i/>
          <w:iCs/>
          <w:color w:val="7F6000"/>
          <w:sz w:val="21"/>
          <w:szCs w:val="21"/>
        </w:rPr>
        <w:t xml:space="preserve">Se il campione è inadeguato, dillo chiaramente. Un referto 'negativo per alterazioni specifiche' su un frammento da 3 mm senza elastica non vale nulla — e può fare danni.</w:t>
      </w:r>
    </w:p>
    <w:p>
      <w:pPr>
        <w:pBdr>
          <w:bottom w:val="single" w:color="CCCCCC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Take-home messages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Il vetrino non mente, il reagente sì. </w:t>
      </w:r>
      <w:r>
        <w:rPr>
          <w:rFonts w:ascii="Arial" w:cs="Arial" w:eastAsia="Arial" w:hAnsi="Arial"/>
          <w:sz w:val="22"/>
          <w:szCs w:val="22"/>
        </w:rPr>
        <w:t xml:space="preserve">Controlla sempre la qualità dell'elastica e dell'H&amp;E prima di concludere.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Cellule giganti = GCA fino a prova contraria — ma la prova contraria va cercata. </w:t>
      </w:r>
      <w:r>
        <w:rPr>
          <w:rFonts w:ascii="Arial" w:cs="Arial" w:eastAsia="Arial" w:hAnsi="Arial"/>
          <w:sz w:val="22"/>
          <w:szCs w:val="22"/>
        </w:rPr>
        <w:t xml:space="preserve">Età del paziente, distretto anatomico, eosinofili, plasmacellule: non ignorarli.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Biopsia negativa ≠ GCA esclusa. </w:t>
      </w:r>
      <w:r>
        <w:rPr>
          <w:rFonts w:ascii="Arial" w:cs="Arial" w:eastAsia="Arial" w:hAnsi="Arial"/>
          <w:sz w:val="22"/>
          <w:szCs w:val="22"/>
        </w:rPr>
        <w:t xml:space="preserve">Skip lesions nel 10-15%. Se il sospetto clinico è alto, dillo nel referto.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Eosinofili intraparietali sono un red flag assoluto. </w:t>
      </w:r>
      <w:r>
        <w:rPr>
          <w:rFonts w:ascii="Arial" w:cs="Arial" w:eastAsia="Arial" w:hAnsi="Arial"/>
          <w:sz w:val="22"/>
          <w:szCs w:val="22"/>
        </w:rPr>
        <w:t xml:space="preserve">Non refertare come GCA prima di avere ANCA e conta eosinofili.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Granulomi con necrosi centrale: pensa sempre a infettivi prima di GCA o GPA. </w:t>
      </w:r>
      <w:r>
        <w:rPr>
          <w:rFonts w:ascii="Arial" w:cs="Arial" w:eastAsia="Arial" w:hAnsi="Arial"/>
          <w:sz w:val="22"/>
          <w:szCs w:val="22"/>
        </w:rPr>
        <w:t xml:space="preserve">ZN e PAS non costano nulla e possono salvare una vita.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Cellule atipiche intravascolari: linfoma intravascolare non aspetta. </w:t>
      </w:r>
      <w:r>
        <w:rPr>
          <w:rFonts w:ascii="Arial" w:cs="Arial" w:eastAsia="Arial" w:hAnsi="Arial"/>
          <w:sz w:val="22"/>
          <w:szCs w:val="22"/>
        </w:rPr>
        <w:t xml:space="preserve">IHC urgente, comunicazione al clinico prima del referto definitivo.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 morfologia da sola non distingue GCA da Takayasu. </w:t>
      </w:r>
      <w:r>
        <w:rPr>
          <w:rFonts w:ascii="Arial" w:cs="Arial" w:eastAsia="Arial" w:hAnsi="Arial"/>
          <w:sz w:val="22"/>
          <w:szCs w:val="22"/>
        </w:rPr>
        <w:t xml:space="preserve">L'età del paziente è il tuo discriminante principale.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IgG4 va sempre cercata in aortiti con fibrosi storiformica. </w:t>
      </w:r>
      <w:r>
        <w:rPr>
          <w:rFonts w:ascii="Arial" w:cs="Arial" w:eastAsia="Arial" w:hAnsi="Arial"/>
          <w:sz w:val="22"/>
          <w:szCs w:val="22"/>
        </w:rPr>
        <w:t xml:space="preserve">Conta le plasmacellule, calcola il rapporto.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6" w:space="4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Uso interno — Anatomia Patologica | Versione 1.0 — 2026 | Strumento didattico, non sostituisce testi di riferimento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2026-02-26T18:19:21.694Z</dcterms:created>
  <dcterms:modified xsi:type="dcterms:W3CDTF">2026-02-26T18:19:21.695Z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