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C1222"/>
          <w:sz w:val="20"/>
          <w:szCs w:val="20"/>
        </w:rPr>
        <w:t xml:space="preserve">WESTERN MINDANAO STATE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A"/>
          <w:sz w:val="18"/>
          <w:szCs w:val="18"/>
        </w:rPr>
        <w:t xml:space="preserve">Zamboanga City</w:t>
      </w:r>
    </w:p>
    <w:p>
      <w:pPr>
        <w:pBdr>
          <w:bottom w:val="single" w:color="B81C2E" w:sz="12" w:space="1"/>
        </w:pBdr>
        <w:spacing w:after="200" w:before="0"/>
      </w:pPr>
    </w:p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B81C2E"/>
          <w:sz w:val="40"/>
          <w:szCs w:val="40"/>
        </w:rPr>
        <w:t xml:space="preserve">UI Design Color Palette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5A"/>
          <w:sz w:val="24"/>
          <w:szCs w:val="24"/>
        </w:rPr>
        <w:t xml:space="preserve">Academic Resource Library and Study Materials 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High-Fidelity Wireframe Design Specification</w:t>
      </w:r>
    </w:p>
    <w:p>
      <w:pPr>
        <w:spacing w:after="160" w:before="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This document outlines the official color palette to be used in the high-fidelity wireframe design of the Academic Resource Library and Study Materials Hub. The palette is derived from the institutional colors of Western Mindanao State University and expanded to support a clean, professional system interface. Colors are organized into four (4) core colors and four (4) supporting colors.</w:t>
      </w:r>
    </w:p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4760"/>
      </w:tblGrid>
      <w:tr>
        <w:tc>
          <w:tcPr>
            <w:tcBorders>
              <w:top w:val="none"/>
              <w:left w:val="none"/>
              <w:bottom w:val="single" w:color="B81C2E" w:sz="4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none"/>
              <w:left w:val="none"/>
              <w:bottom w:val="single" w:color="B81C2E" w:sz="4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Borders>
              <w:top w:val="none"/>
              <w:left w:val="none"/>
              <w:bottom w:val="single" w:color="B81C2E" w:sz="4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Borders>
              <w:top w:val="none"/>
              <w:left w:val="none"/>
              <w:bottom w:val="single" w:color="B81C2E" w:sz="4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System</w:t>
            </w:r>
          </w:p>
        </w:tc>
      </w:tr>
      <w:tr>
        <w:tc>
          <w:tcPr>
            <w:gridSpan w:val="4"/>
            <w:tcBorders>
              <w:top w:val="none"/>
              <w:left w:val="none"/>
              <w:bottom w:val="single" w:color="B81C2E" w:sz="2"/>
              <w:right w:val="none"/>
            </w:tcBorders>
            <w:shd w:fill="F9E8EA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22"/>
                <w:szCs w:val="22"/>
              </w:rPr>
              <w:t xml:space="preserve">CORE COLORS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8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#B81C2E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WMSU Crimson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#B81C2E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brand color — buttons, active nav links, call-to-action elements, rating stars, upload CTA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C1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#8C1222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Deep Crimson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#8C1222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and active states for primary buttons and interactive elements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Pure White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backgrounds, content panels, modal surfaces, form fields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#1A1A2E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Rich Black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#1A1A2E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navigation bar, sidebar, page-level headings and titles</w:t>
            </w:r>
          </w:p>
        </w:tc>
      </w:tr>
      <w:tr>
        <w:tc>
          <w:tcPr>
            <w:gridSpan w:val="4"/>
            <w:tcBorders>
              <w:top w:val="none"/>
              <w:left w:val="none"/>
              <w:bottom w:val="single" w:color="B81C2E" w:sz="2"/>
              <w:right w:val="none"/>
            </w:tcBorders>
            <w:shd w:fill="F9E8EA" w:val="clear"/>
            <w:tcMar>
              <w:top w:type="dxa" w:w="10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1222"/>
                <w:sz w:val="22"/>
                <w:szCs w:val="22"/>
              </w:rPr>
              <w:t xml:space="preserve">SUPPORTING COLORS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C1222"/>
                <w:sz w:val="16"/>
                <w:szCs w:val="16"/>
              </w:rPr>
              <w:t xml:space="preserve">#F9E8EA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Blush Tint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#F9E8EA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states on cards, active filter tags, notification banners, highlighted rows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4A5A"/>
                <w:sz w:val="16"/>
                <w:szCs w:val="16"/>
              </w:rPr>
              <w:t xml:space="preserve">#F4F4F6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Off White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#F4F4F6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Overall page background — creates depth so white cards visually lift off the surface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4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#4A4A5A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Slate Gray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#4A4A5A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text, descriptive labels, metadata, secondary information across all pages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A3E00"/>
                <w:sz w:val="16"/>
                <w:szCs w:val="16"/>
              </w:rPr>
              <w:t xml:space="preserve">#D4AF37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Academic Gold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#D4AF37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Faculty-verified material badge — visually distinguishes official uploads from student contributions</w:t>
            </w:r>
          </w:p>
        </w:tc>
      </w:tr>
    </w:tbl>
    <w:p>
      <w:pPr>
        <w:spacing w:after="3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B81C2E"/>
          <w:sz w:val="34"/>
          <w:szCs w:val="34"/>
        </w:rPr>
        <w:t xml:space="preserve">Typography Pairing</w:t>
      </w:r>
    </w:p>
    <w:p>
      <w:pPr>
        <w:spacing w:after="120" w:before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The following font pairing is recommended for the system interface. Both fonts are available free via Google Fonts.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Headings &amp; Logo 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Plus Jakarta Sans (Bold/SemiBold)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Body, Labels &amp; UI Elements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8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5A"/>
                <w:sz w:val="20"/>
                <w:szCs w:val="20"/>
              </w:rPr>
              <w:t xml:space="preserve">Inter (Regular / Medium)</w:t>
            </w:r>
          </w:p>
        </w:tc>
      </w:tr>
    </w:tbl>
    <w:p>
      <w:pPr>
        <w:spacing w:after="3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B81C2E"/>
          <w:sz w:val="34"/>
          <w:szCs w:val="34"/>
        </w:rPr>
        <w:t xml:space="preserve">Color Usage Notes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WMSU Crimson (#B81C2E)</w:t>
      </w:r>
    </w:p>
    <w:p>
      <w:pPr>
        <w:spacing w:after="8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Use exclusively for interactive and call-to-action elements. Do not use as a large background color — it should draw the eye to actions, not fill the page.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Academic Gold (#D4AF37)</w:t>
      </w:r>
    </w:p>
    <w:p>
      <w:pPr>
        <w:spacing w:after="8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Reserved strictly for the Faculty-Verified badge as described in the system proposal (Section 6). This ensures faculty-uploaded materials are visually distinct from student content at a glance.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 White (#F4F4F6)</w:t>
      </w:r>
    </w:p>
    <w:p>
      <w:pPr>
        <w:spacing w:after="8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Always use as the page background. White cards placed on this surface create natural visual hierarchy without needing heavy shadows.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Rich Black (#1A1A2E)</w:t>
      </w:r>
    </w:p>
    <w:p>
      <w:pPr>
        <w:spacing w:after="80" w:before="0"/>
      </w:pPr>
      <w:r>
        <w:rPr>
          <w:rFonts w:ascii="Arial" w:cs="Arial" w:eastAsia="Arial" w:hAnsi="Arial"/>
          <w:color w:val="4A4A5A"/>
          <w:sz w:val="20"/>
          <w:szCs w:val="20"/>
        </w:rPr>
        <w:t xml:space="preserve">Used for the navigation bar and sidebar. Provides strong contrast against white content areas, reinforcing the professional, institutional tone.</w:t>
      </w:r>
    </w:p>
    <w:p>
      <w:pPr>
        <w:pBdr>
          <w:top w:val="single" w:color="B81C2E" w:sz="6" w:space="1"/>
        </w:pBdr>
        <w:spacing w:after="80"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Academic Resource Library and Study Materials Hub  |  UI Design Specification  |  WMSU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B81C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2026-03-20T03:05:50.671Z</dcterms:created>
  <dcterms:modified xsi:type="dcterms:W3CDTF">2026-03-20T03:05:50.672Z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