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F3864"/>
          <w:sz w:val="40"/>
          <w:szCs w:val="40"/>
        </w:rPr>
        <w:t xml:space="preserve">Elixiir Foods Private Ltd.</w:t>
      </w:r>
    </w:p>
    <w:p>
      <w:pPr>
        <w:spacing w:after="160" w:before="0"/>
        <w:jc w:val="center"/>
      </w:pPr>
      <w:r>
        <w:rPr>
          <w:rFonts w:ascii="Calibri" w:cs="Calibri" w:eastAsia="Calibri" w:hAnsi="Calibri"/>
          <w:b/>
          <w:bCs/>
          <w:color w:val="000000"/>
          <w:sz w:val="36"/>
          <w:szCs w:val="36"/>
        </w:rPr>
        <w:t xml:space="preserve">Travel &amp; Reimbursement</w:t>
      </w:r>
    </w:p>
    <w:p>
      <w:pPr>
        <w:spacing w:after="400" w:before="0"/>
        <w:jc w:val="center"/>
      </w:pPr>
      <w:r>
        <w:rPr>
          <w:rFonts w:ascii="Calibri" w:cs="Calibri" w:eastAsia="Calibri" w:hAnsi="Calibri"/>
          <w:color w:val="1F3864"/>
          <w:sz w:val="28"/>
          <w:szCs w:val="28"/>
        </w:rPr>
        <w:t xml:space="preserve">myHR Implementation — Product Requirements Document</w:t>
      </w:r>
    </w:p>
    <w:p>
      <w:pPr>
        <w:spacing w:after="200" w:before="0"/>
        <w:jc w:val="center"/>
      </w:pPr>
      <w:r>
        <w:rPr>
          <w:rFonts w:ascii="Calibri" w:cs="Calibri" w:eastAsia="Calibri" w:hAnsi="Calibri"/>
          <w:i/>
          <w:iCs/>
          <w:color w:val="595959"/>
          <w:sz w:val="24"/>
          <w:szCs w:val="24"/>
        </w:rPr>
        <w:t xml:space="preserve">Management Summary</w:t>
      </w:r>
    </w:p>
    <w:p>
      <w:pPr>
        <w:spacing w:after="100" w:before="1200"/>
        <w:jc w:val="center"/>
      </w:pPr>
      <w:r>
        <w:rPr>
          <w:rFonts w:ascii="Calibri" w:cs="Calibri" w:eastAsia="Calibri" w:hAnsi="Calibri"/>
          <w:color w:val="595959"/>
          <w:sz w:val="20"/>
          <w:szCs w:val="20"/>
        </w:rPr>
        <w:t xml:space="preserve">Policy basis: Travel &amp; Reimbursement Policy v1 (signed 20-03-2026)</w:t>
      </w:r>
    </w:p>
    <w:p>
      <w:pPr>
        <w:spacing w:after="100" w:before="60"/>
        <w:jc w:val="center"/>
      </w:pPr>
      <w:r>
        <w:rPr>
          <w:rFonts w:ascii="Calibri" w:cs="Calibri" w:eastAsia="Calibri" w:hAnsi="Calibri"/>
          <w:color w:val="595959"/>
          <w:sz w:val="20"/>
          <w:szCs w:val="20"/>
        </w:rPr>
        <w:t xml:space="preserve">Target platform: myHR custom app on ERPNext v16 / HRMS v16.5</w:t>
      </w:r>
    </w:p>
    <w:p>
      <w:pPr>
        <w:spacing w:after="100" w:before="60"/>
        <w:jc w:val="center"/>
      </w:pPr>
      <w:r>
        <w:rPr>
          <w:rFonts w:ascii="Calibri" w:cs="Calibri" w:eastAsia="Calibri" w:hAnsi="Calibri"/>
          <w:color w:val="595959"/>
          <w:sz w:val="20"/>
          <w:szCs w:val="20"/>
        </w:rPr>
        <w:t xml:space="preserve">Audience: Mr. Arvind Mediratta (CEO), Mr. Ambuj Narayan (COO), HR leadership</w:t>
      </w:r>
    </w:p>
    <w:p>
      <w:r>
        <w:br/>
        <w:t xml:space="preserve"/>
      </w:r>
    </w:p>
    <w:p>
      <w:pPr>
        <w:pStyle w:val="Heading1"/>
        <w:spacing w:after="180" w:before="360"/>
      </w:pPr>
      <w:r>
        <w:rPr>
          <w:rFonts w:ascii="Calibri" w:cs="Calibri" w:eastAsia="Calibri" w:hAnsi="Calibri"/>
          <w:b/>
          <w:bCs/>
          <w:color w:val="1F3864"/>
          <w:sz w:val="32"/>
          <w:szCs w:val="32"/>
        </w:rPr>
        <w:t xml:space="preserve">1. Executive Summary</w:t>
      </w:r>
    </w:p>
    <w:p>
      <w:pPr>
        <w:spacing w:after="80" w:before="80" w:line="300"/>
      </w:pPr>
      <w:r>
        <w:rPr>
          <w:rFonts w:ascii="Calibri" w:cs="Calibri" w:eastAsia="Calibri" w:hAnsi="Calibri"/>
          <w:sz w:val="22"/>
          <w:szCs w:val="22"/>
        </w:rPr>
        <w:t xml:space="preserve">This document specifies how Elixiir's Travel &amp; Reimbursement Policy v1 will be implemented inside the myHR custom HRMS application. It is the management-facing companion to the developer specification (TRAVEL_EXPENSE.md), which carries the full technical detail.</w:t>
      </w:r>
    </w:p>
    <w:p>
      <w:pPr>
        <w:spacing w:after="80" w:before="80" w:line="300"/>
      </w:pPr>
      <w:r>
        <w:rPr>
          <w:rFonts w:ascii="Calibri" w:cs="Calibri" w:eastAsia="Calibri" w:hAnsi="Calibri"/>
          <w:sz w:val="22"/>
          <w:szCs w:val="22"/>
        </w:rPr>
        <w:t xml:space="preserve">The policy defines reimbursement rules across four categories — local conveyance, public transport, outstation travel, and lodging/meals — with rates and caps that vary by employee Grade (CEO/COO, CXO, Others) and, for lodging and meals, by City Tier (1/2/3). myHR will enforce these caps at the line-item level on every Expense Claim, validate fuel-rate reimbursements against the employee's Grade, and route any claim that breaches a cap to HR Manager for approval.</w:t>
      </w:r>
    </w:p>
    <w:p>
      <w:pPr>
        <w:pStyle w:val="Heading3"/>
        <w:spacing w:after="100" w:before="200"/>
      </w:pPr>
      <w:r>
        <w:rPr>
          <w:rFonts w:ascii="Calibri" w:cs="Calibri" w:eastAsia="Calibri" w:hAnsi="Calibri"/>
          <w:b/>
          <w:bCs/>
          <w:color w:val="1F3864"/>
          <w:sz w:val="22"/>
          <w:szCs w:val="22"/>
        </w:rPr>
        <w:t xml:space="preserve">Why this approach is lean</w:t>
      </w:r>
    </w:p>
    <w:p>
      <w:pPr>
        <w:spacing w:after="80" w:before="80" w:line="300"/>
      </w:pPr>
      <w:r>
        <w:rPr>
          <w:rFonts w:ascii="Calibri" w:cs="Calibri" w:eastAsia="Calibri" w:hAnsi="Calibri"/>
          <w:sz w:val="22"/>
          <w:szCs w:val="22"/>
        </w:rPr>
        <w:t xml:space="preserve">An earlier PRD assumed a greenfield build with three new master DocTypes, a 7-state workflow, and nine custom server scripts. After studying the myHR codebase, this scope has been substantially trimmed. myHR already provides:</w:t>
      </w:r>
    </w:p>
    <w:p>
      <w:pPr>
        <w:pStyle w:val="ListParagraph"/>
        <w:numPr>
          <w:ilvl w:val="0"/>
          <w:numId w:val="2"/>
        </w:numPr>
        <w:spacing w:after="50" w:before="50" w:line="290"/>
      </w:pPr>
      <w:r>
        <w:rPr>
          <w:rFonts w:ascii="Calibri" w:cs="Calibri" w:eastAsia="Calibri" w:hAnsi="Calibri"/>
          <w:sz w:val="22"/>
          <w:szCs w:val="22"/>
        </w:rPr>
        <w:t xml:space="preserve">An override class on Expense Claim with the single-stage approval pattern (validate → approval_status flip → auto-submit).</w:t>
      </w:r>
    </w:p>
    <w:p>
      <w:pPr>
        <w:pStyle w:val="ListParagraph"/>
        <w:numPr>
          <w:ilvl w:val="0"/>
          <w:numId w:val="2"/>
        </w:numPr>
        <w:spacing w:after="50" w:before="50" w:line="290"/>
      </w:pPr>
      <w:r>
        <w:rPr>
          <w:rFonts w:ascii="Calibri" w:cs="Calibri" w:eastAsia="Calibri" w:hAnsi="Calibri"/>
          <w:sz w:val="22"/>
          <w:szCs w:val="22"/>
        </w:rPr>
        <w:t xml:space="preserve">An approval-authority gate that already enforces who-can-approve rules via HR Settings toggles.</w:t>
      </w:r>
    </w:p>
    <w:p>
      <w:pPr>
        <w:pStyle w:val="ListParagraph"/>
        <w:numPr>
          <w:ilvl w:val="0"/>
          <w:numId w:val="2"/>
        </w:numPr>
        <w:spacing w:after="50" w:before="50" w:line="290"/>
      </w:pPr>
      <w:r>
        <w:rPr>
          <w:rFonts w:ascii="Calibri" w:cs="Calibri" w:eastAsia="Calibri" w:hAnsi="Calibri"/>
          <w:sz w:val="22"/>
          <w:szCs w:val="22"/>
        </w:rPr>
        <w:t xml:space="preserve">A 'Submitted for Review' pattern (audit-stamped) that we reuse for the 7-working-day submission window.</w:t>
      </w:r>
    </w:p>
    <w:p>
      <w:pPr>
        <w:pStyle w:val="ListParagraph"/>
        <w:numPr>
          <w:ilvl w:val="0"/>
          <w:numId w:val="2"/>
        </w:numPr>
        <w:spacing w:after="50" w:before="50" w:line="290"/>
      </w:pPr>
      <w:r>
        <w:rPr>
          <w:rFonts w:ascii="Calibri" w:cs="Calibri" w:eastAsia="Calibri" w:hAnsi="Calibri"/>
          <w:sz w:val="22"/>
          <w:szCs w:val="22"/>
        </w:rPr>
        <w:t xml:space="preserve">Established conventions for Custom Fields, patches, and PWA Vue overlays.</w:t>
      </w:r>
    </w:p>
    <w:p>
      <w:pPr>
        <w:spacing w:after="80" w:before="80" w:line="300"/>
      </w:pPr>
      <w:r>
        <w:rPr>
          <w:rFonts w:ascii="Calibri" w:cs="Calibri" w:eastAsia="Calibri" w:hAnsi="Calibri"/>
          <w:sz w:val="22"/>
          <w:szCs w:val="22"/>
        </w:rPr>
        <w:t xml:space="preserve">The new work is therefore a surgical extension of the existing override — not a parallel system. Two new DocTypes (City Tier and Per Diem Cap Matrix) plus approximately 18 new Custom Fields across existing DocTypes. No new roles, no new workflow definition, no parallel approval graph.</w:t>
      </w:r>
    </w:p>
    <w:p>
      <w:pPr>
        <w:pStyle w:val="Heading3"/>
        <w:spacing w:after="100" w:before="200"/>
      </w:pPr>
      <w:r>
        <w:rPr>
          <w:rFonts w:ascii="Calibri" w:cs="Calibri" w:eastAsia="Calibri" w:hAnsi="Calibri"/>
          <w:b/>
          <w:bCs/>
          <w:color w:val="1F3864"/>
          <w:sz w:val="22"/>
          <w:szCs w:val="22"/>
        </w:rPr>
        <w:t xml:space="preserve">Scope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Workstream</w:t>
            </w:r>
          </w:p>
        </w:tc>
        <w:tc>
          <w:tcPr>
            <w:tcW w:type="dxa" w:w="40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Net new artifacts</w:t>
            </w:r>
          </w:p>
        </w:tc>
        <w:tc>
          <w:tcPr>
            <w:tcW w:type="dxa" w:w="20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Status</w:t>
            </w:r>
          </w:p>
        </w:tc>
      </w:tr>
      <w:tr>
        <w:trPr>
          <w:tblHeader w:val="false"/>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New DocTypes</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2 — City Tier, Per Diem Cap Matrix</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To build</w:t>
            </w:r>
          </w:p>
        </w:tc>
      </w:tr>
      <w:tr>
        <w:trPr>
          <w:tblHeader w:val="false"/>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Custom Fields added</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~18 across 6 DocTypes</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Append to existing MYHR_CUSTOM_FIELDS</w:t>
            </w:r>
          </w:p>
        </w:tc>
      </w:tr>
      <w:tr>
        <w:trPr>
          <w:tblHeader w:val="false"/>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Server-side logic</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4 validation methods + 1 helper module + 1 gate extension</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Extend existing override</w:t>
            </w:r>
          </w:p>
        </w:tc>
      </w:tr>
      <w:tr>
        <w:trPr>
          <w:tblHeader w:val="false"/>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Frontend changes</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Desk JS (new) + PWA Vue (modify 3 files)</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Layered on existing PWA design</w:t>
            </w:r>
          </w:p>
        </w:tc>
      </w:tr>
      <w:tr>
        <w:trPr>
          <w:tblHeader w:val="false"/>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Migration patches</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v1_23, v1_24, v1_25 (seed master data)</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Append to patches.txt</w:t>
            </w:r>
          </w:p>
        </w:tc>
      </w:tr>
      <w:tr>
        <w:trPr>
          <w:tblHeader w:val="false"/>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Acceptance tests</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20 tests (T-01 to T-20)</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New test file</w:t>
            </w:r>
          </w:p>
        </w:tc>
      </w:tr>
    </w:tbl>
    <w:p>
      <w:pPr>
        <w:spacing w:after="80" w:before="80" w:line="300"/>
      </w:pPr>
      <w:r>
        <w:rPr>
          <w:rFonts w:ascii="Calibri" w:cs="Calibri" w:eastAsia="Calibri" w:hAnsi="Calibri"/>
          <w:b/>
          <w:bCs/>
          <w:sz w:val="22"/>
          <w:szCs w:val="22"/>
        </w:rPr>
        <w:t xml:space="preserve">Estimated effort: </w:t>
      </w:r>
      <w:r>
        <w:rPr>
          <w:rFonts w:ascii="Calibri" w:cs="Calibri" w:eastAsia="Calibri" w:hAnsi="Calibri"/>
          <w:sz w:val="22"/>
          <w:szCs w:val="22"/>
        </w:rPr>
        <w:t xml:space="preserve">4–5 person-days for a developer already familiar with myHR.</w:t>
      </w:r>
    </w:p>
    <w:p>
      <w:pPr>
        <w:pStyle w:val="Heading1"/>
        <w:spacing w:after="180" w:before="360"/>
      </w:pPr>
      <w:r>
        <w:rPr>
          <w:rFonts w:ascii="Calibri" w:cs="Calibri" w:eastAsia="Calibri" w:hAnsi="Calibri"/>
          <w:b/>
          <w:bCs/>
          <w:color w:val="1F3864"/>
          <w:sz w:val="32"/>
          <w:szCs w:val="32"/>
        </w:rPr>
        <w:t xml:space="preserve">2. What the System Will Enforce</w:t>
      </w:r>
    </w:p>
    <w:p>
      <w:pPr>
        <w:spacing w:after="80" w:before="80" w:line="300"/>
      </w:pPr>
      <w:r>
        <w:rPr>
          <w:rFonts w:ascii="Calibri" w:cs="Calibri" w:eastAsia="Calibri" w:hAnsi="Calibri"/>
          <w:sz w:val="22"/>
          <w:szCs w:val="22"/>
        </w:rPr>
        <w:t xml:space="preserve">The single most important table for management review. Each policy rule is either system-enforced (validated by code), config-driven (toggle in HR Settings), or HR-judgement (not in code; approver checks manually). The categorisation matters for two reasons: it makes the audit story explicit, and it tells HR what they still own as a manual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0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Policy rule</w:t>
            </w:r>
          </w:p>
        </w:tc>
        <w:tc>
          <w:tcPr>
            <w:tcW w:type="dxa" w:w="18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Enforcement</w:t>
            </w:r>
          </w:p>
        </w:tc>
        <w:tc>
          <w:tcPr>
            <w:tcW w:type="dxa" w:w="37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Notes</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Per-km fuel rate by Grade (CEO/COO ₹15, CXOs ₹10, Others ₹6)</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System — auto-fill</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Configurable on Employee Grade. Auto-computes amount = km × rate. Toggle in HR Settings to disable.</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Home-to-office commute excluded from fuel reimbursement</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Description is free-text; approver checks.</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Auto/Rickshaw — actuals with receipt</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Receipt attachment is good practice; not enforced.</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Bus/Metro — actuals with ticket copy</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Same.</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Cab (Ola/Uber) — actuals with bill; CEO approval</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CEO approval workflow not enforced; approver checks.</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Office purchases via Admin In-charge</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Not technically gate-able.</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Team meals — actuals with prior CEO approval</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Approver checks.</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Air class: CEO/COO Premium Economy, others Economy</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Hint only</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Shown in form as the employee's default; not blocked. Boarding pass uploaded as attachment.</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14-day air-advance booking</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Not enforced</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No flight-date data source. Approver checks.</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Journeys &lt;8 hours by road/rail (not air)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Not enforced</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No journey-duration data source.</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Rail class: CC &lt;8hr, 2AC otherwise</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Not enforced</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No journey-duration data source.</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Lodging daily cap by Grade × City Tier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System — hard validation</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Cap looked up from Per Diem Cap Matrix at validate-time. Breach triggers cap-override flow.</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Meal daily cap by Grade × City Tier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System — hard validation</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Same lookup mechanism as lodging.</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Guest policy — employee pays own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Not gate-able.</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Room sharing — combined ≤ entitlement</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Math not feasible to automate.</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Alcohol exclusion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Free-text descriptions; approver checks.</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Fines/penalties exclusion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Approver checks.</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Family/personal extensions exclusion</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Approver checks.</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Travel pre-authorization required</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Traceability only</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Optional Travel Request link on the claim; not enforced (policy doesn't mandate system gate).</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Submission within 7 working days of expense</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System — warn (default)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Configurable: working days, hard-block toggle. Counted using employee's Holiday List.</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Required attachments (tickets, hotel bills, fuel log)</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judgement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Frappe's Attach Files panel accepts any number; HR checks completeness.</w:t>
            </w:r>
          </w:p>
        </w:tc>
      </w:tr>
      <w:tr>
        <w:trPr>
          <w:tblHeader w:val="false"/>
        </w:trP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Cap breach — no policy text</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System — escalation</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Cap-Override flag + justification routes to HR Manager only.</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8"/>
              <w:left w:val="single" w:color="1F3864" w:sz="24"/>
              <w:bottom w:val="single" w:color="1F3864" w:sz="8"/>
              <w:right w:val="single" w:color="1F3864" w:sz="8"/>
            </w:tcBorders>
            <w:shd w:fill="F5F5F5" w:val="clear"/>
            <w:tcMar>
              <w:top w:type="dxa" w:w="140"/>
              <w:left w:type="dxa" w:w="180"/>
              <w:bottom w:type="dxa" w:w="140"/>
              <w:right w:type="dxa" w:w="180"/>
            </w:tcMar>
          </w:tcPr>
          <w:p>
            <w:pPr>
              <w:spacing w:after="80" w:before="0"/>
            </w:pPr>
            <w:r>
              <w:rPr>
                <w:rFonts w:ascii="Calibri" w:cs="Calibri" w:eastAsia="Calibri" w:hAnsi="Calibri"/>
                <w:b/>
                <w:bCs/>
                <w:color w:val="1F3864"/>
                <w:sz w:val="22"/>
                <w:szCs w:val="22"/>
              </w:rPr>
              <w:t xml:space="preserve">What this table really says</w:t>
            </w:r>
          </w:p>
          <w:p>
            <w:pPr>
              <w:spacing w:after="0" w:before="0" w:line="290"/>
            </w:pPr>
            <w:r>
              <w:rPr>
                <w:rFonts w:ascii="Calibri" w:cs="Calibri" w:eastAsia="Calibri" w:hAnsi="Calibri"/>
                <w:sz w:val="22"/>
                <w:szCs w:val="22"/>
              </w:rPr>
              <w:t xml:space="preserve">Most policy rules are HR-judgement, not code-enforceable. That's not a defect — it's an honest reading of what the policy actually says vs. what can be automated. The four genuinely system-enforced rules (fuel rate, lodging cap, meal cap, submission window) cover the financial risk areas. Everything else stays in the existing approver's review responsibility.</w:t>
            </w:r>
          </w:p>
        </w:tc>
      </w:tr>
    </w:tbl>
    <w:p>
      <w:pPr>
        <w:pStyle w:val="Heading1"/>
        <w:spacing w:after="180" w:before="360"/>
      </w:pPr>
      <w:r>
        <w:rPr>
          <w:rFonts w:ascii="Calibri" w:cs="Calibri" w:eastAsia="Calibri" w:hAnsi="Calibri"/>
          <w:b/>
          <w:bCs/>
          <w:color w:val="1F3864"/>
          <w:sz w:val="32"/>
          <w:szCs w:val="32"/>
        </w:rPr>
        <w:t xml:space="preserve">3. Approach: Extend myHR, Don't Rebuild</w:t>
      </w:r>
    </w:p>
    <w:p>
      <w:pPr>
        <w:spacing w:after="80" w:before="80" w:line="300"/>
      </w:pPr>
      <w:r>
        <w:rPr>
          <w:rFonts w:ascii="Calibri" w:cs="Calibri" w:eastAsia="Calibri" w:hAnsi="Calibri"/>
          <w:sz w:val="22"/>
          <w:szCs w:val="22"/>
        </w:rPr>
        <w:t xml:space="preserve">myHR already overrides ERPNext's stock Expense Claim with a single-stage approval pattern: an approver flips the approval_status field to Approved or Rejected, and the document auto-submits in the same action — no second 'Submit' step. The existing override class also enforces rejection-reason capture and audit-stamps a Submitted-for-Review event.</w:t>
      </w:r>
    </w:p>
    <w:p>
      <w:pPr>
        <w:spacing w:after="80" w:before="80" w:line="300"/>
      </w:pPr>
      <w:r>
        <w:rPr>
          <w:rFonts w:ascii="Calibri" w:cs="Calibri" w:eastAsia="Calibri" w:hAnsi="Calibri"/>
          <w:sz w:val="22"/>
          <w:szCs w:val="22"/>
        </w:rPr>
        <w:t xml:space="preserve">The Travel &amp; Reimbursement implementation extends this pattern rather than replacing it. The same override class gains four new validation methods, and the existing approval-authority gate gains one new branch for cap-override claims. No new approval workflow, no new state machine, no new role definitions.</w:t>
      </w:r>
    </w:p>
    <w:p>
      <w:pPr>
        <w:pStyle w:val="Heading3"/>
        <w:spacing w:after="100" w:before="200"/>
      </w:pPr>
      <w:r>
        <w:rPr>
          <w:rFonts w:ascii="Calibri" w:cs="Calibri" w:eastAsia="Calibri" w:hAnsi="Calibri"/>
          <w:b/>
          <w:bCs/>
          <w:color w:val="1F3864"/>
          <w:sz w:val="22"/>
          <w:szCs w:val="22"/>
        </w:rPr>
        <w:t xml:space="preserve">Why this is the right call</w:t>
      </w:r>
    </w:p>
    <w:p>
      <w:pPr>
        <w:pStyle w:val="ListParagraph"/>
        <w:numPr>
          <w:ilvl w:val="0"/>
          <w:numId w:val="2"/>
        </w:numPr>
        <w:spacing w:after="50" w:before="50" w:line="290"/>
      </w:pPr>
      <w:r>
        <w:rPr>
          <w:rFonts w:ascii="Calibri" w:cs="Calibri" w:eastAsia="Calibri" w:hAnsi="Calibri"/>
          <w:b/>
          <w:bCs/>
          <w:sz w:val="22"/>
          <w:szCs w:val="22"/>
        </w:rPr>
        <w:t xml:space="preserve">Less code = less surface area for bugs. </w:t>
      </w:r>
      <w:r>
        <w:rPr>
          <w:rFonts w:ascii="Calibri" w:cs="Calibri" w:eastAsia="Calibri" w:hAnsi="Calibri"/>
          <w:sz w:val="22"/>
          <w:szCs w:val="22"/>
        </w:rPr>
        <w:t xml:space="preserve">Reusing the override class means we inherit existing test coverage and operational understanding.</w:t>
      </w:r>
    </w:p>
    <w:p>
      <w:pPr>
        <w:pStyle w:val="ListParagraph"/>
        <w:numPr>
          <w:ilvl w:val="0"/>
          <w:numId w:val="2"/>
        </w:numPr>
        <w:spacing w:after="50" w:before="50" w:line="290"/>
      </w:pPr>
      <w:r>
        <w:rPr>
          <w:rFonts w:ascii="Calibri" w:cs="Calibri" w:eastAsia="Calibri" w:hAnsi="Calibri"/>
          <w:b/>
          <w:bCs/>
          <w:sz w:val="22"/>
          <w:szCs w:val="22"/>
        </w:rPr>
        <w:t xml:space="preserve">Upgrade-safe. </w:t>
      </w:r>
      <w:r>
        <w:rPr>
          <w:rFonts w:ascii="Calibri" w:cs="Calibri" w:eastAsia="Calibri" w:hAnsi="Calibri"/>
          <w:sz w:val="22"/>
          <w:szCs w:val="22"/>
        </w:rPr>
        <w:t xml:space="preserve">ERPNext's standard Expense Claim continues to ship without modification; myHR layers on top. Future ERPNext upgrades land cleanly.</w:t>
      </w:r>
    </w:p>
    <w:p>
      <w:pPr>
        <w:pStyle w:val="ListParagraph"/>
        <w:numPr>
          <w:ilvl w:val="0"/>
          <w:numId w:val="2"/>
        </w:numPr>
        <w:spacing w:after="50" w:before="50" w:line="290"/>
      </w:pPr>
      <w:r>
        <w:rPr>
          <w:rFonts w:ascii="Calibri" w:cs="Calibri" w:eastAsia="Calibri" w:hAnsi="Calibri"/>
          <w:b/>
          <w:bCs/>
          <w:sz w:val="22"/>
          <w:szCs w:val="22"/>
        </w:rPr>
        <w:t xml:space="preserve">Consistent UX. </w:t>
      </w:r>
      <w:r>
        <w:rPr>
          <w:rFonts w:ascii="Calibri" w:cs="Calibri" w:eastAsia="Calibri" w:hAnsi="Calibri"/>
          <w:sz w:val="22"/>
          <w:szCs w:val="22"/>
        </w:rPr>
        <w:t xml:space="preserve">Employees see the same Expense Claim form they already know. No retraining required.</w:t>
      </w:r>
    </w:p>
    <w:p>
      <w:pPr>
        <w:pStyle w:val="ListParagraph"/>
        <w:numPr>
          <w:ilvl w:val="0"/>
          <w:numId w:val="2"/>
        </w:numPr>
        <w:spacing w:after="50" w:before="50" w:line="290"/>
      </w:pPr>
      <w:r>
        <w:rPr>
          <w:rFonts w:ascii="Calibri" w:cs="Calibri" w:eastAsia="Calibri" w:hAnsi="Calibri"/>
          <w:b/>
          <w:bCs/>
          <w:sz w:val="22"/>
          <w:szCs w:val="22"/>
        </w:rPr>
        <w:t xml:space="preserve">Same audit trail. </w:t>
      </w:r>
      <w:r>
        <w:rPr>
          <w:rFonts w:ascii="Calibri" w:cs="Calibri" w:eastAsia="Calibri" w:hAnsi="Calibri"/>
          <w:sz w:val="22"/>
          <w:szCs w:val="22"/>
        </w:rPr>
        <w:t xml:space="preserve">The Submitted-for-Review pattern already produces immutable audit timestamps — we use the same fields for the submission-window check.</w:t>
      </w:r>
    </w:p>
    <w:p>
      <w:pPr>
        <w:pStyle w:val="Heading1"/>
        <w:spacing w:after="180" w:before="360"/>
      </w:pPr>
      <w:r>
        <w:rPr>
          <w:rFonts w:ascii="Calibri" w:cs="Calibri" w:eastAsia="Calibri" w:hAnsi="Calibri"/>
          <w:b/>
          <w:bCs/>
          <w:color w:val="1F3864"/>
          <w:sz w:val="32"/>
          <w:szCs w:val="32"/>
        </w:rPr>
        <w:t xml:space="preserve">4. New Master Data</w:t>
      </w:r>
    </w:p>
    <w:p>
      <w:pPr>
        <w:spacing w:after="80" w:before="80" w:line="300"/>
      </w:pPr>
      <w:r>
        <w:rPr>
          <w:rFonts w:ascii="Calibri" w:cs="Calibri" w:eastAsia="Calibri" w:hAnsi="Calibri"/>
          <w:sz w:val="22"/>
          <w:szCs w:val="22"/>
        </w:rPr>
        <w:t xml:space="preserve">Two new DocTypes carry the policy-driven master data. Both are HR-editable from the Desk UI — no developer involvement needed for annual cap revisions or new city additions.</w:t>
      </w:r>
    </w:p>
    <w:p>
      <w:pPr>
        <w:pStyle w:val="Heading2"/>
        <w:spacing w:after="140" w:before="280"/>
      </w:pPr>
      <w:r>
        <w:rPr>
          <w:rFonts w:ascii="Calibri" w:cs="Calibri" w:eastAsia="Calibri" w:hAnsi="Calibri"/>
          <w:b/>
          <w:bCs/>
          <w:color w:val="1F3864"/>
          <w:sz w:val="26"/>
          <w:szCs w:val="26"/>
        </w:rPr>
        <w:t xml:space="preserve">4.1 City Tier</w:t>
      </w:r>
    </w:p>
    <w:p>
      <w:pPr>
        <w:spacing w:after="80" w:before="80" w:line="300"/>
      </w:pPr>
      <w:r>
        <w:rPr>
          <w:rFonts w:ascii="Calibri" w:cs="Calibri" w:eastAsia="Calibri" w:hAnsi="Calibri"/>
          <w:sz w:val="22"/>
          <w:szCs w:val="22"/>
        </w:rPr>
        <w:t xml:space="preserve">Each city employees might travel to is classified Tier 1, 2, or 3 per the policy. Seeded with 19 rows on install:</w:t>
      </w:r>
    </w:p>
    <w:p>
      <w:pPr>
        <w:pStyle w:val="ListParagraph"/>
        <w:numPr>
          <w:ilvl w:val="0"/>
          <w:numId w:val="2"/>
        </w:numPr>
        <w:spacing w:after="50" w:before="50" w:line="290"/>
      </w:pPr>
      <w:r>
        <w:rPr>
          <w:rFonts w:ascii="Calibri" w:cs="Calibri" w:eastAsia="Calibri" w:hAnsi="Calibri"/>
          <w:sz w:val="22"/>
          <w:szCs w:val="22"/>
        </w:rPr>
        <w:t xml:space="preserve">Tier 1 (8): Mumbai, Delhi, Bangalore, Chennai, Hyderabad, Kolkata, Pune, Ahmedabad.</w:t>
      </w:r>
    </w:p>
    <w:p>
      <w:pPr>
        <w:pStyle w:val="ListParagraph"/>
        <w:numPr>
          <w:ilvl w:val="0"/>
          <w:numId w:val="2"/>
        </w:numPr>
        <w:spacing w:after="50" w:before="50" w:line="290"/>
      </w:pPr>
      <w:r>
        <w:rPr>
          <w:rFonts w:ascii="Calibri" w:cs="Calibri" w:eastAsia="Calibri" w:hAnsi="Calibri"/>
          <w:sz w:val="22"/>
          <w:szCs w:val="22"/>
        </w:rPr>
        <w:t xml:space="preserve">Tier 2 (10): Jaipur, Lucknow, Surat, Indore, Chandigarh, Kochi, Coimbatore, Nagpur, Bhopal, Visakhapatnam.</w:t>
      </w:r>
    </w:p>
    <w:p>
      <w:pPr>
        <w:pStyle w:val="ListParagraph"/>
        <w:numPr>
          <w:ilvl w:val="0"/>
          <w:numId w:val="2"/>
        </w:numPr>
        <w:spacing w:after="50" w:before="50" w:line="290"/>
      </w:pPr>
      <w:r>
        <w:rPr>
          <w:rFonts w:ascii="Calibri" w:cs="Calibri" w:eastAsia="Calibri" w:hAnsi="Calibri"/>
          <w:sz w:val="22"/>
          <w:szCs w:val="22"/>
        </w:rPr>
        <w:t xml:space="preserve">Tier 3 catch-all (1): a single row named 'Other' that any unnamed city defaults to.</w:t>
      </w:r>
    </w:p>
    <w:p>
      <w:pPr>
        <w:spacing w:after="80" w:before="80" w:line="300"/>
      </w:pPr>
      <w:r>
        <w:rPr>
          <w:rFonts w:ascii="Calibri" w:cs="Calibri" w:eastAsia="Calibri" w:hAnsi="Calibri"/>
          <w:sz w:val="22"/>
          <w:szCs w:val="22"/>
        </w:rPr>
        <w:t xml:space="preserve">Adding a new city is a one-tap HR action — open City Tier, click New, enter name and tier, save. The dropdown on Expense Claim picks it up immediately.</w:t>
      </w:r>
    </w:p>
    <w:p>
      <w:pPr>
        <w:pStyle w:val="Heading2"/>
        <w:spacing w:after="140" w:before="280"/>
      </w:pPr>
      <w:r>
        <w:rPr>
          <w:rFonts w:ascii="Calibri" w:cs="Calibri" w:eastAsia="Calibri" w:hAnsi="Calibri"/>
          <w:b/>
          <w:bCs/>
          <w:color w:val="1F3864"/>
          <w:sz w:val="26"/>
          <w:szCs w:val="26"/>
        </w:rPr>
        <w:t xml:space="preserve">4.2 Per Diem Cap Matrix</w:t>
      </w:r>
    </w:p>
    <w:p>
      <w:pPr>
        <w:spacing w:after="80" w:before="80" w:line="300"/>
      </w:pPr>
      <w:r>
        <w:rPr>
          <w:rFonts w:ascii="Calibri" w:cs="Calibri" w:eastAsia="Calibri" w:hAnsi="Calibri"/>
          <w:sz w:val="22"/>
          <w:szCs w:val="22"/>
        </w:rPr>
        <w:t xml:space="preserve">Holds the daily caps for lodging and meals by Grade × City Tier. Seeded with 12 rows from the policy (no rows for CEO/COO — policy says actuals, and a missing row means 'no enforcement' by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0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Grade</w:t>
            </w:r>
          </w:p>
        </w:tc>
        <w:tc>
          <w:tcPr>
            <w:tcW w:type="dxa" w:w="1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Tier</w:t>
            </w:r>
          </w:p>
        </w:tc>
        <w:tc>
          <w:tcPr>
            <w:tcW w:type="dxa" w:w="2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Lodging Cap</w:t>
            </w:r>
          </w:p>
        </w:tc>
        <w:tc>
          <w:tcPr>
            <w:tcW w:type="dxa" w:w="2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Meal Cap</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CEO/COO</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All</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Actuals (no row)</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Actuals (no row)</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CXOs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Tier 1</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₹5,000</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₹1,000</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CXOs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Tier 2</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₹4,000</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₹1,000</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CXOs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Tier 3</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₹3,000</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₹1,000</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Others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Tier 1</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₹4,000</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₹800</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Others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Tier 2</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₹3,000</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₹800</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Others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Tier 3</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₹2,500</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₹800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8"/>
              <w:left w:val="single" w:color="1F3864" w:sz="24"/>
              <w:bottom w:val="single" w:color="1F3864" w:sz="8"/>
              <w:right w:val="single" w:color="1F3864" w:sz="8"/>
            </w:tcBorders>
            <w:shd w:fill="F5F5F5" w:val="clear"/>
            <w:tcMar>
              <w:top w:type="dxa" w:w="140"/>
              <w:left w:type="dxa" w:w="180"/>
              <w:bottom w:type="dxa" w:w="140"/>
              <w:right w:type="dxa" w:w="180"/>
            </w:tcMar>
          </w:tcPr>
          <w:p>
            <w:pPr>
              <w:spacing w:after="80" w:before="0"/>
            </w:pPr>
            <w:r>
              <w:rPr>
                <w:rFonts w:ascii="Calibri" w:cs="Calibri" w:eastAsia="Calibri" w:hAnsi="Calibri"/>
                <w:b/>
                <w:bCs/>
                <w:color w:val="1F3864"/>
                <w:sz w:val="22"/>
                <w:szCs w:val="22"/>
              </w:rPr>
              <w:t xml:space="preserve">Why this is a DocType rather than hard-coded</w:t>
            </w:r>
          </w:p>
          <w:p>
            <w:pPr>
              <w:spacing w:after="0" w:before="0" w:line="290"/>
            </w:pPr>
            <w:r>
              <w:rPr>
                <w:rFonts w:ascii="Calibri" w:cs="Calibri" w:eastAsia="Calibri" w:hAnsi="Calibri"/>
                <w:sz w:val="22"/>
                <w:szCs w:val="22"/>
              </w:rPr>
              <w:t xml:space="preserve">Policy §14 calls for annual review of caps. Storing them as master data means HR opens the form, changes ₹3,000 to ₹3,500, and clicks Save. No developer ticket, no code deployment, no release window. The change applies to every Expense Claim from that moment on, with full audit trail of who changed what.</w:t>
            </w:r>
          </w:p>
        </w:tc>
      </w:tr>
    </w:tbl>
    <w:p>
      <w:pPr>
        <w:pStyle w:val="Heading1"/>
        <w:spacing w:after="180" w:before="360"/>
      </w:pPr>
      <w:r>
        <w:rPr>
          <w:rFonts w:ascii="Calibri" w:cs="Calibri" w:eastAsia="Calibri" w:hAnsi="Calibri"/>
          <w:b/>
          <w:bCs/>
          <w:color w:val="1F3864"/>
          <w:sz w:val="32"/>
          <w:szCs w:val="32"/>
        </w:rPr>
        <w:t xml:space="preserve">5. Fields Added to Existing DocTypes</w:t>
      </w:r>
    </w:p>
    <w:p>
      <w:pPr>
        <w:spacing w:after="80" w:before="80" w:line="300"/>
      </w:pPr>
      <w:r>
        <w:rPr>
          <w:rFonts w:ascii="Calibri" w:cs="Calibri" w:eastAsia="Calibri" w:hAnsi="Calibri"/>
          <w:sz w:val="22"/>
          <w:szCs w:val="22"/>
        </w:rPr>
        <w:t xml:space="preserve">Approximately 18 new fields across 6 existing DocTypes. All declared in the existing setup.py:MYHR_CUSTOM_FIELDS dict — same pattern myHR uses for every other custom field today (Employee, HR Settings, Leave Application, etc.). Created idempotently on first migrate; skipped on subsequent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50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DocType</w:t>
            </w:r>
          </w:p>
        </w:tc>
        <w:tc>
          <w:tcPr>
            <w:tcW w:type="dxa" w:w="10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New fields</w:t>
            </w:r>
          </w:p>
        </w:tc>
        <w:tc>
          <w:tcPr>
            <w:tcW w:type="dxa" w:w="5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Purpose</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Employee Grade</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2</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Per-km fuel rate, default air class</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Expense Claim Type</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1</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Per-diem basis — drives validation routing (Lodging Cap / Meal Cap / Personal Vehicle Fuel / Actuals)</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Expense Claim</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4</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Travel Request link (optional), Cap Override flag, Justification, Total Breach computed</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Expense Claim Detail</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6</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City, Personal Vehicle flag, Kilometres, Applied Fuel Rate, Applied Daily Cap, Overage</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Travel Request</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0</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No new fields — existing native fields sufficient</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Settings</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5</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Travel &amp; Expense policy section + 4 toggles (enforce caps, enforce fuel rate, submission window days, block late)</w:t>
            </w:r>
          </w:p>
        </w:tc>
      </w:tr>
    </w:tbl>
    <w:p>
      <w:pPr>
        <w:pStyle w:val="Heading1"/>
        <w:spacing w:after="180" w:before="360"/>
      </w:pPr>
      <w:r>
        <w:rPr>
          <w:rFonts w:ascii="Calibri" w:cs="Calibri" w:eastAsia="Calibri" w:hAnsi="Calibri"/>
          <w:b/>
          <w:bCs/>
          <w:color w:val="1F3864"/>
          <w:sz w:val="32"/>
          <w:szCs w:val="32"/>
        </w:rPr>
        <w:t xml:space="preserve">6. The Cap-Breach Flow</w:t>
      </w:r>
    </w:p>
    <w:p>
      <w:pPr>
        <w:spacing w:after="80" w:before="80" w:line="300"/>
      </w:pPr>
      <w:r>
        <w:rPr>
          <w:rFonts w:ascii="Calibri" w:cs="Calibri" w:eastAsia="Calibri" w:hAnsi="Calibri"/>
          <w:sz w:val="22"/>
          <w:szCs w:val="22"/>
        </w:rPr>
        <w:t xml:space="preserve">The single most user-facing piece of new behaviour. Walking it end-to-end so management understands what employees and HR will see.</w:t>
      </w:r>
    </w:p>
    <w:p>
      <w:pPr>
        <w:pStyle w:val="Heading3"/>
        <w:spacing w:after="100" w:before="200"/>
      </w:pPr>
      <w:r>
        <w:rPr>
          <w:rFonts w:ascii="Calibri" w:cs="Calibri" w:eastAsia="Calibri" w:hAnsi="Calibri"/>
          <w:b/>
          <w:bCs/>
          <w:color w:val="1F3864"/>
          <w:sz w:val="22"/>
          <w:szCs w:val="22"/>
        </w:rPr>
        <w:t xml:space="preserve">Scenario</w:t>
      </w:r>
    </w:p>
    <w:p>
      <w:pPr>
        <w:spacing w:after="80" w:before="80" w:line="300"/>
      </w:pPr>
      <w:r>
        <w:rPr>
          <w:rFonts w:ascii="Calibri" w:cs="Calibri" w:eastAsia="Calibri" w:hAnsi="Calibri"/>
          <w:sz w:val="22"/>
          <w:szCs w:val="22"/>
        </w:rPr>
        <w:t xml:space="preserve">A CXO travels to Mumbai (Tier 1) on a 2-night business trip. Hotel costs ₹6,000/night. Policy cap for CXOs in Tier 1 is ₹5,000/night. Two nights of overage = ₹2,000 total breach.</w:t>
      </w:r>
    </w:p>
    <w:p>
      <w:pPr>
        <w:pStyle w:val="Heading3"/>
        <w:spacing w:after="100" w:before="200"/>
      </w:pPr>
      <w:r>
        <w:rPr>
          <w:rFonts w:ascii="Calibri" w:cs="Calibri" w:eastAsia="Calibri" w:hAnsi="Calibri"/>
          <w:b/>
          <w:bCs/>
          <w:color w:val="1F3864"/>
          <w:sz w:val="22"/>
          <w:szCs w:val="22"/>
        </w:rPr>
        <w:t xml:space="preserve">What the employee sees</w:t>
      </w:r>
    </w:p>
    <w:p>
      <w:pPr>
        <w:pStyle w:val="ListParagraph"/>
        <w:numPr>
          <w:ilvl w:val="0"/>
          <w:numId w:val="2"/>
        </w:numPr>
        <w:spacing w:after="50" w:before="50" w:line="290"/>
      </w:pPr>
      <w:r>
        <w:rPr>
          <w:rFonts w:ascii="Calibri" w:cs="Calibri" w:eastAsia="Calibri" w:hAnsi="Calibri"/>
          <w:sz w:val="22"/>
          <w:szCs w:val="22"/>
        </w:rPr>
        <w:t xml:space="preserve">Opens a new Expense Claim in the PWA. Adds a Lodging - Hotel line for night 1.</w:t>
      </w:r>
    </w:p>
    <w:p>
      <w:pPr>
        <w:pStyle w:val="ListParagraph"/>
        <w:numPr>
          <w:ilvl w:val="0"/>
          <w:numId w:val="2"/>
        </w:numPr>
        <w:spacing w:after="50" w:before="50" w:line="290"/>
      </w:pPr>
      <w:r>
        <w:rPr>
          <w:rFonts w:ascii="Calibri" w:cs="Calibri" w:eastAsia="Calibri" w:hAnsi="Calibri"/>
          <w:sz w:val="22"/>
          <w:szCs w:val="22"/>
        </w:rPr>
        <w:t xml:space="preserve">Picks City = Mumbai. The form inline-displays: 'Daily cap for your grade in Tier 1: ₹5,000.'</w:t>
      </w:r>
    </w:p>
    <w:p>
      <w:pPr>
        <w:pStyle w:val="ListParagraph"/>
        <w:numPr>
          <w:ilvl w:val="0"/>
          <w:numId w:val="2"/>
        </w:numPr>
        <w:spacing w:after="50" w:before="50" w:line="290"/>
      </w:pPr>
      <w:r>
        <w:rPr>
          <w:rFonts w:ascii="Calibri" w:cs="Calibri" w:eastAsia="Calibri" w:hAnsi="Calibri"/>
          <w:sz w:val="22"/>
          <w:szCs w:val="22"/>
        </w:rPr>
        <w:t xml:space="preserve">Enters amount ₹6,000. The line shows an overage indicator: '⚠ Overage: ₹1,000'.</w:t>
      </w:r>
    </w:p>
    <w:p>
      <w:pPr>
        <w:pStyle w:val="ListParagraph"/>
        <w:numPr>
          <w:ilvl w:val="0"/>
          <w:numId w:val="2"/>
        </w:numPr>
        <w:spacing w:after="50" w:before="50" w:line="290"/>
      </w:pPr>
      <w:r>
        <w:rPr>
          <w:rFonts w:ascii="Calibri" w:cs="Calibri" w:eastAsia="Calibri" w:hAnsi="Calibri"/>
          <w:sz w:val="22"/>
          <w:szCs w:val="22"/>
        </w:rPr>
        <w:t xml:space="preserve">Adds the second night, same overage.</w:t>
      </w:r>
    </w:p>
    <w:p>
      <w:pPr>
        <w:pStyle w:val="ListParagraph"/>
        <w:numPr>
          <w:ilvl w:val="0"/>
          <w:numId w:val="2"/>
        </w:numPr>
        <w:spacing w:after="50" w:before="50" w:line="290"/>
      </w:pPr>
      <w:r>
        <w:rPr>
          <w:rFonts w:ascii="Calibri" w:cs="Calibri" w:eastAsia="Calibri" w:hAnsi="Calibri"/>
          <w:sz w:val="22"/>
          <w:szCs w:val="22"/>
        </w:rPr>
        <w:t xml:space="preserve">Taps Submit for Review. System blocks: 'Total cap breach is ₹2,000 across 2 line(s). Tick Request Cap Override and add a justification to submit.'</w:t>
      </w:r>
    </w:p>
    <w:p>
      <w:pPr>
        <w:pStyle w:val="ListParagraph"/>
        <w:numPr>
          <w:ilvl w:val="0"/>
          <w:numId w:val="2"/>
        </w:numPr>
        <w:spacing w:after="50" w:before="50" w:line="290"/>
      </w:pPr>
      <w:r>
        <w:rPr>
          <w:rFonts w:ascii="Calibri" w:cs="Calibri" w:eastAsia="Calibri" w:hAnsi="Calibri"/>
          <w:sz w:val="22"/>
          <w:szCs w:val="22"/>
        </w:rPr>
        <w:t xml:space="preserve">Employee ticks 'Request Cap Override' and types: 'Last-minute booking during product launch week; standard rate hotels fully booked; receipts attached.' Submits.</w:t>
      </w:r>
    </w:p>
    <w:p>
      <w:pPr>
        <w:pStyle w:val="Heading3"/>
        <w:spacing w:after="100" w:before="200"/>
      </w:pPr>
      <w:r>
        <w:rPr>
          <w:rFonts w:ascii="Calibri" w:cs="Calibri" w:eastAsia="Calibri" w:hAnsi="Calibri"/>
          <w:b/>
          <w:bCs/>
          <w:color w:val="1F3864"/>
          <w:sz w:val="22"/>
          <w:szCs w:val="22"/>
        </w:rPr>
        <w:t xml:space="preserve">What happens next in the approval flow</w:t>
      </w:r>
    </w:p>
    <w:p>
      <w:pPr>
        <w:pStyle w:val="ListParagraph"/>
        <w:numPr>
          <w:ilvl w:val="0"/>
          <w:numId w:val="2"/>
        </w:numPr>
        <w:spacing w:after="50" w:before="50" w:line="290"/>
      </w:pPr>
      <w:r>
        <w:rPr>
          <w:rFonts w:ascii="Calibri" w:cs="Calibri" w:eastAsia="Calibri" w:hAnsi="Calibri"/>
          <w:sz w:val="22"/>
          <w:szCs w:val="22"/>
        </w:rPr>
        <w:t xml:space="preserve">Claim arrives in pending queue. The named Expense Approver (employee's manager) sees it but cannot approve — system blocks with: 'This claim has a Cap Override request and can only be approved by HR Manager.'</w:t>
      </w:r>
    </w:p>
    <w:p>
      <w:pPr>
        <w:pStyle w:val="ListParagraph"/>
        <w:numPr>
          <w:ilvl w:val="0"/>
          <w:numId w:val="2"/>
        </w:numPr>
        <w:spacing w:after="50" w:before="50" w:line="290"/>
      </w:pPr>
      <w:r>
        <w:rPr>
          <w:rFonts w:ascii="Calibri" w:cs="Calibri" w:eastAsia="Calibri" w:hAnsi="Calibri"/>
          <w:sz w:val="22"/>
          <w:szCs w:val="22"/>
        </w:rPr>
        <w:t xml:space="preserve">HR Manager sees the claim in their queue with a flag. Opens it, reads the justification, sees the line-level overage breakdown.</w:t>
      </w:r>
    </w:p>
    <w:p>
      <w:pPr>
        <w:pStyle w:val="ListParagraph"/>
        <w:numPr>
          <w:ilvl w:val="0"/>
          <w:numId w:val="2"/>
        </w:numPr>
        <w:spacing w:after="50" w:before="50" w:line="290"/>
      </w:pPr>
      <w:r>
        <w:rPr>
          <w:rFonts w:ascii="Calibri" w:cs="Calibri" w:eastAsia="Calibri" w:hAnsi="Calibri"/>
          <w:sz w:val="22"/>
          <w:szCs w:val="22"/>
        </w:rPr>
        <w:t xml:space="preserve">HR Manager approves. Document auto-submits. GL entry posts. Employee gets reimbursement notification.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8"/>
              <w:left w:val="single" w:color="1F3864" w:sz="24"/>
              <w:bottom w:val="single" w:color="1F3864" w:sz="8"/>
              <w:right w:val="single" w:color="1F3864" w:sz="8"/>
            </w:tcBorders>
            <w:shd w:fill="F5F5F5" w:val="clear"/>
            <w:tcMar>
              <w:top w:type="dxa" w:w="140"/>
              <w:left w:type="dxa" w:w="180"/>
              <w:bottom w:type="dxa" w:w="140"/>
              <w:right w:type="dxa" w:w="180"/>
            </w:tcMar>
          </w:tcPr>
          <w:p>
            <w:pPr>
              <w:spacing w:after="80" w:before="0"/>
            </w:pPr>
            <w:r>
              <w:rPr>
                <w:rFonts w:ascii="Calibri" w:cs="Calibri" w:eastAsia="Calibri" w:hAnsi="Calibri"/>
                <w:b/>
                <w:bCs/>
                <w:color w:val="1F3864"/>
                <w:sz w:val="22"/>
                <w:szCs w:val="22"/>
              </w:rPr>
              <w:t xml:space="preserve">Why this design</w:t>
            </w:r>
          </w:p>
          <w:p>
            <w:pPr>
              <w:spacing w:after="0" w:before="0" w:line="290"/>
            </w:pPr>
            <w:r>
              <w:rPr>
                <w:rFonts w:ascii="Calibri" w:cs="Calibri" w:eastAsia="Calibri" w:hAnsi="Calibri"/>
                <w:sz w:val="22"/>
                <w:szCs w:val="22"/>
              </w:rPr>
              <w:t xml:space="preserve">The policy doesn't specify what happens on a cap breach — it just states the cap. Three options were considered: hard-block (no exceptions), soft-warn (approver decides), and escalate-on-override (this design). Hard-block creates real friction when breaches are legitimate. Soft-warn loses the audit trail. Escalate-on-override gives employees a path while ensuring senior visibility. The justification field creates the written record auditors expect.</w:t>
            </w:r>
          </w:p>
        </w:tc>
      </w:tr>
    </w:tbl>
    <w:p>
      <w:pPr>
        <w:pStyle w:val="Heading1"/>
        <w:spacing w:after="180" w:before="360"/>
      </w:pPr>
      <w:r>
        <w:rPr>
          <w:rFonts w:ascii="Calibri" w:cs="Calibri" w:eastAsia="Calibri" w:hAnsi="Calibri"/>
          <w:b/>
          <w:bCs/>
          <w:color w:val="1F3864"/>
          <w:sz w:val="32"/>
          <w:szCs w:val="32"/>
        </w:rPr>
        <w:t xml:space="preserve">7. What Doesn't Change</w:t>
      </w:r>
    </w:p>
    <w:p>
      <w:pPr>
        <w:spacing w:after="80" w:before="80" w:line="300"/>
      </w:pPr>
      <w:r>
        <w:rPr>
          <w:rFonts w:ascii="Calibri" w:cs="Calibri" w:eastAsia="Calibri" w:hAnsi="Calibri"/>
          <w:sz w:val="22"/>
          <w:szCs w:val="22"/>
        </w:rPr>
        <w:t xml:space="preserve">Equally important — the things this implementation deliberately leaves alone.</w:t>
      </w:r>
    </w:p>
    <w:p>
      <w:pPr>
        <w:pStyle w:val="ListParagraph"/>
        <w:numPr>
          <w:ilvl w:val="0"/>
          <w:numId w:val="2"/>
        </w:numPr>
        <w:spacing w:after="50" w:before="50" w:line="290"/>
      </w:pPr>
      <w:r>
        <w:rPr>
          <w:rFonts w:ascii="Calibri" w:cs="Calibri" w:eastAsia="Calibri" w:hAnsi="Calibri"/>
          <w:b/>
          <w:bCs/>
          <w:sz w:val="22"/>
          <w:szCs w:val="22"/>
        </w:rPr>
        <w:t xml:space="preserve">The existing approval workflow. </w:t>
      </w:r>
      <w:r>
        <w:rPr>
          <w:rFonts w:ascii="Calibri" w:cs="Calibri" w:eastAsia="Calibri" w:hAnsi="Calibri"/>
          <w:sz w:val="22"/>
          <w:szCs w:val="22"/>
        </w:rPr>
        <w:t xml:space="preserve">Single-stage (validate → approval_status flip → auto-submit) is preserved. The cap-override case just narrows the set of eligible approvers; it does not add a new state.</w:t>
      </w:r>
    </w:p>
    <w:p>
      <w:pPr>
        <w:pStyle w:val="ListParagraph"/>
        <w:numPr>
          <w:ilvl w:val="0"/>
          <w:numId w:val="2"/>
        </w:numPr>
        <w:spacing w:after="50" w:before="50" w:line="290"/>
      </w:pPr>
      <w:r>
        <w:rPr>
          <w:rFonts w:ascii="Calibri" w:cs="Calibri" w:eastAsia="Calibri" w:hAnsi="Calibri"/>
          <w:b/>
          <w:bCs/>
          <w:sz w:val="22"/>
          <w:szCs w:val="22"/>
        </w:rPr>
        <w:t xml:space="preserve">Employee-facing PWA layout. </w:t>
      </w:r>
      <w:r>
        <w:rPr>
          <w:rFonts w:ascii="Calibri" w:cs="Calibri" w:eastAsia="Calibri" w:hAnsi="Calibri"/>
          <w:sz w:val="22"/>
          <w:szCs w:val="22"/>
        </w:rPr>
        <w:t xml:space="preserve">The Expense Claim form gains a few extra inputs (city picker, kilometres, cap-override block). Layout, navigation, and design system are unchanged from the existing PWA Phase 2 redesign.</w:t>
      </w:r>
    </w:p>
    <w:p>
      <w:pPr>
        <w:pStyle w:val="ListParagraph"/>
        <w:numPr>
          <w:ilvl w:val="0"/>
          <w:numId w:val="2"/>
        </w:numPr>
        <w:spacing w:after="50" w:before="50" w:line="290"/>
      </w:pPr>
      <w:r>
        <w:rPr>
          <w:rFonts w:ascii="Calibri" w:cs="Calibri" w:eastAsia="Calibri" w:hAnsi="Calibri"/>
          <w:b/>
          <w:bCs/>
          <w:sz w:val="22"/>
          <w:szCs w:val="22"/>
        </w:rPr>
        <w:t xml:space="preserve">RBAC. </w:t>
      </w:r>
      <w:r>
        <w:rPr>
          <w:rFonts w:ascii="Calibri" w:cs="Calibri" w:eastAsia="Calibri" w:hAnsi="Calibri"/>
          <w:sz w:val="22"/>
          <w:szCs w:val="22"/>
        </w:rPr>
        <w:t xml:space="preserve">No new roles created. HR Manager / System Manager / Accounts Manager / Employee — the existing four are sufficient.</w:t>
      </w:r>
    </w:p>
    <w:p>
      <w:pPr>
        <w:pStyle w:val="ListParagraph"/>
        <w:numPr>
          <w:ilvl w:val="0"/>
          <w:numId w:val="2"/>
        </w:numPr>
        <w:spacing w:after="50" w:before="50" w:line="290"/>
      </w:pPr>
      <w:r>
        <w:rPr>
          <w:rFonts w:ascii="Calibri" w:cs="Calibri" w:eastAsia="Calibri" w:hAnsi="Calibri"/>
          <w:b/>
          <w:bCs/>
          <w:sz w:val="22"/>
          <w:szCs w:val="22"/>
        </w:rPr>
        <w:t xml:space="preserve">Payroll integration. </w:t>
      </w:r>
      <w:r>
        <w:rPr>
          <w:rFonts w:ascii="Calibri" w:cs="Calibri" w:eastAsia="Calibri" w:hAnsi="Calibri"/>
          <w:sz w:val="22"/>
          <w:szCs w:val="22"/>
        </w:rPr>
        <w:t xml:space="preserve">Expense Claim reimbursements continue to post through the standard Expense Claim → Payment Entry path, not through Salary Slip. The Leave Policy setup's Salary Structure work is untouched.</w:t>
      </w:r>
    </w:p>
    <w:p>
      <w:pPr>
        <w:pStyle w:val="ListParagraph"/>
        <w:numPr>
          <w:ilvl w:val="0"/>
          <w:numId w:val="2"/>
        </w:numPr>
        <w:spacing w:after="50" w:before="50" w:line="290"/>
      </w:pPr>
      <w:r>
        <w:rPr>
          <w:rFonts w:ascii="Calibri" w:cs="Calibri" w:eastAsia="Calibri" w:hAnsi="Calibri"/>
          <w:b/>
          <w:bCs/>
          <w:sz w:val="22"/>
          <w:szCs w:val="22"/>
        </w:rPr>
        <w:t xml:space="preserve">The native Travel Request DocType. </w:t>
      </w:r>
      <w:r>
        <w:rPr>
          <w:rFonts w:ascii="Calibri" w:cs="Calibri" w:eastAsia="Calibri" w:hAnsi="Calibri"/>
          <w:sz w:val="22"/>
          <w:szCs w:val="22"/>
        </w:rPr>
        <w:t xml:space="preserve">Stock HRMS Travel Request is used as-is. We add an optional link from Expense Claim for traceability; we don't modify Travel Request itself.</w:t>
      </w:r>
    </w:p>
    <w:p>
      <w:pPr>
        <w:pStyle w:val="Heading1"/>
        <w:spacing w:after="180" w:before="360"/>
      </w:pPr>
      <w:r>
        <w:rPr>
          <w:rFonts w:ascii="Calibri" w:cs="Calibri" w:eastAsia="Calibri" w:hAnsi="Calibri"/>
          <w:b/>
          <w:bCs/>
          <w:color w:val="1F3864"/>
          <w:sz w:val="32"/>
          <w:szCs w:val="32"/>
        </w:rPr>
        <w:t xml:space="preserve">8. Implementation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Day</w:t>
            </w:r>
          </w:p>
        </w:tc>
        <w:tc>
          <w:tcPr>
            <w:tcW w:type="dxa" w:w="2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Workstream</w:t>
            </w:r>
          </w:p>
        </w:tc>
        <w:tc>
          <w:tcPr>
            <w:tcW w:type="dxa" w:w="57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Deliverable</w:t>
            </w:r>
          </w:p>
        </w:tc>
      </w:tr>
      <w:tr>
        <w:trPr>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1</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Master data scaffolding</w:t>
            </w:r>
          </w:p>
        </w:tc>
        <w:tc>
          <w:tcPr>
            <w:tcW w:type="dxa" w:w="5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Two new DocTypes created. 18 custom fields appended. Three seed patches written. After migrate: 19 cities + 12 cap rows + 11 expense types visible in Desk.</w:t>
            </w:r>
          </w:p>
        </w:tc>
      </w:tr>
      <w:tr>
        <w:trPr>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2</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Server validation</w:t>
            </w:r>
          </w:p>
        </w:tc>
        <w:tc>
          <w:tcPr>
            <w:tcW w:type="dxa" w:w="5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Override class extended with 4 new methods. Approval gate extended with cap-override branch. Smoke test on staging.</w:t>
            </w:r>
          </w:p>
        </w:tc>
      </w:tr>
      <w:tr>
        <w:trPr>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Desk JS + PWA Vue</w:t>
            </w:r>
          </w:p>
        </w:tc>
        <w:tc>
          <w:tcPr>
            <w:tcW w:type="dxa" w:w="5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Form-level JS for inline cap display. PWA Vue edits for city picker, kilometres, cap-override block.</w:t>
            </w:r>
          </w:p>
        </w:tc>
      </w:tr>
      <w:tr>
        <w:trPr>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4</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Tests + documentation</w:t>
            </w:r>
          </w:p>
        </w:tc>
        <w:tc>
          <w:tcPr>
            <w:tcW w:type="dxa" w:w="5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20 acceptance tests written. GL account mapping doc drafted. CLAUDE.md / README.md updated.</w:t>
            </w:r>
          </w:p>
        </w:tc>
      </w:tr>
      <w:tr>
        <w:trPr>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5</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Cap-breach UAT + buffer</w:t>
            </w:r>
          </w:p>
        </w:tc>
        <w:tc>
          <w:tcPr>
            <w:tcW w:type="dxa" w:w="5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End-to-end walkthrough with HR Manager. Refinement based on feedback. Handover.</w:t>
            </w:r>
          </w:p>
        </w:tc>
      </w:tr>
    </w:tbl>
    <w:p>
      <w:pPr>
        <w:spacing w:after="80" w:before="80" w:line="300"/>
      </w:pPr>
      <w:r>
        <w:rPr>
          <w:rFonts w:ascii="Calibri" w:cs="Calibri" w:eastAsia="Calibri" w:hAnsi="Calibri"/>
          <w:b/>
          <w:bCs/>
          <w:sz w:val="22"/>
          <w:szCs w:val="22"/>
        </w:rPr>
        <w:t xml:space="preserve">Critical path: </w:t>
      </w:r>
      <w:r>
        <w:rPr>
          <w:rFonts w:ascii="Calibri" w:cs="Calibri" w:eastAsia="Calibri" w:hAnsi="Calibri"/>
          <w:sz w:val="22"/>
          <w:szCs w:val="22"/>
        </w:rPr>
        <w:t xml:space="preserve">Day 1 must finish cleanly before Day 2 — the validation code references the master DocTypes. </w:t>
      </w:r>
      <w:r>
        <w:rPr>
          <w:rFonts w:ascii="Calibri" w:cs="Calibri" w:eastAsia="Calibri" w:hAnsi="Calibri"/>
          <w:sz w:val="22"/>
          <w:szCs w:val="22"/>
        </w:rPr>
        <w:t xml:space="preserve">Days 3 and 4 can run in parallel if a designer is available for the PWA piece.</w:t>
      </w:r>
    </w:p>
    <w:p>
      <w:pPr>
        <w:pStyle w:val="Heading1"/>
        <w:spacing w:after="180" w:before="360"/>
      </w:pPr>
      <w:r>
        <w:rPr>
          <w:rFonts w:ascii="Calibri" w:cs="Calibri" w:eastAsia="Calibri" w:hAnsi="Calibri"/>
          <w:b/>
          <w:bCs/>
          <w:color w:val="1F3864"/>
          <w:sz w:val="32"/>
          <w:szCs w:val="32"/>
        </w:rPr>
        <w:t xml:space="preserve">9. Decisions Needed Before Day 1</w:t>
      </w:r>
    </w:p>
    <w:p>
      <w:pPr>
        <w:spacing w:after="80" w:before="80" w:line="300"/>
      </w:pPr>
      <w:r>
        <w:rPr>
          <w:rFonts w:ascii="Calibri" w:cs="Calibri" w:eastAsia="Calibri" w:hAnsi="Calibri"/>
          <w:sz w:val="22"/>
          <w:szCs w:val="22"/>
        </w:rPr>
        <w:t xml:space="preserve">These are policy-level questions the source document either left ambiguous or didn't address. Each one has a working default in the spec; management confirmation locks the default or flips it. None block the start of work — but unanswered questions surface later as employee complaints once the system goes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9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w:t>
            </w:r>
          </w:p>
        </w:tc>
        <w:tc>
          <w:tcPr>
            <w:tcW w:type="dxa" w:w="4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Question</w:t>
            </w:r>
          </w:p>
        </w:tc>
        <w:tc>
          <w:tcPr>
            <w:tcW w:type="dxa" w:w="39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Working default</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Q1</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Hard-block or warn on late submission (&gt;7 working days)?</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Warn — HR can flip to hard-block via HR Settings toggle.</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Q2</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What's the exact list of designations in the 'CXO' grade?</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Treat as a single Grade master record. HR populates which Employees sit in it. List itself is HR's call.</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Q3</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What's the exact list of designations in 'Others'?</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Everyone not in CEO/COO or CXO.</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Q4</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Encashment-style rate for fuel — is the ₹6/₹10/₹15 per-km final, or does it adjust periodically with fuel prices?</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Static until HR opens Employee Grade and changes it. Recommend a quarterly review.</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Q5</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Submission window — 7 working days from the EARLIEST or LATEST expense in the claim?</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Latest. A 3-day trip with expenses on days 1, 2, 3 has 7 working days from day 3.</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Q6</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What constitutes 'working days' — Mon–Fri only, or include the employee's Holiday List?</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Mon–Fri minus the employee's Holiday List (consistent with the Leave Policy setup).</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Q7</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Cap override — should HR Manager approval be enough, or also require Accounts Manager sign-off?</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Manager alone (matches single-stage pattern). Add Accounts Manager later if needed.</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Q8</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Is GST on reimbursable hotel bills claimable as input credit by the company?</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Out of scope — Finance handles GST claim in their own books. The Expense Claim records the gross.</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Q9</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Encashment rate for personal vehicle includes which costs — fuel only, or also wear-and-tear?</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Single rupee-per-km figure; interpretation is between HR and the employee.</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Q10</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What's the policy on international travel (FX, allowances)?</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Out of scope for Phase 1. The current policy is domestic-only. International rules to be added in Phase 2 if needed.</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Q11</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Should we add a quarterly cap-review reminder to HR's calendar via Notification?</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Yes (recommend) — a small scheduled job.</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Q12</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Is the Personal Vehicle rate inclusive of tolls, or are tolls reimbursable separately on actuals?</w:t>
            </w:r>
          </w:p>
        </w:tc>
        <w:tc>
          <w:tcPr>
            <w:tcW w:type="dxa" w:w="3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Working assumption: tolls are reimbursable separately as a Miscellaneous line with receipts.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8"/>
              <w:left w:val="single" w:color="1F3864" w:sz="24"/>
              <w:bottom w:val="single" w:color="1F3864" w:sz="8"/>
              <w:right w:val="single" w:color="1F3864" w:sz="8"/>
            </w:tcBorders>
            <w:shd w:fill="F5F5F5" w:val="clear"/>
            <w:tcMar>
              <w:top w:type="dxa" w:w="140"/>
              <w:left w:type="dxa" w:w="180"/>
              <w:bottom w:type="dxa" w:w="140"/>
              <w:right w:type="dxa" w:w="180"/>
            </w:tcMar>
          </w:tcPr>
          <w:p>
            <w:pPr>
              <w:spacing w:after="80" w:before="0"/>
            </w:pPr>
            <w:r>
              <w:rPr>
                <w:rFonts w:ascii="Calibri" w:cs="Calibri" w:eastAsia="Calibri" w:hAnsi="Calibri"/>
                <w:b/>
                <w:bCs/>
                <w:color w:val="1F3864"/>
                <w:sz w:val="22"/>
                <w:szCs w:val="22"/>
              </w:rPr>
              <w:t xml:space="preserve">Action required</w:t>
            </w:r>
          </w:p>
          <w:p>
            <w:pPr>
              <w:spacing w:after="0" w:before="0" w:line="290"/>
            </w:pPr>
            <w:r>
              <w:rPr>
                <w:rFonts w:ascii="Calibri" w:cs="Calibri" w:eastAsia="Calibri" w:hAnsi="Calibri"/>
                <w:sz w:val="22"/>
                <w:szCs w:val="22"/>
              </w:rPr>
              <w:t xml:space="preserve">Please review the 12 questions above and indicate yes/flip for each. The defaults are sensible but each has real money implications. Once confirmed, the developer can start Day 1 with no blocking ambiguities.</w:t>
            </w:r>
          </w:p>
        </w:tc>
      </w:tr>
    </w:tbl>
    <w:p>
      <w:pPr>
        <w:pStyle w:val="Heading1"/>
        <w:spacing w:after="180" w:before="360"/>
      </w:pPr>
      <w:r>
        <w:rPr>
          <w:rFonts w:ascii="Calibri" w:cs="Calibri" w:eastAsia="Calibri" w:hAnsi="Calibri"/>
          <w:b/>
          <w:bCs/>
          <w:color w:val="1F3864"/>
          <w:sz w:val="32"/>
          <w:szCs w:val="32"/>
        </w:rPr>
        <w:t xml:space="preserve">10. Risks &amp; Mitigations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500"/>
        <w:gridCol w:w="35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w:t>
            </w:r>
          </w:p>
        </w:tc>
        <w:tc>
          <w:tcPr>
            <w:tcW w:type="dxa" w:w="3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Risk</w:t>
            </w:r>
          </w:p>
        </w:tc>
        <w:tc>
          <w:tcPr>
            <w:tcW w:type="dxa" w:w="1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Likelihood</w:t>
            </w:r>
          </w:p>
        </w:tc>
        <w:tc>
          <w:tcPr>
            <w:tcW w:type="dxa" w:w="3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Mitigation</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R1</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Employee disputes when a legitimate expense exceeds cap and approver is slow to approve override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Medium</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Justification field forces upfront written context. Cap-override claims appear in a dedicated HR Manager queue.</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R2</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forgets to maintain the Per Diem Cap Matrix; cap revisions don't reflect in the system</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Low</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Recommend a quarterly reminder (Q11). Annual policy review (§14) is the formal moment.</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R3</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New city not in the City Tier dropdown; employee can't pick</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Medium (initially)</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Catch-all 'Other' row defaults to Tier 3. HR can add named cities anytime via the DocType form.</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R4</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Employee Grade misconfigured (no fuel rate set); personal-vehicle lines fail</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Low</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Validation throws a clear error pointing at the missing Grade field. HR fixes in 30 seconds.</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R5</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Late-submission warning ignored by approvers; stale claims pile up</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Low</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can flip to hard-block at any time via HR Settings.</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R6</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Cap-override path abused — every claim gets the override flag</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Medium</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The escalation is visible to HR Manager. Trend reporting will surface abuse patterns; HR can institute a max-overrides-per-quarter informal policy.</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R7</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PWA cache lag causes employees to see stale cap values after HR updates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Low</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Cap lookup is a database query per validate — no caching. Updates apply immediately.</w:t>
            </w:r>
          </w:p>
        </w:tc>
      </w:tr>
      <w:tr>
        <w:trPr>
          <w:tblHeader w:val="false"/>
        </w:trP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R8</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ERPNext v16 upgrade lands a breaking change in stock Expense Claim</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Low</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myHR's override class isolation already absorbs this. Tests will catch regressions.</w:t>
            </w:r>
          </w:p>
        </w:tc>
      </w:tr>
    </w:tbl>
    <w:p>
      <w:pPr>
        <w:pStyle w:val="Heading1"/>
        <w:spacing w:after="180" w:before="360"/>
      </w:pPr>
      <w:r>
        <w:rPr>
          <w:rFonts w:ascii="Calibri" w:cs="Calibri" w:eastAsia="Calibri" w:hAnsi="Calibri"/>
          <w:b/>
          <w:bCs/>
          <w:color w:val="1F3864"/>
          <w:sz w:val="32"/>
          <w:szCs w:val="32"/>
        </w:rPr>
        <w:t xml:space="preserve">11. Appendix</w:t>
      </w:r>
    </w:p>
    <w:p>
      <w:pPr>
        <w:pStyle w:val="Heading3"/>
        <w:spacing w:after="100" w:before="200"/>
      </w:pPr>
      <w:r>
        <w:rPr>
          <w:rFonts w:ascii="Calibri" w:cs="Calibri" w:eastAsia="Calibri" w:hAnsi="Calibri"/>
          <w:b/>
          <w:bCs/>
          <w:color w:val="1F3864"/>
          <w:sz w:val="22"/>
          <w:szCs w:val="22"/>
        </w:rPr>
        <w:t xml:space="preserve">11.1 Companion documents</w:t>
      </w:r>
    </w:p>
    <w:p>
      <w:pPr>
        <w:pStyle w:val="ListParagraph"/>
        <w:numPr>
          <w:ilvl w:val="0"/>
          <w:numId w:val="2"/>
        </w:numPr>
        <w:spacing w:after="50" w:before="50" w:line="290"/>
      </w:pPr>
      <w:r>
        <w:rPr>
          <w:rFonts w:ascii="Calibri" w:cs="Calibri" w:eastAsia="Calibri" w:hAnsi="Calibri"/>
          <w:sz w:val="22"/>
          <w:szCs w:val="22"/>
        </w:rPr>
        <w:t xml:space="preserve">TRAVEL_EXPENSE.md — developer specification (markdown). Full DocType field schemas, validation pseudocode, patch contents, file references. Resides in docs/ alongside the existing feature specs (LEAVE_AND_ATTENDANCE.md, EMPLOYEE_CHECKIN.md, etc.).</w:t>
      </w:r>
    </w:p>
    <w:p>
      <w:pPr>
        <w:pStyle w:val="ListParagraph"/>
        <w:numPr>
          <w:ilvl w:val="0"/>
          <w:numId w:val="2"/>
        </w:numPr>
        <w:spacing w:after="50" w:before="50" w:line="290"/>
      </w:pPr>
      <w:r>
        <w:rPr>
          <w:rFonts w:ascii="Calibri" w:cs="Calibri" w:eastAsia="Calibri" w:hAnsi="Calibri"/>
          <w:sz w:val="22"/>
          <w:szCs w:val="22"/>
        </w:rPr>
        <w:t xml:space="preserve">Travel &amp; Reimbursement Policy v1 (PDF, signed 20-03-2026) — the source policy.</w:t>
      </w:r>
    </w:p>
    <w:p>
      <w:pPr>
        <w:pStyle w:val="ListParagraph"/>
        <w:numPr>
          <w:ilvl w:val="0"/>
          <w:numId w:val="2"/>
        </w:numPr>
        <w:spacing w:after="50" w:before="50" w:line="290"/>
      </w:pPr>
      <w:r>
        <w:rPr>
          <w:rFonts w:ascii="Calibri" w:cs="Calibri" w:eastAsia="Calibri" w:hAnsi="Calibri"/>
          <w:sz w:val="22"/>
          <w:szCs w:val="22"/>
        </w:rPr>
        <w:t xml:space="preserve">Leave Policy ERPNext Setup Guide — companion HRMS implementation for leave; shares conventions on Holiday List, Salary Structure, account naming.</w:t>
      </w:r>
    </w:p>
    <w:p>
      <w:pPr>
        <w:pStyle w:val="Heading3"/>
        <w:spacing w:after="100" w:before="200"/>
      </w:pPr>
      <w:r>
        <w:rPr>
          <w:rFonts w:ascii="Calibri" w:cs="Calibri" w:eastAsia="Calibri" w:hAnsi="Calibri"/>
          <w:b/>
          <w:bCs/>
          <w:color w:val="1F3864"/>
          <w:sz w:val="22"/>
          <w:szCs w:val="22"/>
        </w:rPr>
        <w:t xml:space="preserve">11.2 Stakeholders</w:t>
      </w:r>
    </w:p>
    <w:p>
      <w:pPr>
        <w:pStyle w:val="ListParagraph"/>
        <w:numPr>
          <w:ilvl w:val="0"/>
          <w:numId w:val="2"/>
        </w:numPr>
        <w:spacing w:after="50" w:before="50" w:line="290"/>
      </w:pPr>
      <w:r>
        <w:rPr>
          <w:rFonts w:ascii="Calibri" w:cs="Calibri" w:eastAsia="Calibri" w:hAnsi="Calibri"/>
          <w:b/>
          <w:bCs/>
          <w:sz w:val="22"/>
          <w:szCs w:val="22"/>
        </w:rPr>
        <w:t xml:space="preserve">Approver of this PRD: </w:t>
      </w:r>
      <w:r>
        <w:rPr>
          <w:rFonts w:ascii="Calibri" w:cs="Calibri" w:eastAsia="Calibri" w:hAnsi="Calibri"/>
          <w:sz w:val="22"/>
          <w:szCs w:val="22"/>
        </w:rPr>
        <w:t xml:space="preserve">Mr. Arvind Mediratta (CEO), Mr. Ambuj Narayan (COO)</w:t>
      </w:r>
    </w:p>
    <w:p>
      <w:pPr>
        <w:pStyle w:val="ListParagraph"/>
        <w:numPr>
          <w:ilvl w:val="0"/>
          <w:numId w:val="2"/>
        </w:numPr>
        <w:spacing w:after="50" w:before="50" w:line="290"/>
      </w:pPr>
      <w:r>
        <w:rPr>
          <w:rFonts w:ascii="Calibri" w:cs="Calibri" w:eastAsia="Calibri" w:hAnsi="Calibri"/>
          <w:b/>
          <w:bCs/>
          <w:sz w:val="22"/>
          <w:szCs w:val="22"/>
        </w:rPr>
        <w:t xml:space="preserve">HR owner: </w:t>
      </w:r>
      <w:r>
        <w:rPr>
          <w:rFonts w:ascii="Calibri" w:cs="Calibri" w:eastAsia="Calibri" w:hAnsi="Calibri"/>
          <w:sz w:val="22"/>
          <w:szCs w:val="22"/>
        </w:rPr>
        <w:t xml:space="preserve">HR Manager (to be named)</w:t>
      </w:r>
    </w:p>
    <w:p>
      <w:pPr>
        <w:pStyle w:val="ListParagraph"/>
        <w:numPr>
          <w:ilvl w:val="0"/>
          <w:numId w:val="2"/>
        </w:numPr>
        <w:spacing w:after="50" w:before="50" w:line="290"/>
      </w:pPr>
      <w:r>
        <w:rPr>
          <w:rFonts w:ascii="Calibri" w:cs="Calibri" w:eastAsia="Calibri" w:hAnsi="Calibri"/>
          <w:b/>
          <w:bCs/>
          <w:sz w:val="22"/>
          <w:szCs w:val="22"/>
        </w:rPr>
        <w:t xml:space="preserve">Implementation owner: </w:t>
      </w:r>
      <w:r>
        <w:rPr>
          <w:rFonts w:ascii="Calibri" w:cs="Calibri" w:eastAsia="Calibri" w:hAnsi="Calibri"/>
          <w:sz w:val="22"/>
          <w:szCs w:val="22"/>
        </w:rPr>
        <w:t xml:space="preserve">myHR developer (Abhay Nain)</w:t>
      </w:r>
    </w:p>
    <w:p>
      <w:pPr>
        <w:pStyle w:val="ListParagraph"/>
        <w:numPr>
          <w:ilvl w:val="0"/>
          <w:numId w:val="2"/>
        </w:numPr>
        <w:spacing w:after="50" w:before="50" w:line="290"/>
      </w:pPr>
      <w:r>
        <w:rPr>
          <w:rFonts w:ascii="Calibri" w:cs="Calibri" w:eastAsia="Calibri" w:hAnsi="Calibri"/>
          <w:b/>
          <w:bCs/>
          <w:sz w:val="22"/>
          <w:szCs w:val="22"/>
        </w:rPr>
        <w:t xml:space="preserve">Finance owner: </w:t>
      </w:r>
      <w:r>
        <w:rPr>
          <w:rFonts w:ascii="Calibri" w:cs="Calibri" w:eastAsia="Calibri" w:hAnsi="Calibri"/>
          <w:sz w:val="22"/>
          <w:szCs w:val="22"/>
        </w:rPr>
        <w:t xml:space="preserve">Accounts Manager (to be named) — confirms GL account mapping for the 11 Expense Claim Types</w:t>
      </w:r>
    </w:p>
    <w:p>
      <w:pPr>
        <w:pStyle w:val="Heading3"/>
        <w:spacing w:after="100" w:before="200"/>
      </w:pPr>
      <w:r>
        <w:rPr>
          <w:rFonts w:ascii="Calibri" w:cs="Calibri" w:eastAsia="Calibri" w:hAnsi="Calibri"/>
          <w:b/>
          <w:bCs/>
          <w:color w:val="1F3864"/>
          <w:sz w:val="22"/>
          <w:szCs w:val="22"/>
        </w:rPr>
        <w:t xml:space="preserve">11.3 Sign-off block</w:t>
      </w:r>
    </w:p>
    <w:p>
      <w:pPr>
        <w:spacing w:after="80" w:before="80" w:line="300"/>
      </w:pPr>
      <w:r>
        <w:rPr>
          <w:rFonts w:ascii="Calibri" w:cs="Calibri" w:eastAsia="Calibri" w:hAnsi="Calibri"/>
          <w:sz w:val="22"/>
          <w:szCs w:val="22"/>
        </w:rPr>
        <w:t xml:space="preserve">This page is intended for printed sign-off. Signatures below indicate review and approval of scope, approach, and the 12 open questions in §9.</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0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Name</w:t>
            </w:r>
          </w:p>
        </w:tc>
        <w:tc>
          <w:tcPr>
            <w:tcW w:type="dxa" w:w="20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Role</w:t>
            </w:r>
          </w:p>
        </w:tc>
        <w:tc>
          <w:tcPr>
            <w:tcW w:type="dxa" w:w="25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Signature</w:t>
            </w:r>
          </w:p>
        </w:tc>
        <w:tc>
          <w:tcPr>
            <w:tcW w:type="dxa" w:w="2000"/>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vAlign w:val="center"/>
          </w:tcPr>
          <w:p>
            <w:pPr>
              <w:spacing w:after="0" w:before="0"/>
            </w:pPr>
            <w:r>
              <w:rPr>
                <w:rFonts w:ascii="Calibri" w:cs="Calibri" w:eastAsia="Calibri" w:hAnsi="Calibri"/>
                <w:b/>
                <w:bCs/>
                <w:color w:val="FFFFFF"/>
                <w:sz w:val="20"/>
                <w:szCs w:val="20"/>
              </w:rPr>
              <w:t xml:space="preserve">Date</w:t>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Mr. Arvind Mediratta</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CEO</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Mr. Ambuj Narayan</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COO</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Manager</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HR Owner</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
            </w:r>
          </w:p>
        </w:tc>
      </w:tr>
      <w:tr>
        <w:trPr>
          <w:tblHeader w:val="false"/>
        </w:trP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Accounts Manager</w:t>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Finance Owner</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before="0"/>
            </w:pPr>
            <w:r>
              <w:rPr>
                <w:rFonts w:ascii="Calibri" w:cs="Calibri" w:eastAsia="Calibri" w:hAnsi="Calibri"/>
                <w:b w:val="false"/>
                <w:bCs w:val="false"/>
                <w:color w:val="000000"/>
                <w:sz w:val="20"/>
                <w:szCs w:val="20"/>
              </w:rPr>
              <w:t xml:space="preserve"/>
            </w:r>
          </w:p>
        </w:tc>
      </w:tr>
    </w:tbl>
    <w:p>
      <w:pPr>
        <w:spacing w:before="600"/>
      </w:pPr>
      <w:r>
        <w:t xml:space="preserve"/>
      </w:r>
    </w:p>
    <w:p>
      <w:pPr>
        <w:jc w:val="center"/>
      </w:pPr>
      <w:r>
        <w:rPr>
          <w:rFonts w:ascii="Calibri" w:cs="Calibri" w:eastAsia="Calibri" w:hAnsi="Calibri"/>
          <w:i/>
          <w:iCs/>
          <w:color w:val="595959"/>
          <w:sz w:val="22"/>
          <w:szCs w:val="22"/>
        </w:rPr>
        <w:t xml:space="preserve">— End of Document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Elixiir Foods — Travel &amp; Reimbursement PRD — myHR Implementation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2026-05-12T09:59:53.499Z</dcterms:created>
  <dcterms:modified xsi:type="dcterms:W3CDTF">2026-05-12T09:59:53.517Z</dcterms:modified>
</cp:coreProperties>
</file>

<file path=docProps/custom.xml><?xml version="1.0" encoding="utf-8"?>
<Properties xmlns="http://schemas.openxmlformats.org/officeDocument/2006/custom-properties" xmlns:vt="http://schemas.openxmlformats.org/officeDocument/2006/docPropsVTypes"/>
</file>