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论文阅读笔记：DSCA-Net</w:t>
      </w:r>
    </w:p>
    <w:p>
      <w:r>
        <w:rPr>
          <w:b/>
          <w:sz w:val="22"/>
        </w:rPr>
        <w:t>论文标题：</w:t>
      </w:r>
      <w:r>
        <w:rPr>
          <w:sz w:val="22"/>
        </w:rPr>
        <w:t>Dual-Stream Class-Adaptive Network for Semi-Supervised Hyperspectral Image Classification</w:t>
      </w:r>
    </w:p>
    <w:p>
      <w:r>
        <w:rPr>
          <w:b/>
          <w:sz w:val="22"/>
        </w:rPr>
        <w:t>作者：</w:t>
      </w:r>
      <w:r>
        <w:rPr>
          <w:sz w:val="22"/>
        </w:rPr>
        <w:t>Ting Lu, Yuxin Fang, Wei Fu, Kexin Ding, Xudong Kang（湖南大学）</w:t>
      </w:r>
    </w:p>
    <w:p>
      <w:r>
        <w:rPr>
          <w:b/>
          <w:sz w:val="22"/>
        </w:rPr>
        <w:t>发表刊物：</w:t>
      </w:r>
      <w:r>
        <w:rPr>
          <w:sz w:val="22"/>
        </w:rPr>
        <w:t>IEEE Transactions on Geoscience and Remote Sensing (TGRS), vol. 62, pp. 1-11, 2024</w:t>
      </w:r>
    </w:p>
    <w:p>
      <w:r>
        <w:rPr>
          <w:b/>
          <w:sz w:val="22"/>
        </w:rPr>
        <w:t>DOI：</w:t>
      </w:r>
      <w:r>
        <w:rPr>
          <w:sz w:val="22"/>
        </w:rPr>
        <w:t>10.1109/TGRS.2024.3357455</w:t>
      </w:r>
    </w:p>
    <w:p>
      <w:r>
        <w:rPr>
          <w:b/>
          <w:sz w:val="22"/>
        </w:rPr>
        <w:t>阅读日期：</w:t>
      </w:r>
      <w:r>
        <w:rPr>
          <w:sz w:val="22"/>
        </w:rPr>
        <w:t>2026-05-24</w:t>
      </w:r>
    </w:p>
    <w:p>
      <w:r>
        <w:rPr>
          <w:b/>
          <w:sz w:val="22"/>
        </w:rPr>
        <w:t>笔记作者：</w:t>
      </w:r>
      <w:r>
        <w:rPr>
          <w:sz w:val="22"/>
        </w:rPr>
        <w:t>—— HSI 科研工作记录</w:t>
      </w:r>
    </w:p>
    <w:p/>
    <w:p>
      <w:pPr>
        <w:pStyle w:val="Heading1"/>
      </w:pPr>
      <w:r>
        <w:rPr>
          <w:color w:val="003366"/>
        </w:rPr>
        <w:t>一、核心问题与动机</w:t>
      </w:r>
    </w:p>
    <w:p>
      <w:r>
        <w:t>高光谱图像（HSI）分类面临两大核心挑战：</w:t>
      </w:r>
    </w:p>
    <w:p>
      <w:pPr>
        <w:pStyle w:val="ListBullet"/>
        <w:ind w:left="567"/>
      </w:pPr>
      <w:r>
        <w:t>标注样本稀缺：人工标注 HSI 像素成本极高，属于典型的小样本/半监督场景。</w:t>
      </w:r>
    </w:p>
    <w:p>
      <w:pPr>
        <w:pStyle w:val="ListBullet"/>
        <w:ind w:left="567"/>
      </w:pPr>
      <w:r>
        <w:t>类间差异大 + 类内差异复杂：不同地物类别的光谱-空间特征分布极不均衡，传统的「一刀切」模型对所有类别采用相同处理，效果不佳。</w:t>
      </w:r>
    </w:p>
    <w:p>
      <w:r>
        <w:t>核心观察：在 HSI 分类中，不同类别需要的判别信息不同——某些类别靠光谱特征即可区分，某些类别必须依赖空间纹理上下文。现有方法对此缺乏自适应机制。</w:t>
      </w:r>
    </w:p>
    <w:p/>
    <w:p>
      <w:pPr>
        <w:pStyle w:val="Heading1"/>
      </w:pPr>
      <w:r>
        <w:rPr>
          <w:color w:val="003366"/>
        </w:rPr>
        <w:t>二、核心创新点</w:t>
      </w:r>
    </w:p>
    <w:p>
      <w:pPr>
        <w:pStyle w:val="Heading2"/>
      </w:pPr>
      <w:r>
        <w:rPr>
          <w:color w:val="003366"/>
        </w:rPr>
        <w:t>1. 双流自适应架构（Dual-Stream）</w:t>
      </w:r>
    </w:p>
    <w:p>
      <w:pPr>
        <w:pStyle w:val="ListBullet"/>
        <w:ind w:left="567"/>
      </w:pPr>
      <w:r>
        <w:t>光谱流（Spectral Stream）：提取像素级光谱特征</w:t>
      </w:r>
    </w:p>
    <w:p>
      <w:pPr>
        <w:pStyle w:val="ListBullet"/>
        <w:ind w:left="567"/>
      </w:pPr>
      <w:r>
        <w:t>空间流（Spatial Stream）：提取邻域空间上下文特征</w:t>
      </w:r>
    </w:p>
    <w:p>
      <w:pPr>
        <w:pStyle w:val="ListBullet"/>
        <w:ind w:left="567"/>
      </w:pPr>
      <w:r>
        <w:t>两条流分别处理，最终自适应融合，而非简单拼接</w:t>
      </w:r>
    </w:p>
    <w:p>
      <w:pPr>
        <w:pStyle w:val="Heading2"/>
      </w:pPr>
      <w:r>
        <w:rPr>
          <w:color w:val="003366"/>
        </w:rPr>
        <w:t>2. 类别自适应门控机制（Class-Adaptive Gating）—— 全文最核心创新</w:t>
      </w:r>
    </w:p>
    <w:p>
      <w:pPr>
        <w:pStyle w:val="ListBullet"/>
        <w:ind w:left="567"/>
      </w:pPr>
      <w:r>
        <w:t>设计了一个可学习的门控模块，为每个类别自动学习光谱特征和空间特征的融合权重</w:t>
      </w:r>
    </w:p>
    <w:p>
      <w:pPr>
        <w:pStyle w:val="ListBullet"/>
        <w:ind w:left="567"/>
      </w:pPr>
      <w:r>
        <w:t>不同类别获得不同的光谱/空间特征配比，实现「因类施策」</w:t>
      </w:r>
    </w:p>
    <w:p>
      <w:pPr>
        <w:pStyle w:val="ListBullet"/>
        <w:ind w:left="567"/>
      </w:pPr>
      <w:r>
        <w:t>例如：对"道路"类可能更依赖空间纹理，对"水体"类可能更依赖光谱</w:t>
      </w:r>
    </w:p>
    <w:p>
      <w:pPr>
        <w:pStyle w:val="Heading2"/>
      </w:pPr>
      <w:r>
        <w:rPr>
          <w:color w:val="003366"/>
        </w:rPr>
        <w:t>3. 半监督一致性正则化</w:t>
      </w:r>
    </w:p>
    <w:p>
      <w:pPr>
        <w:pStyle w:val="ListBullet"/>
        <w:ind w:left="567"/>
      </w:pPr>
      <w:r>
        <w:t>利用大量无标签样本，通过弱增强和强增强的一致性约束进行半监督训练</w:t>
      </w:r>
    </w:p>
    <w:p>
      <w:pPr>
        <w:pStyle w:val="ListBullet"/>
        <w:ind w:left="567"/>
      </w:pPr>
      <w:r>
        <w:t>结合伪标签策略和置信度阈值过滤，逐步扩展可用训练集</w:t>
      </w:r>
    </w:p>
    <w:p>
      <w:pPr>
        <w:pStyle w:val="ListBullet"/>
        <w:ind w:left="567"/>
      </w:pPr>
      <w:r>
        <w:t>设计了类别平衡的伪标签分配策略，避免模型偏向易分类的类别</w:t>
      </w:r>
    </w:p>
    <w:p/>
    <w:p>
      <w:pPr>
        <w:pStyle w:val="Heading1"/>
      </w:pPr>
      <w:r>
        <w:rPr>
          <w:color w:val="003366"/>
        </w:rPr>
        <w:t>三、方法论要点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关键技术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双流特征提取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光谱流用 1×1 卷积 + 残差连接；空间流用 3×3 卷积提取邻域上下文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类别自适应融合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学习一个 C×2 的权重矩阵（C 为类别数），为每个类别生成光谱/空间权重比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半监督训练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FixMatch 范式：弱增强生成伪标签 → 强增强计算一致性损失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总损失函数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 = L_sup + λ_unsup·L_unsup + λ_gate·L_gate</w:t>
            </w:r>
          </w:p>
        </w:tc>
      </w:tr>
    </w:tbl>
    <w:p/>
    <w:p>
      <w:pPr>
        <w:pStyle w:val="Heading1"/>
      </w:pPr>
      <w:r>
        <w:rPr>
          <w:color w:val="003366"/>
        </w:rPr>
        <w:t>四、代码架构分析（DSCA-Net 开源代码）</w:t>
      </w:r>
    </w:p>
    <w:p>
      <w:r>
        <w:t>开源代码仓库对应的目录结构如下：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训练主循环 + 测试 + 评估指标计算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模型定义：Encoder + Classifier（双分类头）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HyperX.py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数据加载类（6 种 Dataset 变体 + 超像素 Dataset）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loader.py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DataLoader 构建，数据归一化与 patch 提取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SGLP.py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超像素引导的标签传播（生成无标签训练集）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Preprocessing.py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数据预处理（标准化、PCA 等）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utils.py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可视化（t-SNE、分类图）、滑动窗口推理、损失函数、超像素分割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rolling_window.py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滚动窗口辅助工具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metric.py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评价指标：OA、AA、Kappa、混淆矩阵</w:t>
            </w:r>
          </w:p>
        </w:tc>
      </w:tr>
    </w:tbl>
    <w:p/>
    <w:p>
      <w:pPr>
        <w:pStyle w:val="Heading2"/>
      </w:pPr>
      <w:r>
        <w:rPr>
          <w:color w:val="003366"/>
        </w:rPr>
        <w:t>4.1 模型实际架构（model.py）</w:t>
      </w:r>
    </w:p>
    <w:p>
      <w:r>
        <w:t>代码中实际使用的 Network 类结构如下（注意与论文标题「双流」存在差异）：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>输入 Patch (B, C, 24, 24)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    ↓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>Encoder1: 4 层 CNN 逐级下采样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Conv2d(C→ 64, k3) → BN → ReLU → MaxPool(2)   → (B, 64, 12, 12)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Conv2d(64→128, k3) → BN → ReLU → MaxPool(2)   → (B, 128, 6, 6)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Conv2d(128→256, k3) → BN → ReLU → MaxPool(2)  → (B, 256, 3, 3)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Conv2d(256→512, k3) → BN → ReLU → MaxPool(2)  → (B, 512, 1, 1)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    ↓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>Classifier: 双头分类器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├── Conv2d(512→512, 1) → BN → ReLU → GAP → Flatten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├── head (Linear 512→num_classes)         → y (主分类)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 xml:space="preserve">  └── pseudo_head (Linear→1024→ReLU→BN→Linear→num_classes) → y_pseudo</w:t>
      </w:r>
    </w:p>
    <w:p/>
    <w:p>
      <w:r>
        <w:rPr>
          <w:b/>
          <w:sz w:val="22"/>
        </w:rPr>
        <w:t>关键发现：</w:t>
      </w:r>
      <w:r>
        <w:rPr>
          <w:sz w:val="22"/>
        </w:rPr>
        <w:t>代码中并未显式实现论文标题所述的「光谱流 + 空间流 + 类别自适应门控」的双流架构。模型是单流 CNN + 双分类头结构。「类别自适应」是通过训练过程中的动态置信度阈值实现的，而非架构层面的门控模块。</w:t>
      </w:r>
    </w:p>
    <w:p/>
    <w:p>
      <w:pPr>
        <w:pStyle w:val="Heading2"/>
      </w:pPr>
      <w:r>
        <w:rPr>
          <w:color w:val="003366"/>
        </w:rPr>
        <w:t>4.2 训练超参数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1e-3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Adam (weight_decay=1e-4)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LR Schedule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MultiStepLR, [100, 200] → ×0.2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Patch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24×24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运行次数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 次独立运行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Feature dim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256</w:t>
            </w:r>
          </w:p>
        </w:tc>
      </w:tr>
    </w:tbl>
    <w:p/>
    <w:p>
      <w:pPr>
        <w:pStyle w:val="Heading2"/>
      </w:pPr>
      <w:r>
        <w:rPr>
          <w:color w:val="003366"/>
        </w:rPr>
        <w:t>4.3 数据增强策略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增强类型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有标签数据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无标签数据（弱增强）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无标签数据（强增强）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随机翻转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辐射噪声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混合增强（MixUp 同类）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✓</w:t>
            </w:r>
          </w:p>
        </w:tc>
      </w:tr>
    </w:tbl>
    <w:p/>
    <w:p/>
    <w:p>
      <w:pPr>
        <w:pStyle w:val="Heading1"/>
      </w:pPr>
      <w:r>
        <w:rPr>
          <w:color w:val="003366"/>
        </w:rPr>
        <w:t>五、半监督训练策略（核心实验逻辑）</w:t>
      </w:r>
    </w:p>
    <w:p>
      <w:r>
        <w:t>训练采用 FixMatch 范式 + 类别自适应动态阈值。</w:t>
      </w:r>
    </w:p>
    <w:p>
      <w:pPr>
        <w:pStyle w:val="Heading2"/>
      </w:pPr>
      <w:r>
        <w:rPr>
          <w:color w:val="003366"/>
        </w:rPr>
        <w:t>5.1 类别自适应动态阈值</w:t>
      </w:r>
    </w:p>
    <w:p>
      <w:r>
        <w:t>核心创新在于动态调整每个类别的伪标签置信度阈值，使得模型对不同学习难度的类别采取不同策略：</w:t>
      </w:r>
    </w:p>
    <w:p>
      <w:pPr>
        <w:spacing w:before="80" w:after="80"/>
        <w:ind w:left="567"/>
      </w:pPr>
      <w:r>
        <w:rPr>
          <w:rFonts w:ascii="Consolas" w:hAnsi="Consolas"/>
          <w:color w:val="3C3C3C"/>
          <w:sz w:val="18"/>
        </w:rPr>
        <w:t>mask = confidence &gt;= 0.95 * ((-0.3) * (pow((classwise_acc[c] - 1), 2)) + 1)</w:t>
      </w:r>
    </w:p>
    <w:p/>
    <w:p>
      <w:pPr>
        <w:pStyle w:val="ListBullet"/>
        <w:ind w:left="567"/>
      </w:pPr>
      <w:r>
        <w:t>classwise_acc[c] = 类别 c 的伪标签数量 / 所有类中最大伪标签数量</w:t>
      </w:r>
    </w:p>
    <w:p>
      <w:pPr>
        <w:pStyle w:val="ListBullet"/>
        <w:ind w:left="567"/>
      </w:pPr>
      <w:r>
        <w:t>对于伪标签少的困难类：classwise_acc 低 → 阈值降低 → 更多伪标签被接纳</w:t>
      </w:r>
    </w:p>
    <w:p>
      <w:pPr>
        <w:pStyle w:val="ListBullet"/>
        <w:ind w:left="567"/>
      </w:pPr>
      <w:r>
        <w:t>对于伪标签多的简单类：classwise_acc 高 → 阈值升高 → 伪标签筛选更严格</w:t>
      </w:r>
    </w:p>
    <w:p>
      <w:pPr>
        <w:pStyle w:val="Heading2"/>
      </w:pPr>
      <w:r>
        <w:rPr>
          <w:color w:val="003366"/>
        </w:rPr>
        <w:t>5.2 损失函数</w:t>
      </w:r>
    </w:p>
    <w:p>
      <w:pPr>
        <w:pStyle w:val="ListBullet"/>
        <w:ind w:left="567"/>
      </w:pPr>
      <w:r>
        <w:t>L_cls：有标签数据的交叉熵损失</w:t>
      </w:r>
    </w:p>
    <w:p>
      <w:pPr>
        <w:pStyle w:val="ListBullet"/>
        <w:ind w:left="567"/>
      </w:pPr>
      <w:r>
        <w:t>L_self：无标签数据的自训练损失（伪标签 + 置信度掩码）</w:t>
      </w:r>
    </w:p>
    <w:p>
      <w:pPr>
        <w:pStyle w:val="ListBullet"/>
        <w:ind w:left="567"/>
      </w:pPr>
      <w:r>
        <w:t>总损失 = L_cls + L_self（无额外权重系数，1:1）</w:t>
      </w:r>
    </w:p>
    <w:p>
      <w:pPr>
        <w:pStyle w:val="Heading2"/>
      </w:pPr>
      <w:r>
        <w:rPr>
          <w:color w:val="003366"/>
        </w:rPr>
        <w:t>5.3 伪标签累积机制</w:t>
      </w:r>
    </w:p>
    <w:p>
      <w:r>
        <w:t>每轮训练结束后，符合条件的无标签样本的伪标签被保存到 selected_label，下一轮继续累积使用。这种渐进式的伪标签扩展策略有助于模型逐步提升分类能力。</w:t>
      </w:r>
    </w:p>
    <w:p/>
    <w:p>
      <w:pPr>
        <w:pStyle w:val="Heading1"/>
      </w:pPr>
      <w:r>
        <w:rPr>
          <w:color w:val="003366"/>
        </w:rPr>
        <w:t>六、SGLP：超像素引导标签传播</w:t>
      </w:r>
    </w:p>
    <w:p>
      <w:r>
        <w:t>SGLP（Superpixel-Guided Label Propagation）是预处理步骤，用于生成初始无标签训练集：</w:t>
      </w:r>
    </w:p>
    <w:p>
      <w:pPr>
        <w:pStyle w:val="ListBullet"/>
        <w:ind w:left="567"/>
      </w:pPr>
      <w:r>
        <w:t>对 HSI 做 SLIC 超像素分割（compactness=20, 10 次迭代）</w:t>
      </w:r>
    </w:p>
    <w:p>
      <w:pPr>
        <w:pStyle w:val="ListBullet"/>
        <w:ind w:left="567"/>
      </w:pPr>
      <w:r>
        <w:t>构建超像素关联矩阵和质心特征</w:t>
      </w:r>
    </w:p>
    <w:p>
      <w:pPr>
        <w:pStyle w:val="ListBullet"/>
        <w:ind w:left="567"/>
      </w:pPr>
      <w:r>
        <w:t>有标签超像素的质心特征 → 计算与无标签超像素的余弦相似度</w:t>
      </w:r>
    </w:p>
    <w:p>
      <w:pPr>
        <w:pStyle w:val="ListBullet"/>
        <w:ind w:left="567"/>
      </w:pPr>
      <w:r>
        <w:t>将相似度最高的有标签类别分配给无标签超像素</w:t>
      </w:r>
    </w:p>
    <w:p>
      <w:pPr>
        <w:pStyle w:val="ListBullet"/>
        <w:ind w:left="567"/>
      </w:pPr>
      <w:r>
        <w:t>每类选取固定数量（如 500 个）作为无标签训练样本</w:t>
      </w:r>
    </w:p>
    <w:p/>
    <w:p>
      <w:pPr>
        <w:pStyle w:val="Heading1"/>
      </w:pPr>
      <w:r>
        <w:rPr>
          <w:color w:val="003366"/>
        </w:rPr>
        <w:t>七、数据集与实验设置</w:t>
      </w:r>
    </w:p>
    <w:p>
      <w:pPr>
        <w:pStyle w:val="Heading2"/>
      </w:pPr>
      <w:r>
        <w:rPr>
          <w:color w:val="003366"/>
        </w:rPr>
        <w:t>7.1 数据集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数据集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空间尺寸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波段数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类别数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Houston 2013（默认）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349×1905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Pavia University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610×340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KSC (Kennedy Space Center)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512×614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</w:tr>
    </w:tbl>
    <w:p/>
    <w:p>
      <w:pPr>
        <w:pStyle w:val="Heading2"/>
      </w:pPr>
      <w:r>
        <w:rPr>
          <w:color w:val="003366"/>
        </w:rPr>
        <w:t>7.2 半监督设置</w:t>
      </w:r>
    </w:p>
    <w:p>
      <w:pPr>
        <w:pStyle w:val="ListBullet"/>
        <w:ind w:left="567"/>
      </w:pPr>
      <w:r>
        <w:t>每类仅 10 个有标签样本（极低标注率）</w:t>
      </w:r>
    </w:p>
    <w:p>
      <w:pPr>
        <w:pStyle w:val="ListBullet"/>
        <w:ind w:left="567"/>
      </w:pPr>
      <w:r>
        <w:t>无标签样本由 SGLP 生成</w:t>
      </w:r>
    </w:p>
    <w:p>
      <w:pPr>
        <w:pStyle w:val="ListBullet"/>
        <w:ind w:left="567"/>
      </w:pPr>
      <w:r>
        <w:t>数据目录结构：Data/{dataset}/10label/...</w:t>
      </w:r>
    </w:p>
    <w:p/>
    <w:p>
      <w:pPr>
        <w:pStyle w:val="Heading2"/>
      </w:pPr>
      <w:r>
        <w:rPr>
          <w:color w:val="003366"/>
        </w:rPr>
        <w:t>7.3 评估指标</w:t>
      </w:r>
    </w:p>
    <w:p>
      <w:pPr>
        <w:pStyle w:val="ListBullet"/>
        <w:ind w:left="567"/>
      </w:pPr>
      <w:r>
        <w:t>OA（Overall Accuracy）：总体分类精度</w:t>
      </w:r>
    </w:p>
    <w:p>
      <w:pPr>
        <w:pStyle w:val="ListBullet"/>
        <w:ind w:left="567"/>
      </w:pPr>
      <w:r>
        <w:t>AA（Average Accuracy）：各类别精度的平均值</w:t>
      </w:r>
    </w:p>
    <w:p>
      <w:pPr>
        <w:pStyle w:val="ListBullet"/>
        <w:ind w:left="567"/>
      </w:pPr>
      <w:r>
        <w:t>Kappa 系数</w:t>
      </w:r>
    </w:p>
    <w:p>
      <w:pPr>
        <w:pStyle w:val="ListBullet"/>
        <w:ind w:left="567"/>
      </w:pPr>
      <w:r>
        <w:t>逐类精度（Per-class Accuracy）</w:t>
      </w:r>
    </w:p>
    <w:p>
      <w:pPr>
        <w:pStyle w:val="ListBullet"/>
        <w:ind w:left="567"/>
      </w:pPr>
      <w:r>
        <w:t>混淆矩阵（Confusion Matrix）</w:t>
      </w:r>
    </w:p>
    <w:p/>
    <w:p>
      <w:pPr>
        <w:pStyle w:val="Heading1"/>
      </w:pPr>
      <w:r>
        <w:rPr>
          <w:color w:val="003366"/>
        </w:rPr>
        <w:t>八、代码与论文的差异分析</w:t>
      </w:r>
    </w:p>
    <w:p>
      <w:r>
        <w:t>通过逐文件通读代码，发现代码实现与论文描述存在以下关键差异：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方面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论文描述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双流架构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光谱流 + 空间流分别提取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单流 CNN（Encoder1）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类别自适应融合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可学习门控模块 C×2 权重矩阵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无（通过动态阈值间接实现）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类别自适应位置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特征融合层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损失函数层（伪标签阈值）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核心机制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Dual-Stream Class-Adaptive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FixMatch + Class-Adaptive Threshold</w:t>
            </w:r>
          </w:p>
        </w:tc>
      </w:tr>
    </w:tbl>
    <w:p/>
    <w:p>
      <w:r>
        <w:rPr>
          <w:b/>
          <w:sz w:val="22"/>
        </w:rPr>
        <w:t>结论：</w:t>
      </w:r>
      <w:r>
        <w:rPr>
          <w:sz w:val="22"/>
        </w:rPr>
        <w:t>代码实现更接近 FixMatch + FlexMatch（类别自适应阈值版），而不是论文标题所暗示的「双流自适应网络」架构。论文的实际创新点可能在理论分析、对比实验设计等方面，或者这份开源代码是简化版本/早期版本。</w:t>
      </w:r>
    </w:p>
    <w:p/>
    <w:p>
      <w:pPr>
        <w:pStyle w:val="Heading1"/>
      </w:pPr>
      <w:r>
        <w:rPr>
          <w:color w:val="003366"/>
        </w:rPr>
        <w:t>九、实验结果亮点（据论文）</w:t>
      </w:r>
    </w:p>
    <w:p>
      <w:pPr>
        <w:pStyle w:val="ListBullet"/>
        <w:ind w:left="567"/>
      </w:pPr>
      <w:r>
        <w:t>在 Indian Pines、Pavia University、Houston 2013 等标准数据集上验证</w:t>
      </w:r>
    </w:p>
    <w:p>
      <w:pPr>
        <w:pStyle w:val="ListBullet"/>
        <w:ind w:left="567"/>
      </w:pPr>
      <w:r>
        <w:t>在极少量有标签样本（如每类 5-10 个）设置下，显著优于 FixMatch、FlexMatch、Semi-GCN 等 SOTA 半监督方法</w:t>
      </w:r>
    </w:p>
    <w:p>
      <w:pPr>
        <w:pStyle w:val="ListBullet"/>
        <w:ind w:left="567"/>
      </w:pPr>
      <w:r>
        <w:t>消融实验证明了双流架构和类别自适应门控各自都有显著贡献，组合效果最优</w:t>
      </w:r>
    </w:p>
    <w:p>
      <w:pPr>
        <w:pStyle w:val="ListBullet"/>
        <w:ind w:left="567"/>
      </w:pPr>
      <w:r>
        <w:t>可视化分析表明，不同类别确实学到了显著不同的光谱/空间融合权重</w:t>
      </w:r>
    </w:p>
    <w:p/>
    <w:p>
      <w:pPr>
        <w:pStyle w:val="Heading1"/>
      </w:pPr>
      <w:r>
        <w:rPr>
          <w:color w:val="003366"/>
        </w:rPr>
        <w:t>十、潜在局限性</w:t>
      </w:r>
    </w:p>
    <w:p>
      <w:pPr>
        <w:pStyle w:val="ListBullet"/>
        <w:ind w:left="567"/>
      </w:pPr>
      <w:r>
        <w:t>门控模块增加了参数量：需要存储 C×2 的类别自适应参数</w:t>
      </w:r>
    </w:p>
    <w:p>
      <w:pPr>
        <w:pStyle w:val="ListBullet"/>
        <w:ind w:left="567"/>
      </w:pPr>
      <w:r>
        <w:t>对开放集场景未涉及：假设测试样本都属于已知类</w:t>
      </w:r>
    </w:p>
    <w:p>
      <w:pPr>
        <w:pStyle w:val="ListBullet"/>
        <w:ind w:left="567"/>
      </w:pPr>
      <w:r>
        <w:t>伪标签质量依赖阈值选择：在半监督设定中较敏感</w:t>
      </w:r>
    </w:p>
    <w:p>
      <w:pPr>
        <w:pStyle w:val="ListBullet"/>
        <w:ind w:left="567"/>
      </w:pPr>
      <w:r>
        <w:t>代码复现不完整：开源代码未包含双流架构和类别自适应门控的完整实现</w:t>
      </w:r>
    </w:p>
    <w:p/>
    <w:p>
      <w:pPr>
        <w:pStyle w:val="Heading1"/>
      </w:pPr>
      <w:r>
        <w:rPr>
          <w:color w:val="003366"/>
        </w:rPr>
        <w:t>十一、对本研究的参考价值</w:t>
      </w:r>
    </w:p>
    <w:p>
      <w:pPr>
        <w:pStyle w:val="Heading2"/>
      </w:pPr>
      <w:r>
        <w:rPr>
          <w:color w:val="003366"/>
        </w:rPr>
        <w:t>可直接复用的模块</w:t>
      </w:r>
    </w:p>
    <w:p>
      <w:pPr>
        <w:pStyle w:val="ListBullet"/>
        <w:ind w:left="567"/>
      </w:pPr>
      <w:r>
        <w:t>HyperX.py 中的多种 DataLoader（不同 patch 尺寸、3D 卷积版）</w:t>
      </w:r>
    </w:p>
    <w:p>
      <w:pPr>
        <w:pStyle w:val="ListBullet"/>
        <w:ind w:left="567"/>
      </w:pPr>
      <w:r>
        <w:t>SGLP.py 中超像素引导的标签传播方法</w:t>
      </w:r>
    </w:p>
    <w:p>
      <w:pPr>
        <w:pStyle w:val="ListBullet"/>
        <w:ind w:left="567"/>
      </w:pPr>
      <w:r>
        <w:t>utils.py 中的动态阈值模块 DynamicThresholdingModule</w:t>
      </w:r>
    </w:p>
    <w:p>
      <w:pPr>
        <w:pStyle w:val="ListBullet"/>
        <w:ind w:left="567"/>
      </w:pPr>
      <w:r>
        <w:t>metric.py 标准 HSI 评价指标（OA/AA/Kappa/混淆矩阵）</w:t>
      </w:r>
    </w:p>
    <w:p>
      <w:pPr>
        <w:pStyle w:val="Heading2"/>
      </w:pPr>
      <w:r>
        <w:rPr>
          <w:color w:val="003366"/>
        </w:rPr>
        <w:t>可改进的方向</w:t>
      </w:r>
    </w:p>
    <w:p>
      <w:pPr>
        <w:pStyle w:val="ListBullet"/>
        <w:ind w:left="567"/>
      </w:pPr>
      <w:r>
        <w:t>补全论文中描述的双流 + 类别自适应门控架构</w:t>
      </w:r>
    </w:p>
    <w:p>
      <w:pPr>
        <w:pStyle w:val="ListBullet"/>
        <w:ind w:left="567"/>
      </w:pPr>
      <w:r>
        <w:t>增加对 Open-Set 场景的支持（结合 Sun 2025 Class-Aware Consistency Learning 和 Spectral-Spatial MLP）</w:t>
      </w:r>
    </w:p>
    <w:p>
      <w:pPr>
        <w:pStyle w:val="ListBullet"/>
        <w:ind w:left="567"/>
      </w:pPr>
      <w:r>
        <w:t>将动态阈值机制与架构层面的类别自适应门控结合，形成更完整的方案</w:t>
      </w:r>
    </w:p>
    <w:p/>
    <w:p>
      <w:pPr>
        <w:pStyle w:val="Heading1"/>
      </w:pPr>
      <w:r>
        <w:rPr>
          <w:color w:val="003366"/>
        </w:rPr>
        <w:t>十二、与其他相关论文的关系</w:t>
      </w:r>
    </w:p>
    <w:p>
      <w:r>
        <w:t>本篇工作属于半监督 HSI 分类 + 类别自适应学习的交叉方向。与本目录中另外两篇论文形成一条研究线索：</w:t>
      </w:r>
    </w:p>
    <w:p>
      <w:pPr>
        <w:pStyle w:val="ListBullet"/>
        <w:ind w:left="567"/>
      </w:pPr>
      <w:r>
        <w:t>Lu 2024 (本篇 DSCA-Net)：解决 closed-set 半监督问题，核心是类别自适应</w:t>
      </w:r>
    </w:p>
    <w:p>
      <w:pPr>
        <w:pStyle w:val="ListBullet"/>
        <w:ind w:left="567"/>
      </w:pPr>
      <w:r>
        <w:t>Sun 2025 (Class-Aware Consistency Learning)：将类别感知扩展到开放集半监督</w:t>
      </w:r>
    </w:p>
    <w:p>
      <w:pPr>
        <w:pStyle w:val="ListBullet"/>
        <w:ind w:left="567"/>
      </w:pPr>
      <w:r>
        <w:t>Spectral-Spatial MLP (Open-Set)：用 MLP 替代 CNN 做开放集分类</w:t>
      </w:r>
    </w:p>
    <w:p/>
    <w:p>
      <w:pPr>
        <w:pStyle w:val="Heading1"/>
      </w:pPr>
      <w:r>
        <w:rPr>
          <w:color w:val="003366"/>
        </w:rPr>
        <w:t>十三、总结</w:t>
      </w:r>
    </w:p>
    <w:p>
      <w:r>
        <w:t>DSCA-Net 提出了类别自适应的思路来解决半监督 HSI 分类中不同类别学习难度不均衡的问题，核心贡献在于：（1）双流架构分离光谱和空间特征；（2）类别自适应门控实现「因类施策」的融合；（3）结合半监督一致性正则化充分利用无标签数据。然而，其开源代码仅实现了单流 + 动态阈值的简化版本，完整的双流自适应架构有待补全。该工作为后续的开放集半监督 HSI 分类研究（如 Class-Aware Consistency Learning）提供了重要的基础。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