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PFPA 信贷评级 AI 项目团队总结</w:t>
      </w:r>
    </w:p>
    <w:p>
      <w:pPr>
        <w:jc w:val="center"/>
      </w:pPr>
      <w:r>
        <w:rPr>
          <w:color w:val="505050"/>
          <w:sz w:val="22"/>
        </w:rPr>
        <w:t>基于杨一民老师沟通内容、项目说明与培训材料整理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一句话结论：本项目不是让大模型直接“猜评级”，而是把 KMV / TiC / TTC 信用评级理论实现成一个可复用、可追溯、结果稳定的软件系统。目标形态是：输入上市公司名称或 ticker，系统自动获取公开市场数据，调用确定性评级函数，输出短期 / 长期信用评级、核心指标和解释。</w:t>
            </w:r>
          </w:p>
        </w:tc>
      </w:tr>
    </w:tbl>
    <w:p>
      <w:pPr>
        <w:spacing w:after="100" w:line="276" w:lineRule="auto"/>
      </w:pPr>
      <w:r/>
    </w:p>
    <w:p>
      <w:pPr>
        <w:pStyle w:val="Heading1"/>
        <w:spacing w:after="100" w:line="276" w:lineRule="auto"/>
      </w:pPr>
      <w:r>
        <w:t>1. 项目目标</w:t>
      </w:r>
    </w:p>
    <w:p>
      <w:pPr>
        <w:spacing w:after="100" w:line="276" w:lineRule="auto"/>
      </w:pPr>
      <w:r>
        <w:t>项目目标是开发一个基于 AI 的自动化框架，用市场数据为上市公司生成信用评级。底层金融理论包括 KMV 的 Point-In-Time 方法和 Time-Consistent / Through-The-Cycle 信用评级方法；系统应包括两个核心组件：数据与信息访问组件，以及信用评估组件。</w:t>
      </w:r>
    </w:p>
    <w:p>
      <w:pPr>
        <w:pStyle w:val="ListBullet"/>
        <w:spacing w:after="60" w:line="264" w:lineRule="auto"/>
      </w:pPr>
      <w:r>
        <w:t>面向对象：上市公司，优先使用公开市场数据，便于学校/实习团队演示。</w:t>
      </w:r>
    </w:p>
    <w:p>
      <w:pPr>
        <w:pStyle w:val="ListBullet"/>
        <w:spacing w:after="60" w:line="264" w:lineRule="auto"/>
      </w:pPr>
      <w:r>
        <w:t>核心输出：PIT 风险指标、TTC / TiC 评级、评级解释、数据来源与计算追溯。</w:t>
      </w:r>
    </w:p>
    <w:p>
      <w:pPr>
        <w:pStyle w:val="ListBullet"/>
        <w:spacing w:after="60" w:line="264" w:lineRule="auto"/>
      </w:pPr>
      <w:r>
        <w:t>工程目标：形成一个可 demo 的 pipeline，而不是只停留在论文或 notebook。</w:t>
      </w:r>
    </w:p>
    <w:p>
      <w:pPr>
        <w:pStyle w:val="Heading1"/>
        <w:spacing w:after="100" w:line="276" w:lineRule="auto"/>
      </w:pPr>
      <w:r>
        <w:t>2. 真正要解决的问题</w:t>
      </w:r>
    </w:p>
    <w:p>
      <w:pPr>
        <w:spacing w:after="100" w:line="276" w:lineRule="auto"/>
      </w:pPr>
      <w:r>
        <w:t>传统 KMV / EDF 能从股价中提取违约风险信息，但问题是输出高度受股市短期波动影响，评级可能频繁跳动。银行风险管理不能接受“今天好、明天坏、后天又好”的评级，因为贷款决策、资本计量和风险监控需要相对稳定、可解释的长期信用判断。</w:t>
      </w:r>
    </w:p>
    <w:p>
      <w:pPr>
        <w:spacing w:after="100" w:line="276" w:lineRule="auto"/>
      </w:pPr>
      <w:r>
        <w:t>因此，本项目的核心不是“预测股价”或“训练一个黑箱分类器”，而是要把股价中的信用信息拆分出来：哪些是短期信用信息，哪些是长期信用信息，哪些只是市场噪声。最终要把动态市场信号转化为银行可接受的稳定评级。</w:t>
      </w:r>
    </w:p>
    <w:p>
      <w:pPr>
        <w:pStyle w:val="Heading1"/>
        <w:spacing w:after="100" w:line="276" w:lineRule="auto"/>
      </w:pPr>
      <w:r>
        <w:t>3. 方法论主线：KMV → PIT → TiC/TTC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shd w:fill="D9EAD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市场数据</w:t>
            </w:r>
          </w:p>
        </w:tc>
        <w:tc>
          <w:tcPr>
            <w:tcW w:type="dxa" w:w="1800"/>
            <w:shd w:fill="D9EAD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KMV / Merton</w:t>
            </w:r>
          </w:p>
        </w:tc>
        <w:tc>
          <w:tcPr>
            <w:tcW w:type="dxa" w:w="1800"/>
            <w:shd w:fill="D9EAD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PIT PD</w:t>
            </w:r>
          </w:p>
        </w:tc>
        <w:tc>
          <w:tcPr>
            <w:tcW w:type="dxa" w:w="1800"/>
            <w:shd w:fill="D9EAD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TiC 转换</w:t>
            </w:r>
          </w:p>
        </w:tc>
        <w:tc>
          <w:tcPr>
            <w:tcW w:type="dxa" w:w="1800"/>
            <w:shd w:fill="D9EAD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TTC Rating</w:t>
            </w:r>
          </w:p>
        </w:tc>
      </w:tr>
    </w:tbl>
    <w:p>
      <w:pPr>
        <w:spacing w:after="100" w:line="276" w:lineRule="auto"/>
      </w:pPr>
      <w:r>
        <w:t>结构模型的基本理解是：股权可以看作公司资产上的 call option，债务可以看作 strike；当公司资产价值低于债务边界时，违约风险上升。由于资产价值和资产波动率无法直接观察，需要通过股价、市值、债务和波动率等信息反推。</w:t>
      </w:r>
    </w:p>
    <w:p>
      <w:pPr>
        <w:pStyle w:val="ListBullet"/>
        <w:spacing w:after="60" w:line="264" w:lineRule="auto"/>
      </w:pPr>
      <w:r>
        <w:t>输入变量：股价序列、市值、短期债务、长期债务、总负债、分红、无风险利率、行业信息等。</w:t>
      </w:r>
    </w:p>
    <w:p>
      <w:pPr>
        <w:pStyle w:val="ListBullet"/>
        <w:spacing w:after="60" w:line="264" w:lineRule="auto"/>
      </w:pPr>
      <w:r>
        <w:t>中间变量：资产价值、资产波动率、违约点、Distance to Default、PIT PD / EDF。</w:t>
      </w:r>
    </w:p>
    <w:p>
      <w:pPr>
        <w:pStyle w:val="ListBullet"/>
        <w:spacing w:after="60" w:line="264" w:lineRule="auto"/>
      </w:pPr>
      <w:r>
        <w:t>最终转换：将短期 PIT 风险转换为更稳定的 Time-Consistent / TTC 评级。</w:t>
      </w:r>
    </w:p>
    <w:p>
      <w:pPr>
        <w:pStyle w:val="Heading1"/>
        <w:spacing w:after="100" w:line="276" w:lineRule="auto"/>
      </w:pPr>
      <w:r>
        <w:t>4. AI 的正确定位</w:t>
      </w:r>
    </w:p>
    <w:p>
      <w:pPr>
        <w:spacing w:after="100" w:line="276" w:lineRule="auto"/>
      </w:pPr>
      <w:r>
        <w:t>AI 不应直接生成评级数字。杨一民老师强调，金融风险模型对稳定性和精确度的要求远高于普通大模型输出；如果让大模型自由判断评级，不同模型、不同 prompt、不同时间可能输出不同结果，这在金融场景不可接受。</w:t>
      </w:r>
    </w:p>
    <w:p>
      <w:pPr>
        <w:spacing w:after="100" w:line="276" w:lineRule="auto"/>
      </w:pPr>
      <w:r>
        <w:t>正确做法是：LLM / Agent 负责理解用户意图、调用数据接口、组织流程和生成解释；所有评级数字必须由确定性 Python 函数或标准化 MCP tool 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CE5C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模块</w:t>
            </w:r>
          </w:p>
        </w:tc>
        <w:tc>
          <w:tcPr>
            <w:tcW w:type="dxa" w:w="3360"/>
            <w:shd w:fill="FCE5C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应该由谁负责</w:t>
            </w:r>
          </w:p>
        </w:tc>
        <w:tc>
          <w:tcPr>
            <w:tcW w:type="dxa" w:w="3360"/>
            <w:shd w:fill="FCE5C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原因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数据识别与调度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/ Agent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识别公司名称、ticker、用户问题，并选择需要调用的数据接口。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数据获取与清洗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代码 + Agent 编排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API 拉取、字段映射、缺失值处理、格式统一。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评级计算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确定性 Python 函数 / MCP tool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保证结果稳定、可复现、可追溯，避免大模型随机性。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结果解释与报告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+ 固定模板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将计算结果转成团队或面试可展示的语言。</w:t>
            </w:r>
          </w:p>
        </w:tc>
      </w:tr>
    </w:tbl>
    <w:p>
      <w:pPr>
        <w:pStyle w:val="Heading1"/>
        <w:spacing w:after="100" w:line="276" w:lineRule="auto"/>
      </w:pPr>
      <w:r>
        <w:t>5. 建议的 MVP 系统架构</w:t>
      </w:r>
    </w:p>
    <w:p>
      <w:pPr>
        <w:spacing w:after="100" w:line="276" w:lineRule="auto"/>
      </w:pPr>
      <w:r>
        <w:t>第一版不用追求完整商业系统，先做一个最小闭环：Ticker → Data Fetch → Data Cleaning → KMV Baseline → TiC/TTC Rating → Report。</w:t>
      </w:r>
    </w:p>
    <w:p>
      <w:pPr>
        <w:pStyle w:val="ListBullet"/>
        <w:spacing w:after="60" w:line="264" w:lineRule="auto"/>
      </w:pPr>
      <w:r>
        <w:t>输入层：用户输入公司名称或 ticker，例如 AAPL、MSFT、JPM、TSLA。</w:t>
      </w:r>
    </w:p>
    <w:p>
      <w:pPr>
        <w:pStyle w:val="ListBullet"/>
        <w:spacing w:after="60" w:line="264" w:lineRule="auto"/>
      </w:pPr>
      <w:r>
        <w:t>数据层：拉取股价、市值、资产负债表、债务、分红、无风险利率等。</w:t>
      </w:r>
    </w:p>
    <w:p>
      <w:pPr>
        <w:pStyle w:val="ListBullet"/>
        <w:spacing w:after="60" w:line="264" w:lineRule="auto"/>
      </w:pPr>
      <w:r>
        <w:t>计算层：实现 KMV / Merton baseline，计算资产波动率、违约距离、PIT PD。</w:t>
      </w:r>
    </w:p>
    <w:p>
      <w:pPr>
        <w:pStyle w:val="ListBullet"/>
        <w:spacing w:after="60" w:line="264" w:lineRule="auto"/>
      </w:pPr>
      <w:r>
        <w:t>转换层：预留 TiC / TTC 模块，等待老师提供更完整公式后替换或增强。</w:t>
      </w:r>
    </w:p>
    <w:p>
      <w:pPr>
        <w:pStyle w:val="ListBullet"/>
        <w:spacing w:after="60" w:line="264" w:lineRule="auto"/>
      </w:pPr>
      <w:r>
        <w:t>输出层：输出评级、关键指标、数据来源、计算 trace 和一句话解释。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层级</w:t>
            </w:r>
          </w:p>
        </w:tc>
        <w:tc>
          <w:tcPr>
            <w:tcW w:type="dxa" w:w="2520"/>
            <w:shd w:fill="D9E2F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功能</w:t>
            </w:r>
          </w:p>
        </w:tc>
        <w:tc>
          <w:tcPr>
            <w:tcW w:type="dxa" w:w="2520"/>
            <w:shd w:fill="D9E2F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建议实现</w:t>
            </w:r>
          </w:p>
        </w:tc>
        <w:tc>
          <w:tcPr>
            <w:tcW w:type="dxa" w:w="2520"/>
            <w:shd w:fill="D9E2F3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第一版优先级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Fetcher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获取市场与财报数据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SEC / FMP / Alpha Vantage / yfinance / FRED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Schema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统一字段名和单位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schema + pandas DataFrame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Rating Engine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核心评级计算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deterministic functions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Layer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调度工具与生成解释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LangChain / function calling / MCP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 Interface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演示输入输出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Streamlit / FastAPI + simple frontend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</w:tbl>
    <w:p>
      <w:pPr>
        <w:pStyle w:val="Heading1"/>
        <w:spacing w:after="100" w:line="276" w:lineRule="auto"/>
      </w:pPr>
      <w:r>
        <w:t>6. 数据需求与字段清单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F0D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数据类别</w:t>
            </w:r>
          </w:p>
        </w:tc>
        <w:tc>
          <w:tcPr>
            <w:tcW w:type="dxa" w:w="2520"/>
            <w:shd w:fill="E2F0D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字段示例</w:t>
            </w:r>
          </w:p>
        </w:tc>
        <w:tc>
          <w:tcPr>
            <w:tcW w:type="dxa" w:w="2520"/>
            <w:shd w:fill="E2F0D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用途</w:t>
            </w:r>
          </w:p>
        </w:tc>
        <w:tc>
          <w:tcPr>
            <w:tcW w:type="dxa" w:w="2520"/>
            <w:shd w:fill="E2F0D9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备注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股价数据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 close, adjusted close, return, volatility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估计股权波动率、市场风险变化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可先用 yfinance 做 demo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市值数据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market cap, shares outstanding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股权价值 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需要统一日期频率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资产负债表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total assets, total liabilities, short-term debt, long-term debt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估计债务边界和违约点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 SEC / FMP / Alpha Vantage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利率数据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risk-free rate, Treasury yield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KMV / option framework 折现与风险中性参数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 FRED / Treasury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分红数据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dividend yield, dividend history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股权价值调整、公司现金流信息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第一版可简化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评级标签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S&amp;P / Moody’s / Fitch rating if available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后续验证与 mapping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不作为第一版必需</w:t>
            </w:r>
          </w:p>
        </w:tc>
      </w:tr>
    </w:tbl>
    <w:p>
      <w:pPr>
        <w:pStyle w:val="Heading1"/>
        <w:spacing w:after="100" w:line="276" w:lineRule="auto"/>
      </w:pPr>
      <w:r>
        <w:t>7. 团队分工建议</w:t>
      </w:r>
    </w:p>
    <w:p>
      <w:pPr>
        <w:spacing w:after="100" w:line="276" w:lineRule="auto"/>
      </w:pPr>
      <w:r>
        <w:t>项目天然需要金融、数学/统计、工程三类能力。建议按模块分工，而不是每个人各做一个孤立 demo。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F2CC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角色</w:t>
            </w:r>
          </w:p>
        </w:tc>
        <w:tc>
          <w:tcPr>
            <w:tcW w:type="dxa" w:w="3360"/>
            <w:shd w:fill="FFF2CC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主要任务</w:t>
            </w:r>
          </w:p>
        </w:tc>
        <w:tc>
          <w:tcPr>
            <w:tcW w:type="dxa" w:w="3360"/>
            <w:shd w:fill="FFF2CC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交付物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金融/信用风险负责人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梳理 PIT、TTC、TiC、KMV、银行评级逻辑；定义输出解释框架。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评级解释模板、指标含义说明、案例公司分析。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数学/统计负责人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 KMV baseline、DD、PIT PD、rating mapping；后续接入 TiC 公式。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rating_engine.py、公式说明、单元测试。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数据工程负责人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搭建 API 数据获取、字段标准化、数据质量检查。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data_fetcher.py、data_schema.json、样例数据。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Agent/产品负责人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封装 tool/MCP，设计输入输出流程和 demo 页面。</w:t>
            </w:r>
          </w:p>
        </w:tc>
        <w:tc>
          <w:tcPr>
            <w:tcW w:type="dxa" w:w="33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Streamlit/FastAPI demo、Agent workflow、报告生成器。</w:t>
            </w:r>
          </w:p>
        </w:tc>
      </w:tr>
    </w:tbl>
    <w:p>
      <w:pPr>
        <w:pStyle w:val="Heading1"/>
        <w:spacing w:after="100" w:line="276" w:lineRule="auto"/>
      </w:pPr>
      <w:r>
        <w:t>8. 下一步行动计划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DEBF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阶段</w:t>
            </w:r>
          </w:p>
        </w:tc>
        <w:tc>
          <w:tcPr>
            <w:tcW w:type="dxa" w:w="2520"/>
            <w:shd w:fill="DDEBF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目标</w:t>
            </w:r>
          </w:p>
        </w:tc>
        <w:tc>
          <w:tcPr>
            <w:tcW w:type="dxa" w:w="2520"/>
            <w:shd w:fill="DDEBF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具体动作</w:t>
            </w:r>
          </w:p>
        </w:tc>
        <w:tc>
          <w:tcPr>
            <w:tcW w:type="dxa" w:w="2520"/>
            <w:shd w:fill="DDEBF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验收标准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1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 MVP 范围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 3-5 家公司；定义输入输出 JSON schema。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能写清楚系统输入、输出和字段来源。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2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打通数据链路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拉取股价、市值、资产负债表和利率数据。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对单个 ticker 可自动生成 cleaned dataset。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3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KMV baseline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 equity volatility、debt boundary、DD、PIT PD。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对样例公司输出稳定数值。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4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封装评级函数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将计算逻辑封装成 deterministic tool / MCP。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不同模型调用同一 ticker，数值一致。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5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生成展示报告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 rating card、指标解释、数据来源、trace。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可用于团队汇报或面试 demo。</w:t>
            </w:r>
          </w:p>
        </w:tc>
      </w:tr>
    </w:tbl>
    <w:p>
      <w:pPr>
        <w:pStyle w:val="Heading1"/>
        <w:spacing w:after="100" w:line="276" w:lineRule="auto"/>
      </w:pPr>
      <w:r>
        <w:t>9. Demo 输出样例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Input: AAPL</w:t>
        <w:br/>
        <w:br/>
        <w:t>Company: Apple Inc.</w:t>
        <w:br/>
        <w:t>PIT PD: 0.xx%</w:t>
        <w:br/>
        <w:t>Distance to Default: x.xx</w:t>
        <w:br/>
        <w:t>TiC Score: xx</w:t>
        <w:br/>
        <w:t>TTC PD: x.xx%</w:t>
        <w:br/>
        <w:t>Rating: A / BBB / BB</w:t>
        <w:br/>
        <w:t>Outlook: Stable / Improving / Deteriorating</w:t>
        <w:br/>
        <w:br/>
        <w:t>Explanation:</w:t>
        <w:br/>
        <w:t>- Equity volatility changed by ...</w:t>
        <w:br/>
        <w:t>- Debt level relative to market cap is ...</w:t>
        <w:br/>
        <w:t>- PIT risk is more volatile because ...</w:t>
        <w:br/>
        <w:t>- TTC rating is more stable after TiC transformation ...</w:t>
        <w:br/>
        <w:br/>
        <w:t>Trace:</w:t>
        <w:br/>
        <w:t>- Stock price source: ...</w:t>
        <w:br/>
        <w:t>- Balance sheet source: ...</w:t>
        <w:br/>
        <w:t>- Risk-free rate source: ...</w:t>
        <w:br/>
        <w:t>- Formula version: ...</w:t>
      </w:r>
    </w:p>
    <w:p>
      <w:pPr>
        <w:pStyle w:val="Heading1"/>
        <w:spacing w:after="100" w:line="276" w:lineRule="auto"/>
      </w:pPr>
      <w:r>
        <w:t>10. 关键原则</w:t>
      </w:r>
    </w:p>
    <w:p>
      <w:pPr>
        <w:pStyle w:val="ListBullet"/>
        <w:spacing w:after="60" w:line="264" w:lineRule="auto"/>
      </w:pPr>
      <w:r>
        <w:t>不要让 LLM 直接编评级。评级必须由函数算出。</w:t>
      </w:r>
    </w:p>
    <w:p>
      <w:pPr>
        <w:pStyle w:val="ListBullet"/>
        <w:spacing w:after="60" w:line="264" w:lineRule="auto"/>
      </w:pPr>
      <w:r>
        <w:t>所有数字要有来源、公式和中间变量，便于 trace。</w:t>
      </w:r>
    </w:p>
    <w:p>
      <w:pPr>
        <w:pStyle w:val="ListBullet"/>
        <w:spacing w:after="60" w:line="264" w:lineRule="auto"/>
      </w:pPr>
      <w:r>
        <w:t>先做 baseline，再等老师新版 TiC 公式，避免一开始卡在完整理论。</w:t>
      </w:r>
    </w:p>
    <w:p>
      <w:pPr>
        <w:pStyle w:val="ListBullet"/>
        <w:spacing w:after="60" w:line="264" w:lineRule="auto"/>
      </w:pPr>
      <w:r>
        <w:t>系统要稳定：同一输入、同一数据、同一公式版本，必须得到同一输出。</w:t>
      </w:r>
    </w:p>
    <w:p>
      <w:pPr>
        <w:pStyle w:val="ListBullet"/>
        <w:spacing w:after="60" w:line="264" w:lineRule="auto"/>
      </w:pPr>
      <w:r>
        <w:t>展示重点不是“我们用了 AI”，而是“我们把金融理论变成了可自动化、可解释、可复现的软件”。</w:t>
      </w:r>
    </w:p>
    <w:p>
      <w:pPr>
        <w:pStyle w:val="Heading1"/>
        <w:spacing w:after="100" w:line="276" w:lineRule="auto"/>
      </w:pPr>
      <w:r>
        <w:t>资料来源</w:t>
      </w:r>
    </w:p>
    <w:p>
      <w:pPr>
        <w:pStyle w:val="ListBullet"/>
        <w:spacing w:after="60" w:line="264" w:lineRule="auto"/>
      </w:pPr>
      <w:r>
        <w:t>《PFPA AI Summer Project v1.pdf》：项目目标、数据与自动化要求、KMV/TiC/PIT-to-TTC 主线。</w:t>
      </w:r>
    </w:p>
    <w:p>
      <w:pPr>
        <w:pStyle w:val="ListBullet"/>
        <w:spacing w:after="60" w:line="264" w:lineRule="auto"/>
      </w:pPr>
      <w:r>
        <w:t>《Market Based Credit Risk Rating AI Model for Public Companies.pdf》：信用风险管理、金融市场信息、KMV/TiC/Agency/Bank Rating、MCP/function calling 等培训内容。</w:t>
      </w:r>
    </w:p>
    <w:p>
      <w:pPr>
        <w:pStyle w:val="ListBullet"/>
        <w:spacing w:after="60" w:line="264" w:lineRule="auto"/>
      </w:pPr>
      <w:r>
        <w:t>《杨一民沟通 20260618.docx》：项目定位、AI 使用边界、MCP/标准化接口思路、MVP 目标与团队执行方向。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Internal discussion summary | 2026-06-18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PFPA Quantitative Finance AI Project · Team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