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D97706"/>
          <w:sz w:val="56"/>
        </w:rPr>
        <w:t>BUSINESS PLAN</w:t>
      </w:r>
    </w:p>
    <w:p>
      <w:pPr>
        <w:jc w:val="center"/>
      </w:pPr>
      <w:r>
        <w:rPr>
          <w:i/>
          <w:color w:val="B45309"/>
          <w:sz w:val="26"/>
        </w:rPr>
        <w:t>Acme Foods — Mobile-First Grocery Delivery for Nairobi</w:t>
      </w:r>
    </w:p>
    <w:p>
      <w:pPr>
        <w:pBdr>
          <w:bottom w:val="single" w:sz="10" w:space="1" w:color="D97706"/>
        </w:pBdr>
      </w:pPr>
    </w:p>
    <w:p>
      <w:r>
        <w:rPr>
          <w:b/>
          <w:color w:val="B45309"/>
          <w:sz w:val="26"/>
        </w:rPr>
        <w:t>1. Executive Summary</w:t>
      </w:r>
    </w:p>
    <w:p>
      <w:r>
        <w:rPr>
          <w:sz w:val="22"/>
        </w:rPr>
        <w:t>Acme Foods is a mobile-first grocery delivery company serving the Nairobi metropolitan area. Founded in 2024, we connect 14 partner supermarkets with consumers via a single app, promising 90-minute delivery windows and competitive pricing. We are seeking KES 25,000,000 in seed funding to expand our rider fleet, open two micro-fulfillment hubs in Eastlands and Westlands, and grow our team from 12 to 28 over 12 months.</w:t>
      </w:r>
    </w:p>
    <w:p>
      <w:r>
        <w:rPr>
          <w:b/>
          <w:color w:val="B45309"/>
          <w:sz w:val="26"/>
        </w:rPr>
        <w:t>2. Problem &amp; Opportunity</w:t>
      </w:r>
    </w:p>
    <w:p>
      <w:r>
        <w:rPr>
          <w:sz w:val="22"/>
        </w:rPr>
        <w:t>Nairobi's middle-class households (estimated 600,000) spend an average of KES 12,000 per month on groceries, but face two pain points: (1) supermarket trips take 60–90 minutes including traffic, and (2) supply volatility makes fresh produce hard to plan around. Existing delivery services cover only 5% of supermarket SKUs and lack real-time inventory. Acme's technology stack solves both problems.</w:t>
      </w:r>
    </w:p>
    <w:p>
      <w:r>
        <w:rPr>
          <w:b/>
          <w:color w:val="B45309"/>
          <w:sz w:val="26"/>
        </w:rPr>
        <w:t>3. Solution</w:t>
      </w:r>
    </w:p>
    <w:p>
      <w:r>
        <w:rPr>
          <w:sz w:val="22"/>
        </w:rPr>
        <w:t>Our app aggregates inventory across 14 partner supermarkets in real time, surfaces alternatives when items are out of stock, and routes orders to riders based on proximity and current load. Customers receive a 90-minute delivery window and live rider tracking. Partner supermarkets receive incremental revenue with zero incremental marketing cost.</w:t>
      </w:r>
    </w:p>
    <w:p>
      <w:r>
        <w:rPr>
          <w:b/>
          <w:color w:val="B45309"/>
          <w:sz w:val="26"/>
        </w:rPr>
        <w:t>4. Market</w:t>
      </w:r>
    </w:p>
    <w:p>
      <w:r>
        <w:rPr>
          <w:sz w:val="22"/>
        </w:rPr>
        <w:t>Targeted segment: 100,000 households earning KES 100,000+ per month across Westlands, Kilimani, Lavington, Karen, and Parklands. Initial GTM focuses on WhatsApp groups and apartment-complex partnerships — pre-launch pilots showed 32% week-over-week growth in orders during the 6-week validation phase.</w:t>
      </w:r>
    </w:p>
    <w:p>
      <w:r>
        <w:rPr>
          <w:b/>
          <w:color w:val="B45309"/>
          <w:sz w:val="26"/>
        </w:rPr>
        <w:t>5. Business Model</w:t>
      </w:r>
    </w:p>
    <w:p>
      <w:pPr>
        <w:pStyle w:val="ListBullet"/>
      </w:pPr>
      <w:r>
        <w:rPr>
          <w:sz w:val="22"/>
        </w:rPr>
        <w:t>8% commission on every order (paid by partner supermarkets, not customers)</w:t>
      </w:r>
    </w:p>
    <w:p>
      <w:pPr>
        <w:pStyle w:val="ListBullet"/>
      </w:pPr>
      <w:r>
        <w:rPr>
          <w:sz w:val="22"/>
        </w:rPr>
        <w:t>KES 99 flat delivery fee per order under KES 3,000; free above</w:t>
      </w:r>
    </w:p>
    <w:p>
      <w:pPr>
        <w:pStyle w:val="ListBullet"/>
      </w:pPr>
      <w:r>
        <w:rPr>
          <w:sz w:val="22"/>
        </w:rPr>
        <w:t>Premium subscription: KES 499/month for free unlimited delivery (target 20% of customers)</w:t>
      </w:r>
    </w:p>
    <w:p>
      <w:pPr>
        <w:pStyle w:val="ListBullet"/>
      </w:pPr>
      <w:r>
        <w:rPr>
          <w:sz w:val="22"/>
        </w:rPr>
        <w:t>Future revenue lines: branded private-label products (Year 2), advertising (Year 3)</w:t>
      </w:r>
    </w:p>
    <w:p>
      <w:r>
        <w:rPr>
          <w:b/>
          <w:color w:val="B45309"/>
          <w:sz w:val="26"/>
        </w:rPr>
        <w:t>6. Financial Projections (KES)</w:t>
      </w:r>
    </w:p>
    <w:tbl>
      <w:tblPr>
        <w:tblStyle w:val="LightGrid-Accent1"/>
        <w:tblW w:type="auto" w:w="0"/>
        <w:tblLook w:firstColumn="1" w:firstRow="1" w:lastColumn="0" w:lastRow="0" w:noHBand="0" w:noVBand="1" w:val="04A0"/>
      </w:tblPr>
      <w:tblGrid>
        <w:gridCol w:w="1904"/>
        <w:gridCol w:w="1904"/>
        <w:gridCol w:w="1904"/>
        <w:gridCol w:w="1904"/>
        <w:gridCol w:w="1904"/>
      </w:tblGrid>
      <w:tr>
        <w:tc>
          <w:tcPr>
            <w:tcW w:type="dxa" w:w="1904"/>
            <w:shd w:val="clear" w:color="auto" w:fill="D97706"/>
          </w:tcPr>
          <w:p>
            <w:r>
              <w:rPr>
                <w:b/>
                <w:color w:val="FFFFFF"/>
                <w:sz w:val="22"/>
              </w:rPr>
            </w:r>
          </w:p>
        </w:tc>
        <w:tc>
          <w:tcPr>
            <w:tcW w:type="dxa" w:w="1904"/>
            <w:shd w:val="clear" w:color="auto" w:fill="D97706"/>
          </w:tcPr>
          <w:p>
            <w:r>
              <w:rPr>
                <w:b/>
                <w:color w:val="FFFFFF"/>
                <w:sz w:val="22"/>
              </w:rPr>
              <w:t>Y1</w:t>
            </w:r>
          </w:p>
        </w:tc>
        <w:tc>
          <w:tcPr>
            <w:tcW w:type="dxa" w:w="1904"/>
            <w:shd w:val="clear" w:color="auto" w:fill="D97706"/>
          </w:tcPr>
          <w:p>
            <w:r>
              <w:rPr>
                <w:b/>
                <w:color w:val="FFFFFF"/>
                <w:sz w:val="22"/>
              </w:rPr>
              <w:t>Y2</w:t>
            </w:r>
          </w:p>
        </w:tc>
        <w:tc>
          <w:tcPr>
            <w:tcW w:type="dxa" w:w="1904"/>
            <w:shd w:val="clear" w:color="auto" w:fill="D97706"/>
          </w:tcPr>
          <w:p>
            <w:r>
              <w:rPr>
                <w:b/>
                <w:color w:val="FFFFFF"/>
                <w:sz w:val="22"/>
              </w:rPr>
              <w:t>Y3</w:t>
            </w:r>
          </w:p>
        </w:tc>
        <w:tc>
          <w:tcPr>
            <w:tcW w:type="dxa" w:w="1904"/>
            <w:shd w:val="clear" w:color="auto" w:fill="D97706"/>
          </w:tcPr>
          <w:p>
            <w:r>
              <w:rPr>
                <w:b/>
                <w:color w:val="FFFFFF"/>
                <w:sz w:val="22"/>
              </w:rPr>
              <w:t>Y5</w:t>
            </w:r>
          </w:p>
        </w:tc>
      </w:tr>
      <w:tr>
        <w:tc>
          <w:tcPr>
            <w:tcW w:type="dxa" w:w="1904"/>
          </w:tcPr>
          <w:p>
            <w:r>
              <w:rPr>
                <w:sz w:val="21"/>
              </w:rPr>
              <w:t>Orders / month (avg)</w:t>
            </w:r>
          </w:p>
        </w:tc>
        <w:tc>
          <w:tcPr>
            <w:tcW w:type="dxa" w:w="1904"/>
          </w:tcPr>
          <w:p>
            <w:r>
              <w:rPr>
                <w:sz w:val="21"/>
              </w:rPr>
              <w:t>1,200</w:t>
            </w:r>
          </w:p>
        </w:tc>
        <w:tc>
          <w:tcPr>
            <w:tcW w:type="dxa" w:w="1904"/>
          </w:tcPr>
          <w:p>
            <w:r>
              <w:rPr>
                <w:sz w:val="21"/>
              </w:rPr>
              <w:t>5,500</w:t>
            </w:r>
          </w:p>
        </w:tc>
        <w:tc>
          <w:tcPr>
            <w:tcW w:type="dxa" w:w="1904"/>
          </w:tcPr>
          <w:p>
            <w:r>
              <w:rPr>
                <w:sz w:val="21"/>
              </w:rPr>
              <w:t>14,000</w:t>
            </w:r>
          </w:p>
        </w:tc>
        <w:tc>
          <w:tcPr>
            <w:tcW w:type="dxa" w:w="1904"/>
          </w:tcPr>
          <w:p>
            <w:r>
              <w:rPr>
                <w:sz w:val="21"/>
              </w:rPr>
              <w:t>60,000</w:t>
            </w:r>
          </w:p>
        </w:tc>
      </w:tr>
      <w:tr>
        <w:tc>
          <w:tcPr>
            <w:tcW w:type="dxa" w:w="1904"/>
          </w:tcPr>
          <w:p>
            <w:r>
              <w:rPr>
                <w:sz w:val="21"/>
              </w:rPr>
              <w:t>Revenue</w:t>
            </w:r>
          </w:p>
        </w:tc>
        <w:tc>
          <w:tcPr>
            <w:tcW w:type="dxa" w:w="1904"/>
          </w:tcPr>
          <w:p>
            <w:r>
              <w:rPr>
                <w:sz w:val="21"/>
              </w:rPr>
              <w:t>8.6M</w:t>
            </w:r>
          </w:p>
        </w:tc>
        <w:tc>
          <w:tcPr>
            <w:tcW w:type="dxa" w:w="1904"/>
          </w:tcPr>
          <w:p>
            <w:r>
              <w:rPr>
                <w:sz w:val="21"/>
              </w:rPr>
              <w:t>39.6M</w:t>
            </w:r>
          </w:p>
        </w:tc>
        <w:tc>
          <w:tcPr>
            <w:tcW w:type="dxa" w:w="1904"/>
          </w:tcPr>
          <w:p>
            <w:r>
              <w:rPr>
                <w:sz w:val="21"/>
              </w:rPr>
              <w:t>100.8M</w:t>
            </w:r>
          </w:p>
        </w:tc>
        <w:tc>
          <w:tcPr>
            <w:tcW w:type="dxa" w:w="1904"/>
          </w:tcPr>
          <w:p>
            <w:r>
              <w:rPr>
                <w:sz w:val="21"/>
              </w:rPr>
              <w:t>432.0M</w:t>
            </w:r>
          </w:p>
        </w:tc>
      </w:tr>
      <w:tr>
        <w:tc>
          <w:tcPr>
            <w:tcW w:type="dxa" w:w="1904"/>
          </w:tcPr>
          <w:p>
            <w:r>
              <w:rPr>
                <w:sz w:val="21"/>
              </w:rPr>
              <w:t>COGS</w:t>
            </w:r>
          </w:p>
        </w:tc>
        <w:tc>
          <w:tcPr>
            <w:tcW w:type="dxa" w:w="1904"/>
          </w:tcPr>
          <w:p>
            <w:r>
              <w:rPr>
                <w:sz w:val="21"/>
              </w:rPr>
              <w:t>6.2M</w:t>
            </w:r>
          </w:p>
        </w:tc>
        <w:tc>
          <w:tcPr>
            <w:tcW w:type="dxa" w:w="1904"/>
          </w:tcPr>
          <w:p>
            <w:r>
              <w:rPr>
                <w:sz w:val="21"/>
              </w:rPr>
              <w:t>28.0M</w:t>
            </w:r>
          </w:p>
        </w:tc>
        <w:tc>
          <w:tcPr>
            <w:tcW w:type="dxa" w:w="1904"/>
          </w:tcPr>
          <w:p>
            <w:r>
              <w:rPr>
                <w:sz w:val="21"/>
              </w:rPr>
              <w:t>70.5M</w:t>
            </w:r>
          </w:p>
        </w:tc>
        <w:tc>
          <w:tcPr>
            <w:tcW w:type="dxa" w:w="1904"/>
          </w:tcPr>
          <w:p>
            <w:r>
              <w:rPr>
                <w:sz w:val="21"/>
              </w:rPr>
              <w:t>300.0M</w:t>
            </w:r>
          </w:p>
        </w:tc>
      </w:tr>
      <w:tr>
        <w:tc>
          <w:tcPr>
            <w:tcW w:type="dxa" w:w="1904"/>
          </w:tcPr>
          <w:p>
            <w:r>
              <w:rPr>
                <w:sz w:val="21"/>
              </w:rPr>
              <w:t>Gross profit</w:t>
            </w:r>
          </w:p>
        </w:tc>
        <w:tc>
          <w:tcPr>
            <w:tcW w:type="dxa" w:w="1904"/>
          </w:tcPr>
          <w:p>
            <w:r>
              <w:rPr>
                <w:sz w:val="21"/>
              </w:rPr>
              <w:t>2.4M</w:t>
            </w:r>
          </w:p>
        </w:tc>
        <w:tc>
          <w:tcPr>
            <w:tcW w:type="dxa" w:w="1904"/>
          </w:tcPr>
          <w:p>
            <w:r>
              <w:rPr>
                <w:sz w:val="21"/>
              </w:rPr>
              <w:t>11.6M</w:t>
            </w:r>
          </w:p>
        </w:tc>
        <w:tc>
          <w:tcPr>
            <w:tcW w:type="dxa" w:w="1904"/>
          </w:tcPr>
          <w:p>
            <w:r>
              <w:rPr>
                <w:sz w:val="21"/>
              </w:rPr>
              <w:t>30.3M</w:t>
            </w:r>
          </w:p>
        </w:tc>
        <w:tc>
          <w:tcPr>
            <w:tcW w:type="dxa" w:w="1904"/>
          </w:tcPr>
          <w:p>
            <w:r>
              <w:rPr>
                <w:sz w:val="21"/>
              </w:rPr>
              <w:t>132.0M</w:t>
            </w:r>
          </w:p>
        </w:tc>
      </w:tr>
      <w:tr>
        <w:tc>
          <w:tcPr>
            <w:tcW w:type="dxa" w:w="1904"/>
          </w:tcPr>
          <w:p>
            <w:r>
              <w:rPr>
                <w:sz w:val="21"/>
              </w:rPr>
              <w:t>Operating costs</w:t>
            </w:r>
          </w:p>
        </w:tc>
        <w:tc>
          <w:tcPr>
            <w:tcW w:type="dxa" w:w="1904"/>
          </w:tcPr>
          <w:p>
            <w:r>
              <w:rPr>
                <w:sz w:val="21"/>
              </w:rPr>
              <w:t>4.5M</w:t>
            </w:r>
          </w:p>
        </w:tc>
        <w:tc>
          <w:tcPr>
            <w:tcW w:type="dxa" w:w="1904"/>
          </w:tcPr>
          <w:p>
            <w:r>
              <w:rPr>
                <w:sz w:val="21"/>
              </w:rPr>
              <w:t>9.8M</w:t>
            </w:r>
          </w:p>
        </w:tc>
        <w:tc>
          <w:tcPr>
            <w:tcW w:type="dxa" w:w="1904"/>
          </w:tcPr>
          <w:p>
            <w:r>
              <w:rPr>
                <w:sz w:val="21"/>
              </w:rPr>
              <w:t>22.0M</w:t>
            </w:r>
          </w:p>
        </w:tc>
        <w:tc>
          <w:tcPr>
            <w:tcW w:type="dxa" w:w="1904"/>
          </w:tcPr>
          <w:p>
            <w:r>
              <w:rPr>
                <w:sz w:val="21"/>
              </w:rPr>
              <w:t>60.0M</w:t>
            </w:r>
          </w:p>
        </w:tc>
      </w:tr>
      <w:tr>
        <w:tc>
          <w:tcPr>
            <w:tcW w:type="dxa" w:w="1904"/>
          </w:tcPr>
          <w:p>
            <w:r>
              <w:rPr>
                <w:sz w:val="21"/>
              </w:rPr>
              <w:t>EBITDA</w:t>
            </w:r>
          </w:p>
        </w:tc>
        <w:tc>
          <w:tcPr>
            <w:tcW w:type="dxa" w:w="1904"/>
          </w:tcPr>
          <w:p>
            <w:r>
              <w:rPr>
                <w:sz w:val="21"/>
              </w:rPr>
              <w:t>(2.1M)</w:t>
            </w:r>
          </w:p>
        </w:tc>
        <w:tc>
          <w:tcPr>
            <w:tcW w:type="dxa" w:w="1904"/>
          </w:tcPr>
          <w:p>
            <w:r>
              <w:rPr>
                <w:sz w:val="21"/>
              </w:rPr>
              <w:t>1.8M</w:t>
            </w:r>
          </w:p>
        </w:tc>
        <w:tc>
          <w:tcPr>
            <w:tcW w:type="dxa" w:w="1904"/>
          </w:tcPr>
          <w:p>
            <w:r>
              <w:rPr>
                <w:sz w:val="21"/>
              </w:rPr>
              <w:t>8.3M</w:t>
            </w:r>
          </w:p>
        </w:tc>
        <w:tc>
          <w:tcPr>
            <w:tcW w:type="dxa" w:w="1904"/>
          </w:tcPr>
          <w:p>
            <w:r>
              <w:rPr>
                <w:sz w:val="21"/>
              </w:rPr>
              <w:t>72.0M</w:t>
            </w:r>
          </w:p>
        </w:tc>
      </w:tr>
    </w:tbl>
    <w:p>
      <w:r>
        <w:rPr>
          <w:b/>
          <w:color w:val="B45309"/>
          <w:sz w:val="26"/>
        </w:rPr>
        <w:t>7. Use of Funds (KES 25M)</w:t>
      </w:r>
    </w:p>
    <w:p>
      <w:pPr>
        <w:pStyle w:val="ListBullet"/>
      </w:pPr>
      <w:r>
        <w:rPr>
          <w:sz w:val="22"/>
        </w:rPr>
        <w:t>Rider fleet (40 riders, motorcycles + insurance) — 8.0M</w:t>
      </w:r>
    </w:p>
    <w:p>
      <w:pPr>
        <w:pStyle w:val="ListBullet"/>
      </w:pPr>
      <w:r>
        <w:rPr>
          <w:sz w:val="22"/>
        </w:rPr>
        <w:t>Two micro-fulfillment hubs (lease, fit-out, equipment) — 6.5M</w:t>
      </w:r>
    </w:p>
    <w:p>
      <w:pPr>
        <w:pStyle w:val="ListBullet"/>
      </w:pPr>
      <w:r>
        <w:rPr>
          <w:sz w:val="22"/>
        </w:rPr>
        <w:t>Technology (engineering hires, cloud, data) — 5.0M</w:t>
      </w:r>
    </w:p>
    <w:p>
      <w:pPr>
        <w:pStyle w:val="ListBullet"/>
      </w:pPr>
      <w:r>
        <w:rPr>
          <w:sz w:val="22"/>
        </w:rPr>
        <w:t>Marketing &amp; customer acquisition — 3.5M</w:t>
      </w:r>
    </w:p>
    <w:p>
      <w:pPr>
        <w:pStyle w:val="ListBullet"/>
      </w:pPr>
      <w:r>
        <w:rPr>
          <w:sz w:val="22"/>
        </w:rPr>
        <w:t>Working capital — 2.0M</w:t>
      </w:r>
    </w:p>
    <w:p>
      <w:r>
        <w:rPr>
          <w:b/>
          <w:color w:val="B45309"/>
          <w:sz w:val="26"/>
        </w:rPr>
        <w:t>8. Team</w:t>
      </w:r>
    </w:p>
    <w:p>
      <w:r>
        <w:rPr>
          <w:sz w:val="22"/>
        </w:rPr>
        <w:t>Sarah Wanjiru (CEO): ex-Jumia, 7 years in African e-commerce. Daniel Otieno (CTO): ex-Andela, 9 years building logistics platforms. Jane Kamau (CMO): ex-Safaricom, 11 years in consumer marketing. Advisor: Dr. Mary Achieng, supply chain expert, Strathmore Business School.</w:t>
      </w:r>
    </w:p>
    <w:sectPr w:rsidR="00FC693F" w:rsidRPr="0006063C" w:rsidSect="00034616">
      <w:footerReference w:type="default" r:id="rId9"/>
      <w:pgSz w:w="12240" w:h="15840"/>
      <w:pgMar w:top="1247" w:right="1361" w:bottom="1247" w:left="136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4B5563"/>
        <w:sz w:val="18"/>
      </w:rPr>
      <w:t xml:space="preserve">Page </w:t>
      <w:fldChar w:fldCharType="begin"/>
      <w:instrText>PAGE</w:instrText>
      <w:fldChar w:fldCharType="end"/>
    </w:r>
    <w:r>
      <w:rPr>
        <w:color w:val="4B5563"/>
        <w:sz w:val="18"/>
      </w:rPr>
      <w:t xml:space="preserve"> of </w:t>
      <w:fldChar w:fldCharType="begin"/>
      <w:instrText>NUMPAGES</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