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2"/>
        </w:rPr>
        <w:t>DR. SARAH W. NJOROGE</w:t>
      </w:r>
    </w:p>
    <w:p>
      <w:pPr>
        <w:jc w:val="center"/>
      </w:pPr>
      <w:r>
        <w:rPr>
          <w:i/>
          <w:color w:val="B45309"/>
          <w:sz w:val="24"/>
        </w:rPr>
        <w:t>Chief Executive Officer  ·  Board Director  ·  Strategy &amp; Operations</w:t>
      </w:r>
    </w:p>
    <w:p>
      <w:pPr>
        <w:jc w:val="center"/>
      </w:pPr>
      <w:r>
        <w:rPr>
          <w:color w:val="4B5563"/>
          <w:sz w:val="20"/>
        </w:rPr>
        <w:t>Nairobi · +254 700 123 456 · sarah.njoroge@email.com · hbr.org/in/sarah-njoroge</w:t>
      </w:r>
    </w:p>
    <w:p>
      <w:pPr>
        <w:pBdr>
          <w:bottom w:val="single" w:sz="14" w:space="1" w:color="1F2937"/>
        </w:pBdr>
      </w:pPr>
    </w:p>
    <w:p>
      <w:r>
        <w:rPr>
          <w:b/>
          <w:color w:val="1F2937"/>
          <w:sz w:val="26"/>
        </w:rPr>
        <w:t>Executive Summary</w:t>
      </w:r>
    </w:p>
    <w:p>
      <w:r>
        <w:rPr>
          <w:sz w:val="22"/>
        </w:rPr>
        <w:t>C-suite executive with 18 years leading technology and financial services businesses across East Africa. Built and exited two SaaS startups; led 240-person operations through Series B and Series C. Track record of doubling revenue inside 24 months via disciplined unit-economics focus. Board director at two growth-stage companies.</w:t>
      </w:r>
    </w:p>
    <w:p>
      <w:r>
        <w:rPr>
          <w:b/>
          <w:color w:val="1F2937"/>
          <w:sz w:val="26"/>
        </w:rPr>
        <w:t>Leadership Experience</w:t>
      </w:r>
    </w:p>
    <w:p>
      <w:r>
        <w:rPr>
          <w:b/>
          <w:sz w:val="22"/>
        </w:rPr>
        <w:t xml:space="preserve">Chief Executive Officer — </w:t>
      </w:r>
      <w:r>
        <w:rPr>
          <w:i/>
          <w:sz w:val="22"/>
        </w:rPr>
        <w:t>Acme Holdings Ltd</w:t>
      </w:r>
      <w:r>
        <w:rPr>
          <w:color w:val="4B5563"/>
          <w:sz w:val="20"/>
        </w:rPr>
        <w:t xml:space="preserve">    2020 — Present</w:t>
      </w:r>
    </w:p>
    <w:p>
      <w:pPr>
        <w:pStyle w:val="ListBullet"/>
      </w:pPr>
      <w:r>
        <w:rPr>
          <w:sz w:val="22"/>
        </w:rPr>
        <w:t>Grew annual recurring revenue from $4.2M to $11.8M in 36 months; raised $24M Series C.</w:t>
      </w:r>
    </w:p>
    <w:p>
      <w:pPr>
        <w:pStyle w:val="ListBullet"/>
      </w:pPr>
      <w:r>
        <w:rPr>
          <w:sz w:val="22"/>
        </w:rPr>
        <w:t>Restructured into 3 business units, each P&amp;L-owned; reduced blended CAC payback from 14 to 6 months.</w:t>
      </w:r>
    </w:p>
    <w:p>
      <w:pPr>
        <w:pStyle w:val="ListBullet"/>
      </w:pPr>
      <w:r>
        <w:rPr>
          <w:sz w:val="22"/>
        </w:rPr>
        <w:t>Chaired the board's Risk Committee; introduced quarterly OKRs across all 240 staff.</w:t>
      </w:r>
    </w:p>
    <w:p>
      <w:r>
        <w:rPr>
          <w:b/>
          <w:sz w:val="22"/>
        </w:rPr>
        <w:t xml:space="preserve">Chief Operating Officer — </w:t>
      </w:r>
      <w:r>
        <w:rPr>
          <w:i/>
          <w:sz w:val="22"/>
        </w:rPr>
        <w:t>Pulse Financial</w:t>
      </w:r>
      <w:r>
        <w:rPr>
          <w:color w:val="4B5563"/>
          <w:sz w:val="20"/>
        </w:rPr>
        <w:t xml:space="preserve">    2016 — 2020</w:t>
      </w:r>
    </w:p>
    <w:p>
      <w:pPr>
        <w:pStyle w:val="ListBullet"/>
      </w:pPr>
      <w:r>
        <w:rPr>
          <w:sz w:val="22"/>
        </w:rPr>
        <w:t>Scaled ops from 18 to 130 people across 4 markets; launched 2 product lines.</w:t>
      </w:r>
    </w:p>
    <w:p>
      <w:pPr>
        <w:pStyle w:val="ListBullet"/>
      </w:pPr>
      <w:r>
        <w:rPr>
          <w:sz w:val="22"/>
        </w:rPr>
        <w:t>Built the data and analytics function from scratch; introduced the company's first BI dashboards.</w:t>
      </w:r>
    </w:p>
    <w:p>
      <w:r>
        <w:rPr>
          <w:b/>
          <w:sz w:val="22"/>
        </w:rPr>
        <w:t xml:space="preserve">Founder &amp; CEO — </w:t>
      </w:r>
      <w:r>
        <w:rPr>
          <w:i/>
          <w:sz w:val="22"/>
        </w:rPr>
        <w:t>Indie SaaS</w:t>
      </w:r>
      <w:r>
        <w:rPr>
          <w:color w:val="4B5563"/>
          <w:sz w:val="20"/>
        </w:rPr>
        <w:t xml:space="preserve">    2012 — 2016  (acquired)</w:t>
      </w:r>
    </w:p>
    <w:p>
      <w:pPr>
        <w:pStyle w:val="ListBullet"/>
      </w:pPr>
      <w:r>
        <w:rPr>
          <w:sz w:val="22"/>
        </w:rPr>
        <w:t>Founded, scaled to $1.4M ARR, and successfully exited to a regional incumbent.</w:t>
      </w:r>
    </w:p>
    <w:p>
      <w:r>
        <w:rPr>
          <w:b/>
          <w:color w:val="1F2937"/>
          <w:sz w:val="26"/>
        </w:rPr>
        <w:t>Board &amp; Advisory Roles</w:t>
      </w:r>
    </w:p>
    <w:p>
      <w:pPr>
        <w:pStyle w:val="ListBullet"/>
      </w:pPr>
      <w:r>
        <w:rPr>
          <w:sz w:val="22"/>
        </w:rPr>
        <w:t>Board Director, Bright Labs (2021 — present)</w:t>
      </w:r>
    </w:p>
    <w:p>
      <w:pPr>
        <w:pStyle w:val="ListBullet"/>
      </w:pPr>
      <w:r>
        <w:rPr>
          <w:sz w:val="22"/>
        </w:rPr>
        <w:t>Advisory Board, Strathmore Business School — Entrepreneurship Center (2019 — present)</w:t>
      </w:r>
    </w:p>
    <w:p>
      <w:r>
        <w:rPr>
          <w:b/>
          <w:color w:val="1F2937"/>
          <w:sz w:val="26"/>
        </w:rPr>
        <w:t>Education &amp; Credentials</w:t>
      </w:r>
    </w:p>
    <w:p>
      <w:r>
        <w:rPr>
          <w:b/>
          <w:sz w:val="22"/>
        </w:rPr>
        <w:t xml:space="preserve">DBA (Strategy) — </w:t>
      </w:r>
      <w:r>
        <w:rPr>
          <w:i/>
          <w:sz w:val="22"/>
        </w:rPr>
        <w:t>Harvard Business School — Executive Program</w:t>
      </w:r>
      <w:r>
        <w:rPr>
          <w:color w:val="4B5563"/>
          <w:sz w:val="20"/>
        </w:rPr>
        <w:t xml:space="preserve">    2015</w:t>
      </w:r>
    </w:p>
    <w:p>
      <w:r>
        <w:rPr>
          <w:b/>
          <w:sz w:val="22"/>
        </w:rPr>
        <w:t xml:space="preserve">MBA — </w:t>
      </w:r>
      <w:r>
        <w:rPr>
          <w:i/>
          <w:sz w:val="22"/>
        </w:rPr>
        <w:t>Stanford Graduate School of Business</w:t>
      </w:r>
      <w:r>
        <w:rPr>
          <w:color w:val="4B5563"/>
          <w:sz w:val="20"/>
        </w:rPr>
        <w:t xml:space="preserve">    2010</w:t>
      </w:r>
    </w:p>
    <w:p>
      <w:r>
        <w:rPr>
          <w:b/>
          <w:sz w:val="22"/>
        </w:rPr>
        <w:t xml:space="preserve">BSc (Mathematics) — </w:t>
      </w:r>
      <w:r>
        <w:rPr>
          <w:i/>
          <w:sz w:val="22"/>
        </w:rPr>
        <w:t>University of Nairobi</w:t>
      </w:r>
      <w:r>
        <w:rPr>
          <w:color w:val="4B5563"/>
          <w:sz w:val="20"/>
        </w:rPr>
        <w:t xml:space="preserve">    2006</w:t>
      </w:r>
    </w:p>
    <w:p>
      <w:r>
        <w:rPr>
          <w:b/>
          <w:color w:val="1F2937"/>
          <w:sz w:val="26"/>
        </w:rPr>
        <w:t>Honors</w:t>
      </w:r>
    </w:p>
    <w:p>
      <w:pPr>
        <w:pStyle w:val="ListBullet"/>
      </w:pPr>
      <w:r>
        <w:rPr>
          <w:sz w:val="22"/>
        </w:rPr>
        <w:t>EY Entrepreneur of the Year — East Africa Finalist (2023)</w:t>
      </w:r>
    </w:p>
    <w:p>
      <w:pPr>
        <w:pStyle w:val="ListBullet"/>
      </w:pPr>
      <w:r>
        <w:rPr>
          <w:sz w:val="22"/>
        </w:rPr>
        <w:t>Africa Business Council — Top 40 Under 40 (2022)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