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C4899"/>
          <w:sz w:val="48"/>
        </w:rPr>
        <w:t>MARKETING PLAN</w:t>
      </w:r>
    </w:p>
    <w:p>
      <w:pPr>
        <w:jc w:val="center"/>
      </w:pPr>
      <w:r>
        <w:rPr>
          <w:i/>
          <w:color w:val="B45309"/>
          <w:sz w:val="26"/>
        </w:rPr>
        <w:t>Q4 2025 — Acme Foods Grocery Delivery</w:t>
      </w:r>
    </w:p>
    <w:p>
      <w:pPr>
        <w:pBdr>
          <w:bottom w:val="single" w:sz="10" w:space="1" w:color="EC4899"/>
        </w:pBdr>
      </w:pPr>
    </w:p>
    <w:p>
      <w:r>
        <w:rPr>
          <w:b/>
          <w:color w:val="B45309"/>
          <w:sz w:val="26"/>
        </w:rPr>
        <w:t>1. Situation Analysis</w:t>
      </w:r>
    </w:p>
    <w:p>
      <w:r>
        <w:rPr>
          <w:sz w:val="22"/>
        </w:rPr>
        <w:t>Acme Foods launched its grocery delivery app in Westlands and Kilimani in March 2025. As of October, we have 3,400 monthly active customers and KES 8.6M monthly revenue. Awareness remains low outside the two pilot neighborhoods; CAC has stabilized at KES 1,200 with a 3.4-month payback. The competitive landscape includes Jumia Food (broad selection, slow delivery) and Glovo (restaurant-led, premium pricing).</w:t>
      </w:r>
    </w:p>
    <w:p>
      <w:r>
        <w:rPr>
          <w:b/>
          <w:color w:val="B45309"/>
          <w:sz w:val="26"/>
        </w:rPr>
        <w:t>2. Objectives</w:t>
      </w:r>
    </w:p>
    <w:p>
      <w:pPr>
        <w:pStyle w:val="ListBullet"/>
      </w:pPr>
      <w:r>
        <w:rPr>
          <w:sz w:val="22"/>
        </w:rPr>
        <w:t>Reach 6,500 MAU by end of Q4 (+91%).</w:t>
      </w:r>
    </w:p>
    <w:p>
      <w:pPr>
        <w:pStyle w:val="ListBullet"/>
      </w:pPr>
      <w:r>
        <w:rPr>
          <w:sz w:val="22"/>
        </w:rPr>
        <w:t>Reduce blended CAC from KES 1,200 to KES 900.</w:t>
      </w:r>
    </w:p>
    <w:p>
      <w:pPr>
        <w:pStyle w:val="ListBullet"/>
      </w:pPr>
      <w:r>
        <w:rPr>
          <w:sz w:val="22"/>
        </w:rPr>
        <w:t>Launch in 1 new neighborhood (Parklands) by Q4 week 10.</w:t>
      </w:r>
    </w:p>
    <w:p>
      <w:pPr>
        <w:pStyle w:val="ListBullet"/>
      </w:pPr>
      <w:r>
        <w:rPr>
          <w:sz w:val="22"/>
        </w:rPr>
        <w:t>Achieve a 4.5-star average rating on the Play Store (currently 4.1).</w:t>
      </w:r>
    </w:p>
    <w:p>
      <w:r>
        <w:rPr>
          <w:b/>
          <w:color w:val="B45309"/>
          <w:sz w:val="26"/>
        </w:rPr>
        <w:t>3. Target Audience</w:t>
      </w:r>
    </w:p>
    <w:p>
      <w:r>
        <w:rPr>
          <w:sz w:val="22"/>
        </w:rPr>
        <w:t>Primary: working professionals aged 28-45 in Westlands, Kilimani, and Parklands, household income KES 200K+, value time over money. Secondary: apartment-complex WhatsApp groups (collective buying).</w:t>
      </w:r>
    </w:p>
    <w:p>
      <w:r>
        <w:rPr>
          <w:b/>
          <w:color w:val="B45309"/>
          <w:sz w:val="26"/>
        </w:rPr>
        <w:t>4. Channels &amp; Tactics</w:t>
      </w:r>
    </w:p>
    <w:p>
      <w:pPr>
        <w:pStyle w:val="ListBullet"/>
      </w:pPr>
      <w:r>
        <w:rPr>
          <w:sz w:val="22"/>
        </w:rPr>
        <w:t>WhatsApp groups: 50 target complexes; weekly offer drops + group-buying discounts.</w:t>
      </w:r>
    </w:p>
    <w:p>
      <w:pPr>
        <w:pStyle w:val="ListBullet"/>
      </w:pPr>
      <w:r>
        <w:rPr>
          <w:sz w:val="22"/>
        </w:rPr>
        <w:t>Instagram + TikTok: 3 short-form videos/week, focused on 'time saved' narrative.</w:t>
      </w:r>
    </w:p>
    <w:p>
      <w:pPr>
        <w:pStyle w:val="ListBullet"/>
      </w:pPr>
      <w:r>
        <w:rPr>
          <w:sz w:val="22"/>
        </w:rPr>
        <w:t>Influencer partnerships: 8 micro-influencers (10-50K followers) in food/lifestyle.</w:t>
      </w:r>
    </w:p>
    <w:p>
      <w:pPr>
        <w:pStyle w:val="ListBullet"/>
      </w:pPr>
      <w:r>
        <w:rPr>
          <w:sz w:val="22"/>
        </w:rPr>
        <w:t>Referral: KES 200 credit for both referrer and referee; target 25% of new signups.</w:t>
      </w:r>
    </w:p>
    <w:p>
      <w:pPr>
        <w:pStyle w:val="ListBullet"/>
      </w:pPr>
      <w:r>
        <w:rPr>
          <w:sz w:val="22"/>
        </w:rPr>
        <w:t>App Store Optimization: keyword refresh, screenshots update, ratings prompt at order #3.</w:t>
      </w:r>
    </w:p>
    <w:p>
      <w:r>
        <w:rPr>
          <w:b/>
          <w:color w:val="B45309"/>
          <w:sz w:val="26"/>
        </w:rPr>
        <w:t>5. Budget (KES)</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EC4899"/>
          </w:tcPr>
          <w:p>
            <w:r>
              <w:rPr>
                <w:b/>
                <w:color w:val="FFFFFF"/>
                <w:sz w:val="22"/>
              </w:rPr>
              <w:t>Channel</w:t>
            </w:r>
          </w:p>
        </w:tc>
        <w:tc>
          <w:tcPr>
            <w:tcW w:type="dxa" w:w="3173"/>
            <w:shd w:val="clear" w:color="auto" w:fill="EC4899"/>
          </w:tcPr>
          <w:p>
            <w:r>
              <w:rPr>
                <w:b/>
                <w:color w:val="FFFFFF"/>
                <w:sz w:val="22"/>
              </w:rPr>
              <w:t>Q4 Budget</w:t>
            </w:r>
          </w:p>
        </w:tc>
        <w:tc>
          <w:tcPr>
            <w:tcW w:type="dxa" w:w="3173"/>
            <w:shd w:val="clear" w:color="auto" w:fill="EC4899"/>
          </w:tcPr>
          <w:p>
            <w:r>
              <w:rPr>
                <w:b/>
                <w:color w:val="FFFFFF"/>
                <w:sz w:val="22"/>
              </w:rPr>
              <w:t>Expected Outcome</w:t>
            </w:r>
          </w:p>
        </w:tc>
      </w:tr>
      <w:tr>
        <w:tc>
          <w:tcPr>
            <w:tcW w:type="dxa" w:w="3173"/>
          </w:tcPr>
          <w:p>
            <w:r>
              <w:rPr>
                <w:sz w:val="21"/>
              </w:rPr>
              <w:t>WhatsApp groups</w:t>
            </w:r>
          </w:p>
        </w:tc>
        <w:tc>
          <w:tcPr>
            <w:tcW w:type="dxa" w:w="3173"/>
          </w:tcPr>
          <w:p>
            <w:r>
              <w:rPr>
                <w:sz w:val="21"/>
              </w:rPr>
              <w:t>350,000</w:t>
            </w:r>
          </w:p>
        </w:tc>
        <w:tc>
          <w:tcPr>
            <w:tcW w:type="dxa" w:w="3173"/>
          </w:tcPr>
          <w:p>
            <w:r>
              <w:rPr>
                <w:sz w:val="21"/>
              </w:rPr>
              <w:t>1,500 new users</w:t>
            </w:r>
          </w:p>
        </w:tc>
      </w:tr>
      <w:tr>
        <w:tc>
          <w:tcPr>
            <w:tcW w:type="dxa" w:w="3173"/>
          </w:tcPr>
          <w:p>
            <w:r>
              <w:rPr>
                <w:sz w:val="21"/>
              </w:rPr>
              <w:t>Instagram + TikTok</w:t>
            </w:r>
          </w:p>
        </w:tc>
        <w:tc>
          <w:tcPr>
            <w:tcW w:type="dxa" w:w="3173"/>
          </w:tcPr>
          <w:p>
            <w:r>
              <w:rPr>
                <w:sz w:val="21"/>
              </w:rPr>
              <w:t>500,000</w:t>
            </w:r>
          </w:p>
        </w:tc>
        <w:tc>
          <w:tcPr>
            <w:tcW w:type="dxa" w:w="3173"/>
          </w:tcPr>
          <w:p>
            <w:r>
              <w:rPr>
                <w:sz w:val="21"/>
              </w:rPr>
              <w:t>2,200 new users, brand awareness lift</w:t>
            </w:r>
          </w:p>
        </w:tc>
      </w:tr>
      <w:tr>
        <w:tc>
          <w:tcPr>
            <w:tcW w:type="dxa" w:w="3173"/>
          </w:tcPr>
          <w:p>
            <w:r>
              <w:rPr>
                <w:sz w:val="21"/>
              </w:rPr>
              <w:t>Influencer partnerships</w:t>
            </w:r>
          </w:p>
        </w:tc>
        <w:tc>
          <w:tcPr>
            <w:tcW w:type="dxa" w:w="3173"/>
          </w:tcPr>
          <w:p>
            <w:r>
              <w:rPr>
                <w:sz w:val="21"/>
              </w:rPr>
              <w:t>450,000</w:t>
            </w:r>
          </w:p>
        </w:tc>
        <w:tc>
          <w:tcPr>
            <w:tcW w:type="dxa" w:w="3173"/>
          </w:tcPr>
          <w:p>
            <w:r>
              <w:rPr>
                <w:sz w:val="21"/>
              </w:rPr>
              <w:t>1,100 new users</w:t>
            </w:r>
          </w:p>
        </w:tc>
      </w:tr>
      <w:tr>
        <w:tc>
          <w:tcPr>
            <w:tcW w:type="dxa" w:w="3173"/>
          </w:tcPr>
          <w:p>
            <w:r>
              <w:rPr>
                <w:sz w:val="21"/>
              </w:rPr>
              <w:t>Referral program</w:t>
            </w:r>
          </w:p>
        </w:tc>
        <w:tc>
          <w:tcPr>
            <w:tcW w:type="dxa" w:w="3173"/>
          </w:tcPr>
          <w:p>
            <w:r>
              <w:rPr>
                <w:sz w:val="21"/>
              </w:rPr>
              <w:t>650,000</w:t>
            </w:r>
          </w:p>
        </w:tc>
        <w:tc>
          <w:tcPr>
            <w:tcW w:type="dxa" w:w="3173"/>
          </w:tcPr>
          <w:p>
            <w:r>
              <w:rPr>
                <w:sz w:val="21"/>
              </w:rPr>
              <w:t>1,600 new users (25% of total)</w:t>
            </w:r>
          </w:p>
        </w:tc>
      </w:tr>
      <w:tr>
        <w:tc>
          <w:tcPr>
            <w:tcW w:type="dxa" w:w="3173"/>
          </w:tcPr>
          <w:p>
            <w:r>
              <w:rPr>
                <w:sz w:val="21"/>
              </w:rPr>
              <w:t>ASO + ratings</w:t>
            </w:r>
          </w:p>
        </w:tc>
        <w:tc>
          <w:tcPr>
            <w:tcW w:type="dxa" w:w="3173"/>
          </w:tcPr>
          <w:p>
            <w:r>
              <w:rPr>
                <w:sz w:val="21"/>
              </w:rPr>
              <w:t>100,000</w:t>
            </w:r>
          </w:p>
        </w:tc>
        <w:tc>
          <w:tcPr>
            <w:tcW w:type="dxa" w:w="3173"/>
          </w:tcPr>
          <w:p>
            <w:r>
              <w:rPr>
                <w:sz w:val="21"/>
              </w:rPr>
              <w:t>0.4 star lift, organic install +30%</w:t>
            </w:r>
          </w:p>
        </w:tc>
      </w:tr>
      <w:tr>
        <w:tc>
          <w:tcPr>
            <w:tcW w:type="dxa" w:w="3173"/>
          </w:tcPr>
          <w:p>
            <w:r>
              <w:rPr>
                <w:sz w:val="21"/>
              </w:rPr>
              <w:t>Total</w:t>
            </w:r>
          </w:p>
        </w:tc>
        <w:tc>
          <w:tcPr>
            <w:tcW w:type="dxa" w:w="3173"/>
          </w:tcPr>
          <w:p>
            <w:r>
              <w:rPr>
                <w:sz w:val="21"/>
              </w:rPr>
              <w:t>2,050,000</w:t>
            </w:r>
          </w:p>
        </w:tc>
        <w:tc>
          <w:tcPr>
            <w:tcW w:type="dxa" w:w="3173"/>
          </w:tcPr>
          <w:p>
            <w:r>
              <w:rPr>
                <w:sz w:val="21"/>
              </w:rPr>
              <w:t>6,400 new users (CAC ~KES 320)</w:t>
            </w:r>
          </w:p>
        </w:tc>
      </w:tr>
    </w:tbl>
    <w:p>
      <w:r>
        <w:rPr>
          <w:b/>
          <w:color w:val="B45309"/>
          <w:sz w:val="26"/>
        </w:rPr>
        <w:t>6. Measurement</w:t>
      </w:r>
    </w:p>
    <w:p>
      <w:r>
        <w:rPr>
          <w:sz w:val="22"/>
        </w:rPr>
        <w:t>Weekly dashboard: MAU, new signups by channel, CAC by channel, repeat rate, NPS, Play Store rating. Reviewed every Monday at the marketing standup; full retro in the last week of Q4.</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