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937"/>
          <w:sz w:val="44"/>
        </w:rPr>
        <w:t>Meeting Minutes</w:t>
      </w:r>
    </w:p>
    <w:p>
      <w:r>
        <w:rPr>
          <w:i/>
          <w:color w:val="B45309"/>
          <w:sz w:val="26"/>
        </w:rPr>
        <w:t>Q4 Product Planning — Engineering + Design Sync</w:t>
      </w:r>
    </w:p>
    <w:p>
      <w:pPr>
        <w:pBdr>
          <w:bottom w:val="single" w:sz="8" w:space="1" w:color="1F2937"/>
        </w:pBdr>
      </w:pPr>
    </w:p>
    <w:tbl>
      <w:tblPr>
        <w:tblStyle w:val="LightList-Accent1"/>
        <w:tblW w:type="auto" w:w="0"/>
        <w:tblLook w:firstColumn="1" w:firstRow="1" w:lastColumn="0" w:lastRow="0" w:noHBand="0" w:noVBand="1" w:val="04A0"/>
      </w:tblPr>
      <w:tblGrid>
        <w:gridCol w:w="4703"/>
        <w:gridCol w:w="4703"/>
      </w:tblGrid>
      <w:tr>
        <w:tc>
          <w:tcPr>
            <w:tcW w:type="dxa" w:w="4703"/>
          </w:tcPr>
          <w:p>
            <w:r>
              <w:rPr>
                <w:b/>
                <w:sz w:val="22"/>
              </w:rPr>
              <w:t>Date</w:t>
            </w:r>
          </w:p>
        </w:tc>
        <w:tc>
          <w:tcPr>
            <w:tcW w:type="dxa" w:w="4703"/>
          </w:tcPr>
          <w:p>
            <w:r>
              <w:t>October 6, 2025, 10:00 AM</w:t>
            </w:r>
          </w:p>
        </w:tc>
      </w:tr>
      <w:tr>
        <w:tc>
          <w:tcPr>
            <w:tcW w:type="dxa" w:w="4703"/>
          </w:tcPr>
          <w:p>
            <w:r>
              <w:rPr>
                <w:b/>
                <w:sz w:val="22"/>
              </w:rPr>
              <w:t>Location</w:t>
            </w:r>
          </w:p>
        </w:tc>
        <w:tc>
          <w:tcPr>
            <w:tcW w:type="dxa" w:w="4703"/>
          </w:tcPr>
          <w:p>
            <w:r>
              <w:t>Conference Room B / Video (Zoom)</w:t>
            </w:r>
          </w:p>
        </w:tc>
      </w:tr>
      <w:tr>
        <w:tc>
          <w:tcPr>
            <w:tcW w:type="dxa" w:w="4703"/>
          </w:tcPr>
          <w:p>
            <w:r>
              <w:rPr>
                <w:b/>
                <w:sz w:val="22"/>
              </w:rPr>
              <w:t>Attendees</w:t>
            </w:r>
          </w:p>
        </w:tc>
        <w:tc>
          <w:tcPr>
            <w:tcW w:type="dxa" w:w="4703"/>
          </w:tcPr>
          <w:p>
            <w:r>
              <w:t>Sarah Wanjiru (Chair), Daniel Otieno, Alex Morgan, Jane Kamau, Brian Mwangi</w:t>
            </w:r>
          </w:p>
        </w:tc>
      </w:tr>
      <w:tr>
        <w:tc>
          <w:tcPr>
            <w:tcW w:type="dxa" w:w="4703"/>
          </w:tcPr>
          <w:p>
            <w:r>
              <w:rPr>
                <w:b/>
                <w:sz w:val="22"/>
              </w:rPr>
              <w:t>Apologies</w:t>
            </w:r>
          </w:p>
        </w:tc>
        <w:tc>
          <w:tcPr>
            <w:tcW w:type="dxa" w:w="4703"/>
          </w:tcPr>
          <w:p>
            <w:r>
              <w:t>Mary Achieng (on leave)</w:t>
            </w:r>
          </w:p>
        </w:tc>
      </w:tr>
    </w:tbl>
    <w:p>
      <w:r>
        <w:rPr>
          <w:b/>
          <w:color w:val="B45309"/>
          <w:sz w:val="26"/>
        </w:rPr>
        <w:t>Agenda</w:t>
      </w:r>
    </w:p>
    <w:p>
      <w:pPr>
        <w:pStyle w:val="ListNumber"/>
      </w:pPr>
      <w:r>
        <w:rPr>
          <w:sz w:val="22"/>
        </w:rPr>
        <w:t>Review of Q3 OKR completion</w:t>
      </w:r>
    </w:p>
    <w:p>
      <w:pPr>
        <w:pStyle w:val="ListNumber"/>
      </w:pPr>
      <w:r>
        <w:rPr>
          <w:sz w:val="22"/>
        </w:rPr>
        <w:t>Q4 priority roadmap — top 5 initiatives</w:t>
      </w:r>
    </w:p>
    <w:p>
      <w:pPr>
        <w:pStyle w:val="ListNumber"/>
      </w:pPr>
      <w:r>
        <w:rPr>
          <w:sz w:val="22"/>
        </w:rPr>
        <w:t>Hiring plan: 2 senior engineers + 1 designer</w:t>
      </w:r>
    </w:p>
    <w:p>
      <w:pPr>
        <w:pStyle w:val="ListNumber"/>
      </w:pPr>
      <w:r>
        <w:rPr>
          <w:sz w:val="22"/>
        </w:rPr>
        <w:t>Risk and dependencies</w:t>
      </w:r>
    </w:p>
    <w:p>
      <w:pPr>
        <w:pStyle w:val="ListNumber"/>
      </w:pPr>
      <w:r>
        <w:rPr>
          <w:sz w:val="22"/>
        </w:rPr>
        <w:t>AOB</w:t>
      </w:r>
    </w:p>
    <w:p>
      <w:r>
        <w:rPr>
          <w:b/>
          <w:color w:val="B45309"/>
          <w:sz w:val="26"/>
        </w:rPr>
        <w:t>Discussion</w:t>
      </w:r>
    </w:p>
    <w:p>
      <w:r>
        <w:rPr>
          <w:sz w:val="22"/>
        </w:rPr>
        <w:t>Sarah opened the meeting with a recap of Q3. The team achieved 78% of stated OKRs, falling short on the analytics dashboard due to a dependency on the data warehouse migration that slipped by three weeks. Daniel noted that the warehouse migration is now complete and the dashboard work can resume in Q4 week 1.</w:t>
      </w:r>
    </w:p>
    <w:p>
      <w:r>
        <w:rPr>
          <w:sz w:val="22"/>
        </w:rPr>
        <w:t>Alex presented the proposed Q4 roadmap. After discussion, the team agreed to reprioritize the onboarding redesign ahead of the new pricing page. Jane expressed concern about the marketing team's bandwidth for the pricing page launch and committed to providing a campaign plan by end of week 2.</w:t>
      </w:r>
    </w:p>
    <w:p>
      <w:r>
        <w:rPr>
          <w:b/>
          <w:color w:val="B45309"/>
          <w:sz w:val="26"/>
        </w:rPr>
        <w:t>Decisions</w:t>
      </w:r>
    </w:p>
    <w:p>
      <w:pPr>
        <w:pStyle w:val="ListBullet"/>
      </w:pPr>
      <w:r>
        <w:rPr>
          <w:sz w:val="22"/>
        </w:rPr>
        <w:t>Onboarding redesign is the #1 priority for Q4; pricing page moves to Q4 week 6.</w:t>
      </w:r>
    </w:p>
    <w:p>
      <w:pPr>
        <w:pStyle w:val="ListBullet"/>
      </w:pPr>
      <w:r>
        <w:rPr>
          <w:sz w:val="22"/>
        </w:rPr>
        <w:t>Two senior engineers to be hired via the existing referral program; target start date Dec 1.</w:t>
      </w:r>
    </w:p>
    <w:p>
      <w:pPr>
        <w:pStyle w:val="ListBullet"/>
      </w:pPr>
      <w:r>
        <w:rPr>
          <w:sz w:val="22"/>
        </w:rPr>
        <w:t>Designer hiring to be paused until Q1 2026 — current team has capacity.</w:t>
      </w:r>
    </w:p>
    <w:p>
      <w:r>
        <w:rPr>
          <w:b/>
          <w:color w:val="B45309"/>
          <w:sz w:val="26"/>
        </w:rPr>
        <w:t>Action Items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D97706"/>
          </w:tcPr>
          <w:p>
            <w:r>
              <w:rPr>
                <w:b/>
                <w:color w:val="FFFFFF"/>
                <w:sz w:val="22"/>
              </w:rPr>
              <w:t>#</w:t>
            </w:r>
          </w:p>
        </w:tc>
        <w:tc>
          <w:tcPr>
            <w:tcW w:type="dxa" w:w="2351"/>
            <w:shd w:val="clear" w:color="auto" w:fill="D97706"/>
          </w:tcPr>
          <w:p>
            <w:r>
              <w:rPr>
                <w:b/>
                <w:color w:val="FFFFFF"/>
                <w:sz w:val="22"/>
              </w:rPr>
              <w:t>Action</w:t>
            </w:r>
          </w:p>
        </w:tc>
        <w:tc>
          <w:tcPr>
            <w:tcW w:type="dxa" w:w="2351"/>
            <w:shd w:val="clear" w:color="auto" w:fill="D97706"/>
          </w:tcPr>
          <w:p>
            <w:r>
              <w:rPr>
                <w:b/>
                <w:color w:val="FFFFFF"/>
                <w:sz w:val="22"/>
              </w:rPr>
              <w:t>Owner</w:t>
            </w:r>
          </w:p>
        </w:tc>
        <w:tc>
          <w:tcPr>
            <w:tcW w:type="dxa" w:w="2351"/>
            <w:shd w:val="clear" w:color="auto" w:fill="D97706"/>
          </w:tcPr>
          <w:p>
            <w:r>
              <w:rPr>
                <w:b/>
                <w:color w:val="FFFFFF"/>
                <w:sz w:val="22"/>
              </w:rPr>
              <w:t>Due</w:t>
            </w:r>
          </w:p>
        </w:tc>
      </w:tr>
      <w:tr>
        <w:tc>
          <w:tcPr>
            <w:tcW w:type="dxa" w:w="2351"/>
          </w:tcPr>
          <w:p>
            <w:r>
              <w:rPr>
                <w:sz w:val="21"/>
              </w:rPr>
              <w:t>1</w:t>
            </w:r>
          </w:p>
        </w:tc>
        <w:tc>
          <w:tcPr>
            <w:tcW w:type="dxa" w:w="2351"/>
          </w:tcPr>
          <w:p>
            <w:r>
              <w:rPr>
                <w:sz w:val="21"/>
              </w:rPr>
              <w:t>Finalize onboarding design spec and share for review</w:t>
            </w:r>
          </w:p>
        </w:tc>
        <w:tc>
          <w:tcPr>
            <w:tcW w:type="dxa" w:w="2351"/>
          </w:tcPr>
          <w:p>
            <w:r>
              <w:rPr>
                <w:sz w:val="21"/>
              </w:rPr>
              <w:t>Alex Morgan</w:t>
            </w:r>
          </w:p>
        </w:tc>
        <w:tc>
          <w:tcPr>
            <w:tcW w:type="dxa" w:w="2351"/>
          </w:tcPr>
          <w:p>
            <w:r>
              <w:rPr>
                <w:sz w:val="21"/>
              </w:rPr>
              <w:t>Oct 10</w:t>
            </w:r>
          </w:p>
        </w:tc>
      </w:tr>
      <w:tr>
        <w:tc>
          <w:tcPr>
            <w:tcW w:type="dxa" w:w="2351"/>
          </w:tcPr>
          <w:p>
            <w:r>
              <w:rPr>
                <w:sz w:val="21"/>
              </w:rPr>
              <w:t>2</w:t>
            </w:r>
          </w:p>
        </w:tc>
        <w:tc>
          <w:tcPr>
            <w:tcW w:type="dxa" w:w="2351"/>
          </w:tcPr>
          <w:p>
            <w:r>
              <w:rPr>
                <w:sz w:val="21"/>
              </w:rPr>
              <w:t>Provide Q4 marketing campaign plan</w:t>
            </w:r>
          </w:p>
        </w:tc>
        <w:tc>
          <w:tcPr>
            <w:tcW w:type="dxa" w:w="2351"/>
          </w:tcPr>
          <w:p>
            <w:r>
              <w:rPr>
                <w:sz w:val="21"/>
              </w:rPr>
              <w:t>Jane Kamau</w:t>
            </w:r>
          </w:p>
        </w:tc>
        <w:tc>
          <w:tcPr>
            <w:tcW w:type="dxa" w:w="2351"/>
          </w:tcPr>
          <w:p>
            <w:r>
              <w:rPr>
                <w:sz w:val="21"/>
              </w:rPr>
              <w:t>Oct 17</w:t>
            </w:r>
          </w:p>
        </w:tc>
      </w:tr>
      <w:tr>
        <w:tc>
          <w:tcPr>
            <w:tcW w:type="dxa" w:w="2351"/>
          </w:tcPr>
          <w:p>
            <w:r>
              <w:rPr>
                <w:sz w:val="21"/>
              </w:rPr>
              <w:t>3</w:t>
            </w:r>
          </w:p>
        </w:tc>
        <w:tc>
          <w:tcPr>
            <w:tcW w:type="dxa" w:w="2351"/>
          </w:tcPr>
          <w:p>
            <w:r>
              <w:rPr>
                <w:sz w:val="21"/>
              </w:rPr>
              <w:t>Open 2 senior engineer requisitions</w:t>
            </w:r>
          </w:p>
        </w:tc>
        <w:tc>
          <w:tcPr>
            <w:tcW w:type="dxa" w:w="2351"/>
          </w:tcPr>
          <w:p>
            <w:r>
              <w:rPr>
                <w:sz w:val="21"/>
              </w:rPr>
              <w:t>Sarah Wanjiru</w:t>
            </w:r>
          </w:p>
        </w:tc>
        <w:tc>
          <w:tcPr>
            <w:tcW w:type="dxa" w:w="2351"/>
          </w:tcPr>
          <w:p>
            <w:r>
              <w:rPr>
                <w:sz w:val="21"/>
              </w:rPr>
              <w:t>Oct 8</w:t>
            </w:r>
          </w:p>
        </w:tc>
      </w:tr>
      <w:tr>
        <w:tc>
          <w:tcPr>
            <w:tcW w:type="dxa" w:w="2351"/>
          </w:tcPr>
          <w:p>
            <w:r>
              <w:rPr>
                <w:sz w:val="21"/>
              </w:rPr>
              <w:t>4</w:t>
            </w:r>
          </w:p>
        </w:tc>
        <w:tc>
          <w:tcPr>
            <w:tcW w:type="dxa" w:w="2351"/>
          </w:tcPr>
          <w:p>
            <w:r>
              <w:rPr>
                <w:sz w:val="21"/>
              </w:rPr>
              <w:t>Schedule data warehouse dashboard kickoff</w:t>
            </w:r>
          </w:p>
        </w:tc>
        <w:tc>
          <w:tcPr>
            <w:tcW w:type="dxa" w:w="2351"/>
          </w:tcPr>
          <w:p>
            <w:r>
              <w:rPr>
                <w:sz w:val="21"/>
              </w:rPr>
              <w:t>Daniel Otieno</w:t>
            </w:r>
          </w:p>
        </w:tc>
        <w:tc>
          <w:tcPr>
            <w:tcW w:type="dxa" w:w="2351"/>
          </w:tcPr>
          <w:p>
            <w:r>
              <w:rPr>
                <w:sz w:val="21"/>
              </w:rPr>
              <w:t>Oct 9</w:t>
            </w:r>
          </w:p>
        </w:tc>
      </w:tr>
    </w:tbl>
    <w:p/>
    <w:p>
      <w:r>
        <w:rPr>
          <w:b/>
          <w:sz w:val="22"/>
        </w:rPr>
        <w:t xml:space="preserve">Next meeting: </w:t>
      </w:r>
      <w:r>
        <w:rPr>
          <w:sz w:val="22"/>
        </w:rPr>
        <w:t>October 20, 2025, 10:00 AM, same location.</w:t>
      </w:r>
    </w:p>
    <w:p>
      <w:r>
        <w:rPr>
          <w:color w:val="4B5563"/>
          <w:sz w:val="20"/>
        </w:rPr>
        <w:t xml:space="preserve">Minutes prepared by: </w:t>
      </w:r>
      <w:r>
        <w:rPr>
          <w:sz w:val="20"/>
        </w:rPr>
        <w:t>Sarah Wanjiru</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