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48"/>
        </w:rPr>
        <w:t>PROJECT CHARTER</w:t>
      </w:r>
    </w:p>
    <w:p>
      <w:pPr>
        <w:jc w:val="center"/>
      </w:pPr>
      <w:r>
        <w:rPr>
          <w:i/>
          <w:color w:val="B45309"/>
          <w:sz w:val="26"/>
        </w:rPr>
        <w:t>Mobile App Redesign — Q4 2025</w:t>
      </w:r>
    </w:p>
    <w:p>
      <w:pPr>
        <w:pBdr>
          <w:bottom w:val="single" w:sz="10" w:space="1" w:color="1F2937"/>
        </w:pBdr>
      </w:pPr>
    </w:p>
    <w:p>
      <w:r>
        <w:rPr>
          <w:b/>
          <w:color w:val="B45309"/>
          <w:sz w:val="26"/>
        </w:rPr>
        <w:t>1. Project Overview</w:t>
      </w:r>
    </w:p>
    <w:p>
      <w:r>
        <w:rPr>
          <w:sz w:val="22"/>
        </w:rPr>
        <w:t>This charter authorizes the Mobile App Redesign project, a Q4 initiative to redesign the customer-facing mobile app to improve retention, accessibility, and conversion. The project is sponsored by the VP of Product and owned by the Senior Product Designer.</w:t>
      </w:r>
    </w:p>
    <w:p>
      <w:r>
        <w:rPr>
          <w:b/>
          <w:color w:val="B45309"/>
          <w:sz w:val="26"/>
        </w:rPr>
        <w:t>2. Objectives &amp; Success Metrics</w:t>
      </w:r>
    </w:p>
    <w:p>
      <w:pPr>
        <w:pStyle w:val="ListBullet"/>
      </w:pPr>
      <w:r>
        <w:rPr>
          <w:sz w:val="22"/>
        </w:rPr>
        <w:t>Increase 30-day retention from 41% to 50% (+9pp).</w:t>
      </w:r>
    </w:p>
    <w:p>
      <w:pPr>
        <w:pStyle w:val="ListBullet"/>
      </w:pPr>
      <w:r>
        <w:rPr>
          <w:sz w:val="22"/>
        </w:rPr>
        <w:t>Reduce first-week onboarding drop-off from 6.1% to 4.0% (-2.1pp).</w:t>
      </w:r>
    </w:p>
    <w:p>
      <w:pPr>
        <w:pStyle w:val="ListBullet"/>
      </w:pPr>
      <w:r>
        <w:rPr>
          <w:sz w:val="22"/>
        </w:rPr>
        <w:t>Ship a 90-component design system adopted by 100% of product teams.</w:t>
      </w:r>
    </w:p>
    <w:p>
      <w:pPr>
        <w:pStyle w:val="ListBullet"/>
      </w:pPr>
      <w:r>
        <w:rPr>
          <w:sz w:val="22"/>
        </w:rPr>
        <w:t>Launch by Q4 week 14 with no P1 incidents in the first 30 days.</w:t>
      </w:r>
    </w:p>
    <w:p>
      <w:r>
        <w:rPr>
          <w:b/>
          <w:color w:val="B45309"/>
          <w:sz w:val="26"/>
        </w:rPr>
        <w:t>3. Scope</w:t>
      </w:r>
    </w:p>
    <w:p>
      <w:pPr>
        <w:pStyle w:val="ListBullet"/>
      </w:pPr>
      <w:r>
        <w:rPr>
          <w:sz w:val="22"/>
        </w:rPr>
        <w:t>IN SCOPE: customer app (iOS + Android), customer dashboard, customer settings.</w:t>
      </w:r>
    </w:p>
    <w:p>
      <w:pPr>
        <w:pStyle w:val="ListBullet"/>
      </w:pPr>
      <w:r>
        <w:rPr>
          <w:sz w:val="22"/>
        </w:rPr>
        <w:t>OUT OF SCOPE: partner portal, internal admin tools, marketing site.</w:t>
      </w:r>
    </w:p>
    <w:p>
      <w:r>
        <w:rPr>
          <w:b/>
          <w:color w:val="B45309"/>
          <w:sz w:val="26"/>
        </w:rPr>
        <w:t>4. Stakeholders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D97706"/>
          </w:tcPr>
          <w:p>
            <w:r>
              <w:rPr>
                <w:b/>
                <w:color w:val="FFFFFF"/>
                <w:sz w:val="22"/>
              </w:rPr>
              <w:t>Role</w:t>
            </w:r>
          </w:p>
        </w:tc>
        <w:tc>
          <w:tcPr>
            <w:tcW w:type="dxa" w:w="3173"/>
            <w:shd w:val="clear" w:color="auto" w:fill="D97706"/>
          </w:tcPr>
          <w:p>
            <w:r>
              <w:rPr>
                <w:b/>
                <w:color w:val="FFFFFF"/>
                <w:sz w:val="22"/>
              </w:rPr>
              <w:t>Name</w:t>
            </w:r>
          </w:p>
        </w:tc>
        <w:tc>
          <w:tcPr>
            <w:tcW w:type="dxa" w:w="3173"/>
            <w:shd w:val="clear" w:color="auto" w:fill="D97706"/>
          </w:tcPr>
          <w:p>
            <w:r>
              <w:rPr>
                <w:b/>
                <w:color w:val="FFFFFF"/>
                <w:sz w:val="22"/>
              </w:rPr>
              <w:t>Responsibility</w:t>
            </w:r>
          </w:p>
        </w:tc>
      </w:tr>
      <w:tr>
        <w:tc>
          <w:tcPr>
            <w:tcW w:type="dxa" w:w="3173"/>
          </w:tcPr>
          <w:p>
            <w:r>
              <w:rPr>
                <w:sz w:val="21"/>
              </w:rPr>
              <w:t>Sponsor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Sarah Wanjiru (VP Product)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Charter signoff, scope changes</w:t>
            </w:r>
          </w:p>
        </w:tc>
      </w:tr>
      <w:tr>
        <w:tc>
          <w:tcPr>
            <w:tcW w:type="dxa" w:w="3173"/>
          </w:tcPr>
          <w:p>
            <w:r>
              <w:rPr>
                <w:sz w:val="21"/>
              </w:rPr>
              <w:t>Project Lead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Alex Morgan (Sr. Designer)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Day-to-day execution, design</w:t>
            </w:r>
          </w:p>
        </w:tc>
      </w:tr>
      <w:tr>
        <w:tc>
          <w:tcPr>
            <w:tcW w:type="dxa" w:w="3173"/>
          </w:tcPr>
          <w:p>
            <w:r>
              <w:rPr>
                <w:sz w:val="21"/>
              </w:rPr>
              <w:t>Engineering Lead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Daniel Otieno (CTO)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Sprint planning, technical risk</w:t>
            </w:r>
          </w:p>
        </w:tc>
      </w:tr>
      <w:tr>
        <w:tc>
          <w:tcPr>
            <w:tcW w:type="dxa" w:w="3173"/>
          </w:tcPr>
          <w:p>
            <w:r>
              <w:rPr>
                <w:sz w:val="21"/>
              </w:rPr>
              <w:t>Marketing Lead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Jane Kamau (CMO)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Launch comms, positioning</w:t>
            </w:r>
          </w:p>
        </w:tc>
      </w:tr>
    </w:tbl>
    <w:p>
      <w:r>
        <w:rPr>
          <w:b/>
          <w:color w:val="B45309"/>
          <w:sz w:val="26"/>
        </w:rPr>
        <w:t>5. Timeline</w:t>
      </w:r>
    </w:p>
    <w:p>
      <w:r>
        <w:rPr>
          <w:sz w:val="22"/>
        </w:rPr>
        <w:t>13 weeks: Discovery (W1-2), IA + wireframes (W3-5), visual design (W6-8), prototype + usability testing (W9-10), engineering (W11-13), launch W14.</w:t>
      </w:r>
    </w:p>
    <w:p>
      <w:r>
        <w:rPr>
          <w:b/>
          <w:color w:val="B45309"/>
          <w:sz w:val="26"/>
        </w:rPr>
        <w:t>6. Budget</w:t>
      </w:r>
    </w:p>
    <w:p>
      <w:r>
        <w:rPr>
          <w:sz w:val="22"/>
        </w:rPr>
        <w:t>Total: KES 4.8M — design tools (KES 600k), user research (KES 800k), engineering contractor (KES 2.4M), marketing launch (KES 1.0M).</w:t>
      </w:r>
    </w:p>
    <w:p>
      <w:r>
        <w:rPr>
          <w:b/>
          <w:color w:val="B45309"/>
          <w:sz w:val="26"/>
        </w:rPr>
        <w:t>7. Risks</w:t>
      </w:r>
    </w:p>
    <w:p>
      <w:pPr>
        <w:pStyle w:val="ListBullet"/>
      </w:pPr>
      <w:r>
        <w:rPr>
          <w:sz w:val="22"/>
        </w:rPr>
        <w:t>Engineering capacity — mitigation: contractor engaged from W11.</w:t>
      </w:r>
    </w:p>
    <w:p>
      <w:pPr>
        <w:pStyle w:val="ListBullet"/>
      </w:pPr>
      <w:r>
        <w:rPr>
          <w:sz w:val="22"/>
        </w:rPr>
        <w:t>Design review backlog — mitigation: weekly review cadence with VP Product.</w:t>
      </w:r>
    </w:p>
    <w:p>
      <w:pPr>
        <w:pStyle w:val="ListBullet"/>
      </w:pPr>
      <w:r>
        <w:rPr>
          <w:sz w:val="22"/>
        </w:rPr>
        <w:t>Apple/Google app store review delays — mitigation: submit by W12.</w:t>
      </w:r>
    </w:p>
    <w:p/>
    <w:p>
      <w:r>
        <w:rPr>
          <w:sz w:val="22"/>
        </w:rPr>
        <w:t>Approved: ____________________________  Date: ____________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