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7706"/>
          <w:sz w:val="48"/>
        </w:rPr>
        <w:t>PROJECT PROPOSAL</w:t>
      </w:r>
    </w:p>
    <w:p>
      <w:pPr>
        <w:jc w:val="center"/>
      </w:pPr>
      <w:r>
        <w:rPr>
          <w:i/>
          <w:color w:val="B45309"/>
          <w:sz w:val="26"/>
        </w:rPr>
        <w:t>Solar Microgrid Deployment — Off-Grid Schools Program</w:t>
      </w:r>
    </w:p>
    <w:p>
      <w:pPr>
        <w:pBdr>
          <w:bottom w:val="single" w:sz="10" w:space="1" w:color="D97706"/>
        </w:pBdr>
      </w:pPr>
    </w:p>
    <w:p>
      <w:r>
        <w:rPr>
          <w:b/>
          <w:color w:val="B45309"/>
          <w:sz w:val="26"/>
        </w:rPr>
        <w:t>1. Background</w:t>
      </w:r>
    </w:p>
    <w:p>
      <w:r>
        <w:rPr>
          <w:sz w:val="22"/>
        </w:rPr>
        <w:t>Approximately 1,200 primary schools across rural Kenya remain off the national grid, limiting access to digital learning, evening study, and basic amenities like lighting and refrigeration for school meals. This proposal outlines a phased deployment of standalone solar microgrids across 60 schools over 18 months, prioritizing schools with proven community engagement and existing ICT facilities lacking reliable power.</w:t>
      </w:r>
    </w:p>
    <w:p>
      <w:r>
        <w:rPr>
          <w:b/>
          <w:color w:val="B45309"/>
          <w:sz w:val="26"/>
        </w:rPr>
        <w:t>2. Objectives</w:t>
      </w:r>
    </w:p>
    <w:p>
      <w:pPr>
        <w:pStyle w:val="ListBullet"/>
      </w:pPr>
      <w:r>
        <w:rPr>
          <w:sz w:val="22"/>
        </w:rPr>
        <w:t>Install 5kW solar microgrid systems in 60 off-grid primary schools.</w:t>
      </w:r>
    </w:p>
    <w:p>
      <w:pPr>
        <w:pStyle w:val="ListBullet"/>
      </w:pPr>
      <w:r>
        <w:rPr>
          <w:sz w:val="22"/>
        </w:rPr>
        <w:t>Provide reliable daytime power for ICT classes and lighting for evening study.</w:t>
      </w:r>
    </w:p>
    <w:p>
      <w:pPr>
        <w:pStyle w:val="ListBullet"/>
      </w:pPr>
      <w:r>
        <w:rPr>
          <w:sz w:val="22"/>
        </w:rPr>
        <w:t>Train 60 school staff in basic system maintenance and safety.</w:t>
      </w:r>
    </w:p>
    <w:p>
      <w:pPr>
        <w:pStyle w:val="ListBullet"/>
      </w:pPr>
      <w:r>
        <w:rPr>
          <w:sz w:val="22"/>
        </w:rPr>
        <w:t>Establish a community-managed maintenance fund in each participating school.</w:t>
      </w:r>
    </w:p>
    <w:p>
      <w:r>
        <w:rPr>
          <w:b/>
          <w:color w:val="B45309"/>
          <w:sz w:val="26"/>
        </w:rPr>
        <w:t>3. Methodology</w:t>
      </w:r>
    </w:p>
    <w:p>
      <w:r>
        <w:rPr>
          <w:sz w:val="22"/>
        </w:rPr>
        <w:t>Site selection will be conducted in collaboration with the Ministry of Education and county governments, using a scoring matrix that weights enrollment numbers, distance from the nearest grid connection, and demonstrated community contributions to school infrastructure. Each site will receive a 5kW system sized to power 8 classrooms, a staff room, and a computer lab, with battery storage sized for one full day of autonomy. Local technicians will be trained during installation to ensure ongoing maintenance capacity.</w:t>
      </w:r>
    </w:p>
    <w:p>
      <w:r>
        <w:rPr>
          <w:b/>
          <w:color w:val="B45309"/>
          <w:sz w:val="26"/>
        </w:rPr>
        <w:t>4. Budget Summary (KES)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D97706"/>
          </w:tcPr>
          <w:p>
            <w:r>
              <w:rPr>
                <w:b/>
                <w:color w:val="FFFFFF"/>
                <w:sz w:val="22"/>
              </w:rPr>
              <w:t>Phase</w:t>
            </w:r>
          </w:p>
        </w:tc>
        <w:tc>
          <w:tcPr>
            <w:tcW w:type="dxa" w:w="3173"/>
            <w:shd w:val="clear" w:color="auto" w:fill="D97706"/>
          </w:tcPr>
          <w:p>
            <w:r>
              <w:rPr>
                <w:b/>
                <w:color w:val="FFFFFF"/>
                <w:sz w:val="22"/>
              </w:rPr>
              <w:t>Activities</w:t>
            </w:r>
          </w:p>
        </w:tc>
        <w:tc>
          <w:tcPr>
            <w:tcW w:type="dxa" w:w="3173"/>
            <w:shd w:val="clear" w:color="auto" w:fill="D97706"/>
          </w:tcPr>
          <w:p>
            <w:r>
              <w:rPr>
                <w:b/>
                <w:color w:val="FFFFFF"/>
                <w:sz w:val="22"/>
              </w:rPr>
              <w:t>Budget</w:t>
            </w:r>
          </w:p>
        </w:tc>
      </w:tr>
      <w:tr>
        <w:tc>
          <w:tcPr>
            <w:tcW w:type="dxa" w:w="3173"/>
          </w:tcPr>
          <w:p>
            <w:r>
              <w:rPr>
                <w:sz w:val="21"/>
              </w:rPr>
              <w:t>1</w:t>
            </w:r>
          </w:p>
        </w:tc>
        <w:tc>
          <w:tcPr>
            <w:tcW w:type="dxa" w:w="3173"/>
          </w:tcPr>
          <w:p>
            <w:r>
              <w:rPr>
                <w:sz w:val="21"/>
              </w:rPr>
              <w:t>Site assessment, community engagement, design (12 schools)</w:t>
            </w:r>
          </w:p>
        </w:tc>
        <w:tc>
          <w:tcPr>
            <w:tcW w:type="dxa" w:w="3173"/>
          </w:tcPr>
          <w:p>
            <w:r>
              <w:rPr>
                <w:sz w:val="21"/>
              </w:rPr>
              <w:t>3,200,000</w:t>
            </w:r>
          </w:p>
        </w:tc>
      </w:tr>
      <w:tr>
        <w:tc>
          <w:tcPr>
            <w:tcW w:type="dxa" w:w="3173"/>
          </w:tcPr>
          <w:p>
            <w:r>
              <w:rPr>
                <w:sz w:val="21"/>
              </w:rPr>
              <w:t>2</w:t>
            </w:r>
          </w:p>
        </w:tc>
        <w:tc>
          <w:tcPr>
            <w:tcW w:type="dxa" w:w="3173"/>
          </w:tcPr>
          <w:p>
            <w:r>
              <w:rPr>
                <w:sz w:val="21"/>
              </w:rPr>
              <w:t>Procurement + installation (12 schools)</w:t>
            </w:r>
          </w:p>
        </w:tc>
        <w:tc>
          <w:tcPr>
            <w:tcW w:type="dxa" w:w="3173"/>
          </w:tcPr>
          <w:p>
            <w:r>
              <w:rPr>
                <w:sz w:val="21"/>
              </w:rPr>
              <w:t>18,000,000</w:t>
            </w:r>
          </w:p>
        </w:tc>
      </w:tr>
      <w:tr>
        <w:tc>
          <w:tcPr>
            <w:tcW w:type="dxa" w:w="3173"/>
          </w:tcPr>
          <w:p>
            <w:r>
              <w:rPr>
                <w:sz w:val="21"/>
              </w:rPr>
              <w:t>3</w:t>
            </w:r>
          </w:p>
        </w:tc>
        <w:tc>
          <w:tcPr>
            <w:tcW w:type="dxa" w:w="3173"/>
          </w:tcPr>
          <w:p>
            <w:r>
              <w:rPr>
                <w:sz w:val="21"/>
              </w:rPr>
              <w:t>Training, monitoring, evaluation</w:t>
            </w:r>
          </w:p>
        </w:tc>
        <w:tc>
          <w:tcPr>
            <w:tcW w:type="dxa" w:w="3173"/>
          </w:tcPr>
          <w:p>
            <w:r>
              <w:rPr>
                <w:sz w:val="21"/>
              </w:rPr>
              <w:t>1,800,000</w:t>
            </w:r>
          </w:p>
        </w:tc>
      </w:tr>
      <w:tr>
        <w:tc>
          <w:tcPr>
            <w:tcW w:type="dxa" w:w="3173"/>
          </w:tcPr>
          <w:p>
            <w:r>
              <w:rPr>
                <w:sz w:val="21"/>
              </w:rPr>
              <w:t>4</w:t>
            </w:r>
          </w:p>
        </w:tc>
        <w:tc>
          <w:tcPr>
            <w:tcW w:type="dxa" w:w="3173"/>
          </w:tcPr>
          <w:p>
            <w:r>
              <w:rPr>
                <w:sz w:val="21"/>
              </w:rPr>
              <w:t>Replication to remaining 48 schools (Y2)</w:t>
            </w:r>
          </w:p>
        </w:tc>
        <w:tc>
          <w:tcPr>
            <w:tcW w:type="dxa" w:w="3173"/>
          </w:tcPr>
          <w:p>
            <w:r>
              <w:rPr>
                <w:sz w:val="21"/>
              </w:rPr>
              <w:t>82,000,000</w:t>
            </w:r>
          </w:p>
        </w:tc>
      </w:tr>
      <w:tr>
        <w:tc>
          <w:tcPr>
            <w:tcW w:type="dxa" w:w="3173"/>
          </w:tcPr>
          <w:p>
            <w:r>
              <w:rPr>
                <w:sz w:val="21"/>
              </w:rPr>
            </w:r>
          </w:p>
        </w:tc>
        <w:tc>
          <w:tcPr>
            <w:tcW w:type="dxa" w:w="3173"/>
          </w:tcPr>
          <w:p>
            <w:r>
              <w:rPr>
                <w:sz w:val="21"/>
              </w:rPr>
              <w:t>Total (Y1)</w:t>
            </w:r>
          </w:p>
        </w:tc>
        <w:tc>
          <w:tcPr>
            <w:tcW w:type="dxa" w:w="3173"/>
          </w:tcPr>
          <w:p>
            <w:r>
              <w:rPr>
                <w:sz w:val="21"/>
              </w:rPr>
              <w:t>23,000,000</w:t>
            </w:r>
          </w:p>
        </w:tc>
      </w:tr>
    </w:tbl>
    <w:p>
      <w:r>
        <w:rPr>
          <w:b/>
          <w:color w:val="B45309"/>
          <w:sz w:val="26"/>
        </w:rPr>
        <w:t>5. Timeline</w:t>
      </w:r>
    </w:p>
    <w:tbl>
      <w:tblPr>
        <w:tblStyle w:val="LightList-Accent1"/>
        <w:tblW w:type="auto" w:w="0"/>
        <w:tblLook w:firstColumn="1" w:firstRow="1" w:lastColumn="0" w:lastRow="0" w:noHBand="0" w:noVBand="1" w:val="04A0"/>
      </w:tblPr>
      <w:tblGrid>
        <w:gridCol w:w="3173"/>
        <w:gridCol w:w="3173"/>
        <w:gridCol w:w="3173"/>
      </w:tblGrid>
      <w:tr>
        <w:tc>
          <w:tcPr>
            <w:tcW w:type="dxa" w:w="3173"/>
            <w:shd w:val="clear" w:color="auto" w:fill="D97706"/>
          </w:tcPr>
          <w:p>
            <w:r>
              <w:rPr>
                <w:b/>
                <w:color w:val="FFFFFF"/>
                <w:sz w:val="22"/>
              </w:rPr>
              <w:t>Milestone</w:t>
            </w:r>
          </w:p>
        </w:tc>
        <w:tc>
          <w:tcPr>
            <w:tcW w:type="dxa" w:w="3173"/>
            <w:shd w:val="clear" w:color="auto" w:fill="D97706"/>
          </w:tcPr>
          <w:p>
            <w:r>
              <w:rPr>
                <w:b/>
                <w:color w:val="FFFFFF"/>
                <w:sz w:val="22"/>
              </w:rPr>
              <w:t>Target</w:t>
            </w:r>
          </w:p>
        </w:tc>
        <w:tc>
          <w:tcPr>
            <w:tcW w:type="dxa" w:w="3173"/>
            <w:shd w:val="clear" w:color="auto" w:fill="D97706"/>
          </w:tcPr>
          <w:p>
            <w:r>
              <w:rPr>
                <w:b/>
                <w:color w:val="FFFFFF"/>
                <w:sz w:val="22"/>
              </w:rPr>
              <w:t>Status</w:t>
            </w:r>
          </w:p>
        </w:tc>
      </w:tr>
      <w:tr>
        <w:tc>
          <w:tcPr>
            <w:tcW w:type="dxa" w:w="3173"/>
          </w:tcPr>
          <w:p>
            <w:r>
              <w:rPr>
                <w:sz w:val="21"/>
              </w:rPr>
              <w:t>Ministry approval</w:t>
            </w:r>
          </w:p>
        </w:tc>
        <w:tc>
          <w:tcPr>
            <w:tcW w:type="dxa" w:w="3173"/>
          </w:tcPr>
          <w:p>
            <w:r>
              <w:rPr>
                <w:sz w:val="21"/>
              </w:rPr>
              <w:t>M1</w:t>
            </w:r>
          </w:p>
        </w:tc>
        <w:tc>
          <w:tcPr>
            <w:tcW w:type="dxa" w:w="3173"/>
          </w:tcPr>
          <w:p>
            <w:r>
              <w:rPr>
                <w:sz w:val="21"/>
              </w:rPr>
              <w:t>Submitted</w:t>
            </w:r>
          </w:p>
        </w:tc>
      </w:tr>
      <w:tr>
        <w:tc>
          <w:tcPr>
            <w:tcW w:type="dxa" w:w="3173"/>
          </w:tcPr>
          <w:p>
            <w:r>
              <w:rPr>
                <w:sz w:val="21"/>
              </w:rPr>
              <w:t>Phase 1 site selection</w:t>
            </w:r>
          </w:p>
        </w:tc>
        <w:tc>
          <w:tcPr>
            <w:tcW w:type="dxa" w:w="3173"/>
          </w:tcPr>
          <w:p>
            <w:r>
              <w:rPr>
                <w:sz w:val="21"/>
              </w:rPr>
              <w:t>M3</w:t>
            </w:r>
          </w:p>
        </w:tc>
        <w:tc>
          <w:tcPr>
            <w:tcW w:type="dxa" w:w="3173"/>
          </w:tcPr>
          <w:p>
            <w:r>
              <w:rPr>
                <w:sz w:val="21"/>
              </w:rPr>
              <w:t>Pending</w:t>
            </w:r>
          </w:p>
        </w:tc>
      </w:tr>
      <w:tr>
        <w:tc>
          <w:tcPr>
            <w:tcW w:type="dxa" w:w="3173"/>
          </w:tcPr>
          <w:p>
            <w:r>
              <w:rPr>
                <w:sz w:val="21"/>
              </w:rPr>
              <w:t>Phase 2 installation kickoff</w:t>
            </w:r>
          </w:p>
        </w:tc>
        <w:tc>
          <w:tcPr>
            <w:tcW w:type="dxa" w:w="3173"/>
          </w:tcPr>
          <w:p>
            <w:r>
              <w:rPr>
                <w:sz w:val="21"/>
              </w:rPr>
              <w:t>M5</w:t>
            </w:r>
          </w:p>
        </w:tc>
        <w:tc>
          <w:tcPr>
            <w:tcW w:type="dxa" w:w="3173"/>
          </w:tcPr>
          <w:p>
            <w:r>
              <w:rPr>
                <w:sz w:val="21"/>
              </w:rPr>
              <w:t>Planned</w:t>
            </w:r>
          </w:p>
        </w:tc>
      </w:tr>
      <w:tr>
        <w:tc>
          <w:tcPr>
            <w:tcW w:type="dxa" w:w="3173"/>
          </w:tcPr>
          <w:p>
            <w:r>
              <w:rPr>
                <w:sz w:val="21"/>
              </w:rPr>
              <w:t>First 12 schools online</w:t>
            </w:r>
          </w:p>
        </w:tc>
        <w:tc>
          <w:tcPr>
            <w:tcW w:type="dxa" w:w="3173"/>
          </w:tcPr>
          <w:p>
            <w:r>
              <w:rPr>
                <w:sz w:val="21"/>
              </w:rPr>
              <w:t>M9</w:t>
            </w:r>
          </w:p>
        </w:tc>
        <w:tc>
          <w:tcPr>
            <w:tcW w:type="dxa" w:w="3173"/>
          </w:tcPr>
          <w:p>
            <w:r>
              <w:rPr>
                <w:sz w:val="21"/>
              </w:rPr>
              <w:t>Planned</w:t>
            </w:r>
          </w:p>
        </w:tc>
      </w:tr>
      <w:tr>
        <w:tc>
          <w:tcPr>
            <w:tcW w:type="dxa" w:w="3173"/>
          </w:tcPr>
          <w:p>
            <w:r>
              <w:rPr>
                <w:sz w:val="21"/>
              </w:rPr>
              <w:t>Phase 3 training complete</w:t>
            </w:r>
          </w:p>
        </w:tc>
        <w:tc>
          <w:tcPr>
            <w:tcW w:type="dxa" w:w="3173"/>
          </w:tcPr>
          <w:p>
            <w:r>
              <w:rPr>
                <w:sz w:val="21"/>
              </w:rPr>
              <w:t>M12</w:t>
            </w:r>
          </w:p>
        </w:tc>
        <w:tc>
          <w:tcPr>
            <w:tcW w:type="dxa" w:w="3173"/>
          </w:tcPr>
          <w:p>
            <w:r>
              <w:rPr>
                <w:sz w:val="21"/>
              </w:rPr>
              <w:t>Planned</w:t>
            </w:r>
          </w:p>
        </w:tc>
      </w:tr>
      <w:tr>
        <w:tc>
          <w:tcPr>
            <w:tcW w:type="dxa" w:w="3173"/>
          </w:tcPr>
          <w:p>
            <w:r>
              <w:rPr>
                <w:sz w:val="21"/>
              </w:rPr>
              <w:t>Year 2 replication</w:t>
            </w:r>
          </w:p>
        </w:tc>
        <w:tc>
          <w:tcPr>
            <w:tcW w:type="dxa" w:w="3173"/>
          </w:tcPr>
          <w:p>
            <w:r>
              <w:rPr>
                <w:sz w:val="21"/>
              </w:rPr>
              <w:t>M13–18</w:t>
            </w:r>
          </w:p>
        </w:tc>
        <w:tc>
          <w:tcPr>
            <w:tcW w:type="dxa" w:w="3173"/>
          </w:tcPr>
          <w:p>
            <w:r>
              <w:rPr>
                <w:sz w:val="21"/>
              </w:rPr>
              <w:t>Planned</w:t>
            </w:r>
          </w:p>
        </w:tc>
      </w:tr>
    </w:tbl>
    <w:p>
      <w:r>
        <w:rPr>
          <w:b/>
          <w:color w:val="B45309"/>
          <w:sz w:val="26"/>
        </w:rPr>
        <w:t>6. Risk Management</w:t>
      </w:r>
    </w:p>
    <w:p>
      <w:pPr>
        <w:pStyle w:val="ListBullet"/>
      </w:pPr>
      <w:r>
        <w:rPr>
          <w:sz w:val="22"/>
        </w:rPr>
        <w:t>Tariff/duty changes on solar imports — mitigate via bulk procurement ahead of phase 2.</w:t>
      </w:r>
    </w:p>
    <w:p>
      <w:pPr>
        <w:pStyle w:val="ListBullet"/>
      </w:pPr>
      <w:r>
        <w:rPr>
          <w:sz w:val="22"/>
        </w:rPr>
        <w:t>Community disputes over maintenance responsibility — mitigate via signed MoUs before installation.</w:t>
      </w:r>
    </w:p>
    <w:p>
      <w:pPr>
        <w:pStyle w:val="ListBullet"/>
      </w:pPr>
      <w:r>
        <w:rPr>
          <w:sz w:val="22"/>
        </w:rPr>
        <w:t>Vandalism/theft — mitigate via fenced battery enclosures and community watch programs.</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t xml:space="preserve">Page </w:t>
      <w:fldChar w:fldCharType="begin"/>
      <w:instrText>PAGE</w:instrText>
      <w:fldChar w:fldCharType="end"/>
    </w:r>
    <w:r>
      <w:rPr>
        <w:color w:val="4B5563"/>
        <w:sz w:val="18"/>
      </w:rPr>
      <w:t xml:space="preserve"> of </w:t>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