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56"/>
        </w:rPr>
        <w:t>PURCHASE ORDER</w:t>
      </w:r>
    </w:p>
    <w:p>
      <w:pPr>
        <w:jc w:val="center"/>
      </w:pPr>
      <w:r>
        <w:rPr>
          <w:color w:val="4B5563"/>
          <w:sz w:val="20"/>
        </w:rPr>
        <w:t>PO #PO-2025-0234  ·  October 6, 2025  ·  Delivery by October 20, 2025</w:t>
      </w:r>
    </w:p>
    <w:p>
      <w:pPr>
        <w:pBdr>
          <w:bottom w:val="single" w:sz="10" w:space="1" w:color="1F2937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EF3C7"/>
          </w:tcPr>
          <w:p>
            <w:r>
              <w:rPr>
                <w:b/>
                <w:color w:val="B45309"/>
                <w:sz w:val="20"/>
              </w:rPr>
              <w:t>VENDOR</w:t>
            </w:r>
          </w:p>
        </w:tc>
        <w:tc>
          <w:tcPr>
            <w:tcW w:type="dxa" w:w="4986"/>
            <w:shd w:val="clear" w:color="auto" w:fill="FEF3C7"/>
          </w:tcPr>
          <w:p>
            <w:r>
              <w:rPr>
                <w:b/>
                <w:color w:val="B45309"/>
                <w:sz w:val="20"/>
              </w:rPr>
              <w:t>SHIP TO</w:t>
            </w:r>
          </w:p>
        </w:tc>
      </w:tr>
      <w:tr>
        <w:tc>
          <w:tcPr>
            <w:tcW w:type="dxa" w:w="4986"/>
          </w:tcPr>
          <w:p>
            <w:r>
              <w:rPr>
                <w:sz w:val="22"/>
              </w:rPr>
              <w:t>Office Solutions Ltd</w:t>
              <w:br/>
              <w:t>Industrial Area</w:t>
              <w:br/>
              <w:t>Nairobi, Kenya</w:t>
              <w:br/>
              <w:t>Attn: Sales Dept</w:t>
            </w:r>
          </w:p>
        </w:tc>
        <w:tc>
          <w:tcPr>
            <w:tcW w:type="dxa" w:w="4986"/>
          </w:tcPr>
          <w:p>
            <w:r>
              <w:rPr>
                <w:sz w:val="22"/>
              </w:rPr>
              <w:t>Acme Holdings Ltd</w:t>
              <w:br/>
              <w:t>Westlands Office, 2nd Floor</w:t>
              <w:br/>
              <w:t>123 Westlands Avenue</w:t>
              <w:br/>
              <w:t>Nairobi, Kenya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Line</w:t>
            </w:r>
          </w:p>
        </w:tc>
        <w:tc>
          <w:tcPr>
            <w:tcW w:type="dxa" w:w="1662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Item</w:t>
            </w:r>
          </w:p>
        </w:tc>
        <w:tc>
          <w:tcPr>
            <w:tcW w:type="dxa" w:w="1662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662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Qty</w:t>
            </w:r>
          </w:p>
        </w:tc>
        <w:tc>
          <w:tcPr>
            <w:tcW w:type="dxa" w:w="1662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Unit (KES)</w:t>
            </w:r>
          </w:p>
        </w:tc>
        <w:tc>
          <w:tcPr>
            <w:tcW w:type="dxa" w:w="1662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Total (KES)</w:t>
            </w:r>
          </w:p>
        </w:tc>
      </w:tr>
      <w:tr>
        <w:tc>
          <w:tcPr>
            <w:tcW w:type="dxa" w:w="1662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Executive desk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160×80cm, oak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45,000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360,000</w:t>
            </w:r>
          </w:p>
        </w:tc>
      </w:tr>
      <w:tr>
        <w:tc>
          <w:tcPr>
            <w:tcW w:type="dxa" w:w="1662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Ergonomic chair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Mesh, lumbar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16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28,000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448,000</w:t>
            </w:r>
          </w:p>
        </w:tc>
      </w:tr>
      <w:tr>
        <w:tc>
          <w:tcPr>
            <w:tcW w:type="dxa" w:w="1662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Meeting table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3m, seats 8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85,000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170,000</w:t>
            </w:r>
          </w:p>
        </w:tc>
      </w:tr>
      <w:tr>
        <w:tc>
          <w:tcPr>
            <w:tcW w:type="dxa" w:w="1662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Storage cabinet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4-drawer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22,000</w:t>
            </w:r>
          </w:p>
        </w:tc>
        <w:tc>
          <w:tcPr>
            <w:tcW w:type="dxa" w:w="1662"/>
          </w:tcPr>
          <w:p>
            <w:r>
              <w:rPr>
                <w:sz w:val="21"/>
              </w:rPr>
              <w:t>132,000</w:t>
            </w:r>
          </w:p>
        </w:tc>
      </w:tr>
    </w:tbl>
    <w:p/>
    <w:p>
      <w:pPr>
        <w:jc w:val="right"/>
      </w:pPr>
      <w:r>
        <w:rPr>
          <w:sz w:val="22"/>
        </w:rPr>
        <w:t>Subtotal: KES 1,110,000</w:t>
      </w:r>
    </w:p>
    <w:p>
      <w:pPr>
        <w:jc w:val="right"/>
      </w:pPr>
      <w:r>
        <w:rPr>
          <w:sz w:val="22"/>
        </w:rPr>
        <w:t>VAT (16%): KES 177,600</w:t>
      </w:r>
    </w:p>
    <w:p>
      <w:pPr>
        <w:jc w:val="right"/>
      </w:pPr>
      <w:r>
        <w:rPr>
          <w:b/>
          <w:color w:val="B45309"/>
          <w:sz w:val="28"/>
        </w:rPr>
        <w:t>TOTAL: KES 1,287,600</w:t>
      </w:r>
    </w:p>
    <w:p>
      <w:r>
        <w:rPr>
          <w:b/>
          <w:color w:val="B45309"/>
          <w:sz w:val="26"/>
        </w:rPr>
        <w:t>Terms</w:t>
      </w:r>
    </w:p>
    <w:p>
      <w:r>
        <w:rPr>
          <w:sz w:val="20"/>
        </w:rPr>
        <w:t>Net 30 days from delivery. Please include PO # on all correspondence and shipping documents. Goods must match quoted specs; substitutions require prior written approval.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