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52"/>
        </w:rPr>
        <w:t>QUARTERLY REPORT</w:t>
      </w:r>
    </w:p>
    <w:p>
      <w:pPr>
        <w:jc w:val="center"/>
      </w:pPr>
      <w:r>
        <w:rPr>
          <w:i/>
          <w:color w:val="B45309"/>
          <w:sz w:val="26"/>
        </w:rPr>
        <w:t>Q3 2025 Operations &amp; Performance Review</w:t>
      </w:r>
    </w:p>
    <w:p>
      <w:pPr>
        <w:jc w:val="center"/>
      </w:pPr>
      <w:r>
        <w:rPr>
          <w:color w:val="4B5563"/>
          <w:sz w:val="20"/>
        </w:rPr>
        <w:t>Prepared by: Operations Team  ·  October 6, 2025  ·  Confidential</w:t>
      </w:r>
    </w:p>
    <w:p>
      <w:pPr>
        <w:pBdr>
          <w:bottom w:val="single" w:sz="10" w:space="1" w:color="D97706"/>
        </w:pBdr>
      </w:pPr>
    </w:p>
    <w:p>
      <w:r>
        <w:rPr>
          <w:b/>
          <w:color w:val="B45309"/>
          <w:sz w:val="26"/>
        </w:rPr>
        <w:t>1. Executive Summary</w:t>
      </w:r>
    </w:p>
    <w:p>
      <w:r>
        <w:rPr>
          <w:sz w:val="22"/>
        </w:rPr>
        <w:t>Q3 2025 closed with revenue of KES 142M against a target of KES 138M, a 2.9% beat. Customer acquisition grew 18% QoQ, but gross margin compressed from 31% to 28% due to increased input costs. Three of four strategic initiatives launched on schedule. Operational incidents were within target, with one P1 outage in week 9 caused by a third-party API provider.</w:t>
      </w:r>
    </w:p>
    <w:p>
      <w:r>
        <w:rPr>
          <w:b/>
          <w:color w:val="B45309"/>
          <w:sz w:val="26"/>
        </w:rPr>
        <w:t>2. Headline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2351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Q2 Actual</w:t>
            </w:r>
          </w:p>
        </w:tc>
        <w:tc>
          <w:tcPr>
            <w:tcW w:type="dxa" w:w="2351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Q3 Target</w:t>
            </w:r>
          </w:p>
        </w:tc>
        <w:tc>
          <w:tcPr>
            <w:tcW w:type="dxa" w:w="2351"/>
            <w:shd w:val="clear" w:color="auto" w:fill="D97706"/>
          </w:tcPr>
          <w:p>
            <w:r>
              <w:rPr>
                <w:b/>
                <w:color w:val="FFFFFF"/>
                <w:sz w:val="22"/>
              </w:rPr>
              <w:t>Q3 Actual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Revenue (KES)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120M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138M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142M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Gross margin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31%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28%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Active customers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11,400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13,200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13,450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Net new customers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1,820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1,800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2,050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Churn rate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4.1%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4.0%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3.8%</w:t>
            </w:r>
          </w:p>
        </w:tc>
      </w:tr>
      <w:tr>
        <w:tc>
          <w:tcPr>
            <w:tcW w:type="dxa" w:w="2351"/>
          </w:tcPr>
          <w:p>
            <w:r>
              <w:rPr>
                <w:sz w:val="21"/>
              </w:rPr>
              <w:t>NPS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42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45</w:t>
            </w:r>
          </w:p>
        </w:tc>
        <w:tc>
          <w:tcPr>
            <w:tcW w:type="dxa" w:w="2351"/>
          </w:tcPr>
          <w:p>
            <w:r>
              <w:rPr>
                <w:sz w:val="21"/>
              </w:rPr>
              <w:t>47</w:t>
            </w:r>
          </w:p>
        </w:tc>
      </w:tr>
    </w:tbl>
    <w:p>
      <w:r>
        <w:rPr>
          <w:b/>
          <w:color w:val="B45309"/>
          <w:sz w:val="26"/>
        </w:rPr>
        <w:t>3. Strategic Initiatives</w:t>
      </w:r>
    </w:p>
    <w:p>
      <w:r>
        <w:rPr>
          <w:sz w:val="22"/>
        </w:rPr>
        <w:t>Three of four strategic initiatives launched on schedule:</w:t>
      </w:r>
    </w:p>
    <w:p>
      <w:pPr>
        <w:pStyle w:val="ListBullet"/>
      </w:pPr>
      <w:r>
        <w:rPr>
          <w:sz w:val="22"/>
        </w:rPr>
        <w:t>Customer onboarding redesign — launched week 4; first-week churn reduced from 6.1% to 4.4%.</w:t>
      </w:r>
    </w:p>
    <w:p>
      <w:pPr>
        <w:pStyle w:val="ListBullet"/>
      </w:pPr>
      <w:r>
        <w:rPr>
          <w:sz w:val="22"/>
        </w:rPr>
        <w:t>Self-serve billing portal — launched week 7; 22% of invoices now paid via portal.</w:t>
      </w:r>
    </w:p>
    <w:p>
      <w:pPr>
        <w:pStyle w:val="ListBullet"/>
      </w:pPr>
      <w:r>
        <w:rPr>
          <w:sz w:val="22"/>
        </w:rPr>
        <w:t>Partner API v2 — launched week 10; 14 of 18 partners migrated.</w:t>
      </w:r>
    </w:p>
    <w:p>
      <w:pPr>
        <w:pStyle w:val="ListBullet"/>
      </w:pPr>
      <w:r>
        <w:rPr>
          <w:sz w:val="22"/>
        </w:rPr>
        <w:t>Mobile app redesign — slipped to Q4 week 2; design reviews behind schedule.</w:t>
      </w:r>
    </w:p>
    <w:p>
      <w:r>
        <w:rPr>
          <w:b/>
          <w:color w:val="B45309"/>
          <w:sz w:val="26"/>
        </w:rPr>
        <w:t>4. Operational Highlights</w:t>
      </w:r>
    </w:p>
    <w:p>
      <w:r>
        <w:rPr>
          <w:sz w:val="22"/>
        </w:rPr>
        <w:t>The platform maintained 99.94% availability against a 99.9% SLO. One P1 incident in week 9 was caused by a third-party identity provider outage; remediation included deploying a fallback auth path. Mean time to resolution for P1/P2 incidents improved from 47 minutes to 31 minutes QoQ, reflecting the new incident command rotation.</w:t>
      </w:r>
    </w:p>
    <w:p>
      <w:r>
        <w:rPr>
          <w:b/>
          <w:color w:val="B45309"/>
          <w:sz w:val="26"/>
        </w:rPr>
        <w:t>5. Risks &amp; Open Issues</w:t>
      </w:r>
    </w:p>
    <w:p>
      <w:pPr>
        <w:pStyle w:val="ListBullet"/>
      </w:pPr>
      <w:r>
        <w:rPr>
          <w:sz w:val="22"/>
        </w:rPr>
        <w:t>Gross margin compression may continue into Q4 — finance is preparing a pricing review.</w:t>
      </w:r>
    </w:p>
    <w:p>
      <w:pPr>
        <w:pStyle w:val="ListBullet"/>
      </w:pPr>
      <w:r>
        <w:rPr>
          <w:sz w:val="22"/>
        </w:rPr>
        <w:t>Two key engineering hires remain open; recruitment pipeline is healthy but slow.</w:t>
      </w:r>
    </w:p>
    <w:p>
      <w:pPr>
        <w:pStyle w:val="ListBullet"/>
      </w:pPr>
      <w:r>
        <w:rPr>
          <w:sz w:val="22"/>
        </w:rPr>
        <w:t>Mobile app launch date is at risk; design review backlog is the bottleneck.</w:t>
      </w:r>
    </w:p>
    <w:p>
      <w:r>
        <w:rPr>
          <w:b/>
          <w:color w:val="B45309"/>
          <w:sz w:val="26"/>
        </w:rPr>
        <w:t>6. Q4 Priorities</w:t>
      </w:r>
    </w:p>
    <w:p>
      <w:pPr>
        <w:pStyle w:val="ListNumber"/>
      </w:pPr>
      <w:r>
        <w:rPr>
          <w:sz w:val="22"/>
        </w:rPr>
        <w:t>Ship the mobile app redesign by Q4 week 6.</w:t>
      </w:r>
    </w:p>
    <w:p>
      <w:pPr>
        <w:pStyle w:val="ListNumber"/>
      </w:pPr>
      <w:r>
        <w:rPr>
          <w:sz w:val="22"/>
        </w:rPr>
        <w:t>Close the 2 open engineering hires and onboard by Q4 week 4.</w:t>
      </w:r>
    </w:p>
    <w:p>
      <w:pPr>
        <w:pStyle w:val="ListNumber"/>
      </w:pPr>
      <w:r>
        <w:rPr>
          <w:sz w:val="22"/>
        </w:rPr>
        <w:t>Run a pricing experiment on the SME tier; report at Q4 board review.</w:t>
      </w:r>
    </w:p>
    <w:p>
      <w:pPr>
        <w:pStyle w:val="ListNumber"/>
      </w:pPr>
      <w:r>
        <w:rPr>
          <w:sz w:val="22"/>
        </w:rPr>
        <w:t>Reduce P1/P2 incidents by 25% via the new runbook automation initiative.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3"/>
        <w:sz w:val="18"/>
      </w:rPr>
      <w:t xml:space="preserve">Page </w:t>
      <w:fldChar w:fldCharType="begin"/>
      <w:instrText>PAGE</w:instrText>
      <w:fldChar w:fldCharType="end"/>
    </w:r>
    <w:r>
      <w:rPr>
        <w:color w:val="4B5563"/>
        <w:sz w:val="18"/>
      </w:rPr>
      <w:t xml:space="preserve"> of </w:t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