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5309"/>
          <w:sz w:val="56"/>
        </w:rPr>
        <w:t>QUOTATION</w:t>
      </w:r>
    </w:p>
    <w:p>
      <w:pPr>
        <w:jc w:val="center"/>
      </w:pPr>
      <w:r>
        <w:rPr>
          <w:color w:val="4B5563"/>
          <w:sz w:val="20"/>
        </w:rPr>
        <w:t>Quote #QT-2025-118    ·    Valid for 30 days from October 6, 2025</w:t>
      </w:r>
    </w:p>
    <w:p>
      <w:pPr>
        <w:pBdr>
          <w:bottom w:val="single" w:sz="10" w:space="1" w:color="D97706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sz w:val="21"/>
              </w:rPr>
              <w:t>PREPARED FOR</w:t>
              <w:br/>
              <w:t>Savanna Foods Ltd</w:t>
              <w:br/>
              <w:t>Attn: Daniel Otieno</w:t>
              <w:br/>
              <w:t>daniel@savannafoods.co.ke</w:t>
            </w:r>
          </w:p>
        </w:tc>
        <w:tc>
          <w:tcPr>
            <w:tcW w:type="dxa" w:w="4986"/>
          </w:tcPr>
          <w:p>
            <w:r>
              <w:rPr>
                <w:sz w:val="21"/>
              </w:rPr>
              <w:t>PREPARED BY</w:t>
              <w:br/>
              <w:t>Acme Holdings Ltd</w:t>
              <w:br/>
              <w:t>Sarah Wanjiru, Director</w:t>
              <w:br/>
              <w:t>sarah@acme.co.ke</w:t>
            </w:r>
          </w:p>
        </w:tc>
      </w:tr>
    </w:tbl>
    <w:p/>
    <w:p>
      <w:r>
        <w:rPr>
          <w:b/>
          <w:color w:val="B45309"/>
          <w:sz w:val="26"/>
        </w:rPr>
        <w:t>Scope of Work</w:t>
      </w:r>
    </w:p>
    <w:p>
      <w:r>
        <w:rPr>
          <w:sz w:val="22"/>
        </w:rPr>
        <w:t>Provision and installation of office workstations and ergonomic seating for the new Westlands office. Includes delivery, assembly, and a 12-month on-site warranty.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Item</w:t>
            </w:r>
          </w:p>
        </w:tc>
        <w:tc>
          <w:tcPr>
            <w:tcW w:type="dxa" w:w="1994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Spec</w:t>
            </w:r>
          </w:p>
        </w:tc>
        <w:tc>
          <w:tcPr>
            <w:tcW w:type="dxa" w:w="1994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Qty</w:t>
            </w:r>
          </w:p>
        </w:tc>
        <w:tc>
          <w:tcPr>
            <w:tcW w:type="dxa" w:w="1994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Unit (KES)</w:t>
            </w:r>
          </w:p>
        </w:tc>
        <w:tc>
          <w:tcPr>
            <w:tcW w:type="dxa" w:w="1994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Total (KES)</w:t>
            </w:r>
          </w:p>
        </w:tc>
      </w:tr>
      <w:tr>
        <w:tc>
          <w:tcPr>
            <w:tcW w:type="dxa" w:w="1994"/>
          </w:tcPr>
          <w:p>
            <w:r>
              <w:rPr>
                <w:sz w:val="21"/>
              </w:rPr>
              <w:t>Executive desk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160×80cm, oak veneer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8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45,000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360,000</w:t>
            </w:r>
          </w:p>
        </w:tc>
      </w:tr>
      <w:tr>
        <w:tc>
          <w:tcPr>
            <w:tcW w:type="dxa" w:w="1994"/>
          </w:tcPr>
          <w:p>
            <w:r>
              <w:rPr>
                <w:sz w:val="21"/>
              </w:rPr>
              <w:t>Ergonomic chair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Mesh back, lumbar support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16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28,000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448,000</w:t>
            </w:r>
          </w:p>
        </w:tc>
      </w:tr>
      <w:tr>
        <w:tc>
          <w:tcPr>
            <w:tcW w:type="dxa" w:w="1994"/>
          </w:tcPr>
          <w:p>
            <w:r>
              <w:rPr>
                <w:sz w:val="21"/>
              </w:rPr>
              <w:t>Meeting table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3m, seats 8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85,000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170,000</w:t>
            </w:r>
          </w:p>
        </w:tc>
      </w:tr>
      <w:tr>
        <w:tc>
          <w:tcPr>
            <w:tcW w:type="dxa" w:w="1994"/>
          </w:tcPr>
          <w:p>
            <w:r>
              <w:rPr>
                <w:sz w:val="21"/>
              </w:rPr>
              <w:t>Storage cabinet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4-drawer, lockable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22,000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132,000</w:t>
            </w:r>
          </w:p>
        </w:tc>
      </w:tr>
      <w:tr>
        <w:tc>
          <w:tcPr>
            <w:tcW w:type="dxa" w:w="1994"/>
          </w:tcPr>
          <w:p>
            <w:r>
              <w:rPr>
                <w:sz w:val="21"/>
              </w:rPr>
              <w:t>Cable management kit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Per desk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16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1,500</w:t>
            </w:r>
          </w:p>
        </w:tc>
        <w:tc>
          <w:tcPr>
            <w:tcW w:type="dxa" w:w="1994"/>
          </w:tcPr>
          <w:p>
            <w:r>
              <w:rPr>
                <w:sz w:val="21"/>
              </w:rPr>
              <w:t>24,000</w:t>
            </w:r>
          </w:p>
        </w:tc>
      </w:tr>
    </w:tbl>
    <w:p/>
    <w:p>
      <w:pPr>
        <w:jc w:val="right"/>
      </w:pPr>
      <w:r>
        <w:rPr>
          <w:sz w:val="22"/>
        </w:rPr>
        <w:t>Subtotal: KES 1,134,000</w:t>
      </w:r>
    </w:p>
    <w:p>
      <w:pPr>
        <w:jc w:val="right"/>
      </w:pPr>
      <w:r>
        <w:rPr>
          <w:sz w:val="22"/>
        </w:rPr>
        <w:t>Installation (10%): KES 113,400</w:t>
      </w:r>
    </w:p>
    <w:p>
      <w:pPr>
        <w:jc w:val="right"/>
      </w:pPr>
      <w:r>
        <w:rPr>
          <w:sz w:val="22"/>
        </w:rPr>
        <w:t>VAT (16%): KES 199,584</w:t>
      </w:r>
    </w:p>
    <w:p>
      <w:pPr>
        <w:jc w:val="right"/>
      </w:pPr>
      <w:r>
        <w:rPr>
          <w:b/>
          <w:color w:val="B45309"/>
          <w:sz w:val="28"/>
        </w:rPr>
        <w:t>TOTAL: KES 1,446,984</w:t>
      </w:r>
    </w:p>
    <w:p>
      <w:r>
        <w:rPr>
          <w:b/>
          <w:color w:val="B45309"/>
          <w:sz w:val="26"/>
        </w:rPr>
        <w:t>Terms &amp; Conditions</w:t>
      </w:r>
    </w:p>
    <w:p>
      <w:r>
        <w:rPr>
          <w:sz w:val="20"/>
        </w:rPr>
        <w:t>1. This quotation is valid for 30 days from the issue date.</w:t>
        <w:br/>
        <w:t>2. A 50% deposit is required to confirm the order; the balance is due on delivery.</w:t>
        <w:br/>
        <w:t>3. Delivery within 14 working days of order confirmation, subject to stock availability.</w:t>
        <w:br/>
        <w:t>4. The 12-month warranty covers manufacturing defects; accidental damage is excluded.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