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4"/>
        </w:rPr>
        <w:t>SERVICE AGREEMENT</w:t>
      </w:r>
    </w:p>
    <w:p>
      <w:pPr>
        <w:jc w:val="center"/>
      </w:pPr>
      <w:r>
        <w:rPr>
          <w:i/>
          <w:color w:val="B45309"/>
          <w:sz w:val="24"/>
        </w:rPr>
        <w:t>Marketing Automation Implementation</w:t>
      </w:r>
    </w:p>
    <w:p>
      <w:pPr>
        <w:pBdr>
          <w:bottom w:val="single" w:sz="10" w:space="1" w:color="1F2937"/>
        </w:pBdr>
      </w:pPr>
    </w:p>
    <w:p>
      <w:r>
        <w:rPr>
          <w:b/>
          <w:color w:val="B45309"/>
          <w:sz w:val="26"/>
        </w:rPr>
        <w:t>1. Parties</w:t>
      </w:r>
    </w:p>
    <w:p>
      <w:r>
        <w:rPr>
          <w:sz w:val="22"/>
        </w:rPr>
        <w:t>This Service Agreement (the "Agreement") is entered into on October 6, 2025, between Acme Holdings Ltd, a company registered in Kenya (the "Client"), and Savanna Foods Ltd, a company registered in Kenya (the "Provider").</w:t>
      </w:r>
    </w:p>
    <w:p>
      <w:r>
        <w:rPr>
          <w:b/>
          <w:color w:val="B45309"/>
          <w:sz w:val="26"/>
        </w:rPr>
        <w:t>2. Services</w:t>
      </w:r>
    </w:p>
    <w:p>
      <w:r>
        <w:rPr>
          <w:sz w:val="22"/>
        </w:rPr>
        <w:t>The Provider agrees to deliver the following services (the "Services"): (a) migration of the Client's existing CRM to the agreed automation platform; (b) design and build-out of 10 email workflows; (c) four training sessions for the Client's marketing team; and (d) management of two pilot campaigns during Q4 2025.</w:t>
      </w:r>
    </w:p>
    <w:p>
      <w:r>
        <w:rPr>
          <w:b/>
          <w:color w:val="B45309"/>
          <w:sz w:val="26"/>
        </w:rPr>
        <w:t>3. Timeline</w:t>
      </w:r>
    </w:p>
    <w:p>
      <w:r>
        <w:rPr>
          <w:sz w:val="22"/>
        </w:rPr>
        <w:t>Services will be delivered between October 13, 2025 and December 19, 2025, according to the milestone schedule in Schedule A.</w:t>
      </w:r>
    </w:p>
    <w:p>
      <w:r>
        <w:rPr>
          <w:b/>
          <w:color w:val="B45309"/>
          <w:sz w:val="26"/>
        </w:rPr>
        <w:t>4. Fees &amp; Payment</w:t>
      </w:r>
    </w:p>
    <w:p>
      <w:r>
        <w:rPr>
          <w:sz w:val="22"/>
        </w:rPr>
        <w:t>Total fees: KES 1,850,000 exclusive of VAT, payable as follows: 30% on signing, 30% on completion of the migration (Milestone 2), 30% on completion of training (Milestone 3), and 10% on completion of the pilot campaigns (Milestone 4). Invoices are payable within 14 days of receipt.</w:t>
      </w:r>
    </w:p>
    <w:p>
      <w:r>
        <w:rPr>
          <w:b/>
          <w:color w:val="B45309"/>
          <w:sz w:val="26"/>
        </w:rPr>
        <w:t>5. Acceptance</w:t>
      </w:r>
    </w:p>
    <w:p>
      <w:r>
        <w:rPr>
          <w:sz w:val="22"/>
        </w:rPr>
        <w:t>The Client will have 5 business days from delivery of each milestone to accept or reject the work in writing, with reasons for rejection. If no response is given, the milestone is deemed accepted.</w:t>
      </w:r>
    </w:p>
    <w:p>
      <w:r>
        <w:rPr>
          <w:b/>
          <w:color w:val="B45309"/>
          <w:sz w:val="26"/>
        </w:rPr>
        <w:t>6. Confidentiality</w:t>
      </w:r>
    </w:p>
    <w:p>
      <w:r>
        <w:rPr>
          <w:sz w:val="22"/>
        </w:rPr>
        <w:t>Each party will keep the other's confidential information confidential for three (3) years after the end of the Agreement, on the terms of the separate Non-Disclosure Agreement signed between the parties on October 1, 2025.</w:t>
      </w:r>
    </w:p>
    <w:p>
      <w:r>
        <w:rPr>
          <w:b/>
          <w:color w:val="B45309"/>
          <w:sz w:val="26"/>
        </w:rPr>
        <w:t>7. Intellectual Property</w:t>
      </w:r>
    </w:p>
    <w:p>
      <w:r>
        <w:rPr>
          <w:sz w:val="22"/>
        </w:rPr>
        <w:t>All deliverables created by the Provider for the Client under this Agreement vest in the Client on full payment of the corresponding invoice. The Provider retains ownership of its pre-existing tools, methodologies, and templates.</w:t>
      </w:r>
    </w:p>
    <w:p>
      <w:r>
        <w:rPr>
          <w:b/>
          <w:color w:val="B45309"/>
          <w:sz w:val="26"/>
        </w:rPr>
        <w:t>8. Termination</w:t>
      </w:r>
    </w:p>
    <w:p>
      <w:r>
        <w:rPr>
          <w:sz w:val="22"/>
        </w:rPr>
        <w:t>Either party may terminate this Agreement with 30 days' written notice. On termination, the Client pays for Services delivered up to the termination date.</w:t>
      </w:r>
    </w:p>
    <w:p>
      <w:r>
        <w:rPr>
          <w:b/>
          <w:color w:val="B45309"/>
          <w:sz w:val="26"/>
        </w:rPr>
        <w:t>9. Governing Law</w:t>
      </w:r>
    </w:p>
    <w:p>
      <w:r>
        <w:rPr>
          <w:sz w:val="22"/>
        </w:rPr>
        <w:t>This Agreement is governed by the laws of the Republic of Kenya.</w:t>
      </w:r>
    </w:p>
    <w:p/>
    <w:p>
      <w:r>
        <w:rPr>
          <w:sz w:val="22"/>
        </w:rPr>
        <w:t>Signed for the Client: __________________________  Date: ____________</w:t>
        <w:br/>
        <w:br/>
        <w:t>Signed for the Provider: __________________________  Date: ____________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8"/>
      </w:rPr>
      <w:t xml:space="preserve">Page </w:t>
      <w:fldChar w:fldCharType="begin"/>
      <w:instrText>PAGE</w:instrText>
      <w:fldChar w:fldCharType="end"/>
    </w:r>
    <w:r>
      <w:rPr>
        <w:color w:val="4B5563"/>
        <w:sz w:val="18"/>
      </w:rPr>
      <w:t xml:space="preserve"> of </w:t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