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937"/>
          <w:sz w:val="48"/>
        </w:rPr>
        <w:t>SWOT ANALYSIS</w:t>
      </w:r>
    </w:p>
    <w:p>
      <w:pPr>
        <w:jc w:val="center"/>
      </w:pPr>
      <w:r>
        <w:rPr>
          <w:i/>
          <w:color w:val="B45309"/>
          <w:sz w:val="26"/>
        </w:rPr>
        <w:t>Acme Foods — October 2025</w:t>
      </w:r>
    </w:p>
    <w:p>
      <w:pPr>
        <w:pBdr>
          <w:bottom w:val="single" w:sz="10" w:space="1" w:color="1F2937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59669"/>
          </w:tcPr>
          <w:p>
            <w:r>
              <w:rPr>
                <w:b/>
                <w:color w:val="FFFFFF"/>
                <w:sz w:val="26"/>
              </w:rPr>
              <w:t>STRENGTHS</w:t>
            </w:r>
          </w:p>
          <w:p>
            <w:r>
              <w:rPr>
                <w:sz w:val="21"/>
              </w:rPr>
              <w:t>• Real-time inventory across 14 partner supermarkets</w:t>
            </w:r>
          </w:p>
          <w:p>
            <w:r>
              <w:rPr>
                <w:sz w:val="21"/>
              </w:rPr>
              <w:t>• 90-minute delivery promise with live rider tracking</w:t>
            </w:r>
          </w:p>
          <w:p>
            <w:r>
              <w:rPr>
                <w:sz w:val="21"/>
              </w:rPr>
              <w:t>• Founder-led team with deep East African e-commerce experience</w:t>
            </w:r>
          </w:p>
          <w:p>
            <w:r>
              <w:rPr>
                <w:sz w:val="21"/>
              </w:rPr>
              <w:t>• Strong WhatsApp + apartment-complex GTM motion</w:t>
            </w:r>
          </w:p>
        </w:tc>
        <w:tc>
          <w:tcPr>
            <w:tcW w:type="dxa" w:w="4759"/>
            <w:shd w:val="clear" w:color="auto" w:fill="D97706"/>
          </w:tcPr>
          <w:p>
            <w:r>
              <w:rPr>
                <w:b/>
                <w:color w:val="FFFFFF"/>
                <w:sz w:val="26"/>
              </w:rPr>
              <w:t>WEAKNESSES</w:t>
            </w:r>
          </w:p>
          <w:p>
            <w:r>
              <w:rPr>
                <w:sz w:val="21"/>
              </w:rPr>
              <w:t>• Limited to two neighborhoods (Westlands, Kilimani)</w:t>
            </w:r>
          </w:p>
          <w:p>
            <w:r>
              <w:rPr>
                <w:sz w:val="21"/>
              </w:rPr>
              <w:t>• High CAC (KES 1,200) for grocery category</w:t>
            </w:r>
          </w:p>
          <w:p>
            <w:r>
              <w:rPr>
                <w:sz w:val="21"/>
              </w:rPr>
              <w:t>• No in-house rider fleet — dependent on gig partners</w:t>
            </w:r>
          </w:p>
          <w:p>
            <w:r>
              <w:rPr>
                <w:sz w:val="21"/>
              </w:rPr>
              <w:t>• Cold-chain logistics outsourced; quality variance</w:t>
            </w:r>
          </w:p>
        </w:tc>
      </w:tr>
      <w:tr>
        <w:tc>
          <w:tcPr>
            <w:tcW w:type="dxa" w:w="4759"/>
            <w:shd w:val="clear" w:color="auto" w:fill="2563EB"/>
          </w:tcPr>
          <w:p>
            <w:r>
              <w:rPr>
                <w:b/>
                <w:color w:val="FFFFFF"/>
                <w:sz w:val="26"/>
              </w:rPr>
              <w:t>OPPORTUNITIES</w:t>
            </w:r>
          </w:p>
          <w:p>
            <w:r>
              <w:rPr>
                <w:sz w:val="21"/>
              </w:rPr>
              <w:t>• Expand to Parklands, Lavington, Karen in Q4-Q1</w:t>
            </w:r>
          </w:p>
          <w:p>
            <w:r>
              <w:rPr>
                <w:sz w:val="21"/>
              </w:rPr>
              <w:t>• Premium subscription tier for unlimited delivery</w:t>
            </w:r>
          </w:p>
          <w:p>
            <w:r>
              <w:rPr>
                <w:sz w:val="21"/>
              </w:rPr>
              <w:t>• Private-label product line (Year 2)</w:t>
            </w:r>
          </w:p>
          <w:p>
            <w:r>
              <w:rPr>
                <w:sz w:val="21"/>
              </w:rPr>
              <w:t>• Partner with corporates for staff groceries</w:t>
            </w:r>
          </w:p>
        </w:tc>
        <w:tc>
          <w:tcPr>
            <w:tcW w:type="dxa" w:w="4759"/>
            <w:shd w:val="clear" w:color="auto" w:fill="DC2626"/>
          </w:tcPr>
          <w:p>
            <w:r>
              <w:rPr>
                <w:b/>
                <w:color w:val="FFFFFF"/>
                <w:sz w:val="26"/>
              </w:rPr>
              <w:t>THREATS</w:t>
            </w:r>
          </w:p>
          <w:p>
            <w:r>
              <w:rPr>
                <w:sz w:val="21"/>
              </w:rPr>
              <w:t>• Jumia Foods scaling aggressively in Nairobi</w:t>
            </w:r>
          </w:p>
          <w:p>
            <w:r>
              <w:rPr>
                <w:sz w:val="21"/>
              </w:rPr>
              <w:t>• Fuel cost volatility impacting rider economics</w:t>
            </w:r>
          </w:p>
          <w:p>
            <w:r>
              <w:rPr>
                <w:sz w:val="21"/>
              </w:rPr>
              <w:t>• Supermarket partners could launch direct apps</w:t>
            </w:r>
          </w:p>
          <w:p>
            <w:r>
              <w:rPr>
                <w:sz w:val="21"/>
              </w:rPr>
              <w:t>• Regulatory shifts on gig-worker classification</w:t>
            </w:r>
          </w:p>
        </w:tc>
      </w:tr>
    </w:tbl>
    <w:p/>
    <w:p>
      <w:r>
        <w:rPr>
          <w:b/>
          <w:color w:val="B45309"/>
          <w:sz w:val="26"/>
        </w:rPr>
        <w:t>Strategic Implications</w:t>
      </w:r>
    </w:p>
    <w:p>
      <w:r>
        <w:rPr>
          <w:sz w:val="22"/>
        </w:rPr>
        <w:t>Lean into the GTM motion (WhatsApp + complexes) to defend against Jumia's scale; use the premium subscription to lock in high-frequency customers before competitors; defer fleet ownership until unit economics are proven at 6,500 MAU.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