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Chapter 1</w:t>
      </w:r>
    </w:p>
    <w:p w:rsidR="00277BB5" w:rsidRDefault="00827CA0">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563880</wp:posOffset>
                </wp:positionV>
                <wp:extent cx="576072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4.4pt" to="475.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Nv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" o:allowincell="f" strokeweight="3pt"/>
            </w:pict>
          </mc:Fallback>
        </mc:AlternateContent>
      </w:r>
      <w:r w:rsidR="00277BB5">
        <w:rPr>
          <w:rFonts w:ascii="Times" w:hAnsi="Times"/>
          <w:b/>
          <w:color w:val="000000"/>
          <w:sz w:val="48"/>
        </w:rPr>
        <w:t>Data and Statistics</w:t>
      </w: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54394A" w:rsidRDefault="0028372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1.</w:t>
      </w:r>
      <w:r>
        <w:rPr>
          <w:rFonts w:ascii="Times" w:hAnsi="Times"/>
          <w:color w:val="000000"/>
        </w:rPr>
        <w:tab/>
      </w:r>
      <w:r w:rsidR="0054394A">
        <w:rPr>
          <w:rFonts w:ascii="Times" w:hAnsi="Times"/>
          <w:color w:val="000000"/>
        </w:rPr>
        <w:t>Obtain an appreciation for the breadth of statistical applications in business and economics.</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2.</w:t>
      </w:r>
      <w:r>
        <w:rPr>
          <w:rFonts w:ascii="Times" w:hAnsi="Times"/>
          <w:color w:val="000000"/>
        </w:rPr>
        <w:tab/>
        <w:t>Understand the meaning of the terms elements, variables, and observations as they are used in statistics.</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3.</w:t>
      </w:r>
      <w:r>
        <w:rPr>
          <w:rFonts w:ascii="Times" w:hAnsi="Times"/>
          <w:color w:val="000000"/>
        </w:rPr>
        <w:tab/>
        <w:t>Obtain an understanding of the differ</w:t>
      </w:r>
      <w:bookmarkStart w:id="0" w:name="_GoBack"/>
      <w:bookmarkEnd w:id="0"/>
      <w:r>
        <w:rPr>
          <w:rFonts w:ascii="Times" w:hAnsi="Times"/>
          <w:color w:val="000000"/>
        </w:rPr>
        <w:t xml:space="preserve">ence between categorical, quantitative, </w:t>
      </w:r>
      <w:proofErr w:type="spellStart"/>
      <w:r>
        <w:rPr>
          <w:rFonts w:ascii="Times" w:hAnsi="Times"/>
          <w:color w:val="000000"/>
        </w:rPr>
        <w:t>crossectional</w:t>
      </w:r>
      <w:proofErr w:type="spellEnd"/>
      <w:r>
        <w:rPr>
          <w:rFonts w:ascii="Times" w:hAnsi="Times"/>
          <w:color w:val="000000"/>
        </w:rPr>
        <w:t xml:space="preserve"> and time series data.</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4.</w:t>
      </w:r>
      <w:r>
        <w:rPr>
          <w:rFonts w:ascii="Times" w:hAnsi="Times"/>
          <w:color w:val="000000"/>
        </w:rPr>
        <w:tab/>
        <w:t>Learn about the sources of data for statistical analysis both internal and external to the firm.</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5.</w:t>
      </w:r>
      <w:r>
        <w:rPr>
          <w:rFonts w:ascii="Times" w:hAnsi="Times"/>
          <w:color w:val="000000"/>
        </w:rPr>
        <w:tab/>
        <w:t>Be aware of how errors can arise in data.</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6.</w:t>
      </w:r>
      <w:r>
        <w:rPr>
          <w:rFonts w:ascii="Times" w:hAnsi="Times"/>
          <w:color w:val="000000"/>
        </w:rPr>
        <w:tab/>
        <w:t>Know the meaning of descriptive statistics and statistical inference.</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7.</w:t>
      </w:r>
      <w:r>
        <w:rPr>
          <w:rFonts w:ascii="Times" w:hAnsi="Times"/>
          <w:color w:val="000000"/>
        </w:rPr>
        <w:tab/>
        <w:t>Be able to distinguish between a population and a sample.</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8.</w:t>
      </w:r>
      <w:r>
        <w:rPr>
          <w:rFonts w:ascii="Times" w:hAnsi="Times"/>
          <w:color w:val="000000"/>
        </w:rPr>
        <w:tab/>
        <w:t>Understand the role a sample plays in making statistical inferences about the population.</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9.</w:t>
      </w:r>
      <w:r>
        <w:rPr>
          <w:rFonts w:ascii="Times" w:hAnsi="Times"/>
          <w:color w:val="000000"/>
        </w:rPr>
        <w:tab/>
        <w:t>Know the meaning of the term data mining.</w:t>
      </w: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54394A" w:rsidRDefault="0054394A"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10.</w:t>
      </w:r>
      <w:r>
        <w:rPr>
          <w:rFonts w:ascii="Times" w:hAnsi="Times"/>
          <w:color w:val="000000"/>
        </w:rPr>
        <w:tab/>
        <w:t xml:space="preserve">Be aware of ethical guidelines for statistical practice. </w:t>
      </w:r>
    </w:p>
    <w:p w:rsidR="00277BB5" w:rsidRDefault="00277BB5" w:rsidP="0054394A">
      <w:pPr>
        <w:tabs>
          <w:tab w:val="left" w:pos="-936"/>
          <w:tab w:val="left" w:pos="0"/>
          <w:tab w:val="left" w:pos="126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D05BD" w:rsidRDefault="001D05BD">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77BB5" w:rsidRDefault="00277BB5">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277BB5" w:rsidRDefault="00277BB5">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rsidP="00486406">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r w:rsidRPr="000A3550">
        <w:rPr>
          <w:rFonts w:ascii="Times" w:hAnsi="Times"/>
          <w:color w:val="000000"/>
        </w:rPr>
        <w:t>1.</w:t>
      </w:r>
      <w:r>
        <w:rPr>
          <w:rFonts w:ascii="Times" w:hAnsi="Times"/>
          <w:color w:val="000000"/>
        </w:rPr>
        <w:tab/>
      </w:r>
      <w:r>
        <w:rPr>
          <w:rFonts w:ascii="Times" w:hAnsi="Times"/>
          <w:color w:val="000000"/>
        </w:rPr>
        <w:tab/>
        <w:t>Statistics can be referred to as numerical facts.  In a broader sense, statistics is the field of study dealing with the collection, analysis, presentation and interpretation of data.</w:t>
      </w: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8372A" w:rsidRDefault="00486406" w:rsidP="0028372A">
      <w:pPr>
        <w:tabs>
          <w:tab w:val="left" w:pos="900"/>
          <w:tab w:val="left" w:pos="1260"/>
        </w:tabs>
        <w:ind w:left="504"/>
      </w:pPr>
      <w:r w:rsidRPr="00687EC9">
        <w:t>2.</w:t>
      </w:r>
      <w:r w:rsidR="0028372A">
        <w:tab/>
      </w:r>
      <w:r w:rsidR="0028372A" w:rsidRPr="00687EC9">
        <w:t>a.</w:t>
      </w:r>
      <w:r w:rsidR="0028372A">
        <w:tab/>
        <w:t>The ten elements are the ten cars</w:t>
      </w:r>
    </w:p>
    <w:p w:rsidR="0028372A" w:rsidRDefault="0028372A" w:rsidP="0028372A">
      <w:pPr>
        <w:tabs>
          <w:tab w:val="left" w:pos="900"/>
          <w:tab w:val="left" w:pos="1260"/>
        </w:tabs>
        <w:ind w:left="504"/>
      </w:pPr>
    </w:p>
    <w:p w:rsidR="0028372A" w:rsidRPr="00687EC9" w:rsidRDefault="0028372A" w:rsidP="0028372A">
      <w:pPr>
        <w:tabs>
          <w:tab w:val="left" w:pos="900"/>
          <w:tab w:val="left" w:pos="1260"/>
        </w:tabs>
        <w:ind w:left="504"/>
      </w:pPr>
      <w:r>
        <w:tab/>
      </w:r>
      <w:r w:rsidRPr="00687EC9">
        <w:t>b.</w:t>
      </w:r>
      <w:r>
        <w:tab/>
      </w:r>
      <w:r w:rsidRPr="00687EC9">
        <w:t>5</w:t>
      </w:r>
      <w:r>
        <w:t xml:space="preserve"> variables:  Size, Cylinders, City MPG, Highway MPG, and Fuel </w:t>
      </w:r>
    </w:p>
    <w:p w:rsidR="0028372A" w:rsidRPr="00687EC9" w:rsidRDefault="0028372A" w:rsidP="0028372A">
      <w:pPr>
        <w:tabs>
          <w:tab w:val="left" w:pos="900"/>
          <w:tab w:val="left" w:pos="1260"/>
        </w:tabs>
        <w:ind w:left="504"/>
      </w:pPr>
    </w:p>
    <w:p w:rsidR="0028372A" w:rsidRDefault="0028372A" w:rsidP="0028372A">
      <w:pPr>
        <w:tabs>
          <w:tab w:val="left" w:pos="900"/>
          <w:tab w:val="left" w:pos="1260"/>
        </w:tabs>
        <w:ind w:left="504"/>
      </w:pPr>
      <w:r>
        <w:tab/>
      </w:r>
      <w:r w:rsidRPr="00687EC9">
        <w:t>c.</w:t>
      </w:r>
      <w:r>
        <w:tab/>
      </w:r>
      <w:r w:rsidRPr="00687EC9">
        <w:t xml:space="preserve">Categorical variables: </w:t>
      </w:r>
      <w:r>
        <w:t xml:space="preserve"> Size</w:t>
      </w:r>
      <w:r w:rsidRPr="00687EC9">
        <w:t xml:space="preserve"> and Fuel </w:t>
      </w:r>
    </w:p>
    <w:p w:rsidR="0028372A" w:rsidRPr="00687EC9" w:rsidRDefault="0028372A" w:rsidP="0028372A">
      <w:pPr>
        <w:tabs>
          <w:tab w:val="left" w:pos="900"/>
          <w:tab w:val="left" w:pos="1260"/>
        </w:tabs>
        <w:ind w:left="504"/>
      </w:pPr>
    </w:p>
    <w:p w:rsidR="0028372A" w:rsidRPr="00687EC9" w:rsidRDefault="0028372A" w:rsidP="0028372A">
      <w:pPr>
        <w:tabs>
          <w:tab w:val="left" w:pos="900"/>
          <w:tab w:val="left" w:pos="1260"/>
        </w:tabs>
        <w:ind w:left="504"/>
      </w:pPr>
      <w:r>
        <w:tab/>
      </w:r>
      <w:r>
        <w:tab/>
      </w:r>
      <w:r w:rsidRPr="00687EC9">
        <w:t>Quantitative variables:</w:t>
      </w:r>
      <w:r>
        <w:t xml:space="preserve"> </w:t>
      </w:r>
      <w:r w:rsidRPr="00687EC9">
        <w:t xml:space="preserve"> Cylinders, City MPG, and Highway MPG</w:t>
      </w:r>
    </w:p>
    <w:p w:rsidR="0028372A" w:rsidRPr="00687EC9" w:rsidRDefault="0028372A" w:rsidP="0028372A">
      <w:pPr>
        <w:tabs>
          <w:tab w:val="left" w:pos="900"/>
          <w:tab w:val="left" w:pos="1260"/>
        </w:tabs>
        <w:ind w:left="504"/>
      </w:pPr>
    </w:p>
    <w:p w:rsidR="0028372A" w:rsidRPr="00687EC9" w:rsidRDefault="0028372A" w:rsidP="0028372A">
      <w:pPr>
        <w:tabs>
          <w:tab w:val="left" w:pos="900"/>
          <w:tab w:val="left" w:pos="1260"/>
        </w:tabs>
        <w:ind w:left="504"/>
      </w:pPr>
      <w:r>
        <w:tab/>
      </w:r>
      <w:r w:rsidRPr="00687EC9">
        <w:t xml:space="preserve">d. </w:t>
      </w:r>
    </w:p>
    <w:tbl>
      <w:tblPr>
        <w:tblW w:w="0" w:type="auto"/>
        <w:tblInd w:w="1368" w:type="dxa"/>
        <w:tblLook w:val="00A0" w:firstRow="1" w:lastRow="0" w:firstColumn="1" w:lastColumn="0" w:noHBand="0" w:noVBand="0"/>
      </w:tblPr>
      <w:tblGrid>
        <w:gridCol w:w="2160"/>
        <w:gridCol w:w="1980"/>
      </w:tblGrid>
      <w:tr w:rsidR="0028372A" w:rsidRPr="00687EC9">
        <w:tc>
          <w:tcPr>
            <w:tcW w:w="2160" w:type="dxa"/>
            <w:tcBorders>
              <w:bottom w:val="single" w:sz="4" w:space="0" w:color="auto"/>
            </w:tcBorders>
          </w:tcPr>
          <w:p w:rsidR="0028372A" w:rsidRPr="00486406" w:rsidRDefault="0028372A" w:rsidP="006704B9">
            <w:pPr>
              <w:tabs>
                <w:tab w:val="left" w:pos="900"/>
                <w:tab w:val="left" w:pos="1260"/>
              </w:tabs>
              <w:ind w:left="504"/>
              <w:rPr>
                <w:b/>
              </w:rPr>
            </w:pPr>
            <w:r w:rsidRPr="00486406">
              <w:rPr>
                <w:b/>
              </w:rPr>
              <w:t>Variable</w:t>
            </w:r>
          </w:p>
        </w:tc>
        <w:tc>
          <w:tcPr>
            <w:tcW w:w="1980" w:type="dxa"/>
            <w:tcBorders>
              <w:bottom w:val="single" w:sz="4" w:space="0" w:color="auto"/>
            </w:tcBorders>
          </w:tcPr>
          <w:p w:rsidR="0028372A" w:rsidRPr="00486406" w:rsidRDefault="0028372A" w:rsidP="0028372A">
            <w:pPr>
              <w:tabs>
                <w:tab w:val="left" w:pos="900"/>
                <w:tab w:val="left" w:pos="1260"/>
              </w:tabs>
              <w:jc w:val="center"/>
              <w:rPr>
                <w:b/>
              </w:rPr>
            </w:pPr>
            <w:r w:rsidRPr="00486406">
              <w:rPr>
                <w:b/>
              </w:rPr>
              <w:t>Measurement Scale</w:t>
            </w:r>
          </w:p>
        </w:tc>
      </w:tr>
      <w:tr w:rsidR="0028372A" w:rsidRPr="00687EC9">
        <w:tc>
          <w:tcPr>
            <w:tcW w:w="2160" w:type="dxa"/>
            <w:tcBorders>
              <w:top w:val="single" w:sz="4" w:space="0" w:color="auto"/>
            </w:tcBorders>
          </w:tcPr>
          <w:p w:rsidR="0028372A" w:rsidRPr="00687EC9" w:rsidRDefault="0028372A" w:rsidP="006704B9">
            <w:pPr>
              <w:tabs>
                <w:tab w:val="left" w:pos="900"/>
                <w:tab w:val="left" w:pos="1260"/>
              </w:tabs>
              <w:ind w:left="504"/>
            </w:pPr>
            <w:r>
              <w:t>Size</w:t>
            </w:r>
          </w:p>
        </w:tc>
        <w:tc>
          <w:tcPr>
            <w:tcW w:w="1980" w:type="dxa"/>
            <w:tcBorders>
              <w:top w:val="single" w:sz="4" w:space="0" w:color="auto"/>
            </w:tcBorders>
          </w:tcPr>
          <w:p w:rsidR="0028372A" w:rsidRPr="00687EC9" w:rsidRDefault="0028372A" w:rsidP="0028372A">
            <w:pPr>
              <w:tabs>
                <w:tab w:val="left" w:pos="900"/>
                <w:tab w:val="left" w:pos="1260"/>
              </w:tabs>
              <w:ind w:left="-108"/>
              <w:jc w:val="center"/>
            </w:pPr>
            <w:r>
              <w:t>Ordinal</w:t>
            </w:r>
          </w:p>
        </w:tc>
      </w:tr>
      <w:tr w:rsidR="0028372A" w:rsidRPr="00687EC9">
        <w:tc>
          <w:tcPr>
            <w:tcW w:w="2160" w:type="dxa"/>
          </w:tcPr>
          <w:p w:rsidR="0028372A" w:rsidRPr="00687EC9" w:rsidRDefault="0028372A" w:rsidP="006704B9">
            <w:pPr>
              <w:tabs>
                <w:tab w:val="left" w:pos="900"/>
                <w:tab w:val="left" w:pos="1260"/>
              </w:tabs>
              <w:ind w:left="504"/>
            </w:pPr>
            <w:r w:rsidRPr="00687EC9">
              <w:t>Cylinders</w:t>
            </w:r>
          </w:p>
        </w:tc>
        <w:tc>
          <w:tcPr>
            <w:tcW w:w="1980" w:type="dxa"/>
          </w:tcPr>
          <w:p w:rsidR="0028372A" w:rsidRPr="00687EC9" w:rsidRDefault="0028372A" w:rsidP="0028372A">
            <w:pPr>
              <w:tabs>
                <w:tab w:val="left" w:pos="900"/>
                <w:tab w:val="left" w:pos="1260"/>
              </w:tabs>
              <w:ind w:left="-108"/>
              <w:jc w:val="center"/>
            </w:pPr>
            <w:r w:rsidRPr="00687EC9">
              <w:t>Ratio</w:t>
            </w:r>
          </w:p>
        </w:tc>
      </w:tr>
      <w:tr w:rsidR="0028372A" w:rsidRPr="00687EC9">
        <w:tc>
          <w:tcPr>
            <w:tcW w:w="2160" w:type="dxa"/>
          </w:tcPr>
          <w:p w:rsidR="0028372A" w:rsidRPr="00687EC9" w:rsidRDefault="0028372A" w:rsidP="006704B9">
            <w:pPr>
              <w:tabs>
                <w:tab w:val="left" w:pos="900"/>
                <w:tab w:val="left" w:pos="1260"/>
              </w:tabs>
              <w:ind w:left="504"/>
            </w:pPr>
            <w:r w:rsidRPr="00687EC9">
              <w:t>City MPG</w:t>
            </w:r>
          </w:p>
        </w:tc>
        <w:tc>
          <w:tcPr>
            <w:tcW w:w="1980" w:type="dxa"/>
          </w:tcPr>
          <w:p w:rsidR="0028372A" w:rsidRPr="00687EC9" w:rsidRDefault="0028372A" w:rsidP="0028372A">
            <w:pPr>
              <w:tabs>
                <w:tab w:val="left" w:pos="900"/>
                <w:tab w:val="left" w:pos="1260"/>
              </w:tabs>
              <w:ind w:left="-108"/>
              <w:jc w:val="center"/>
            </w:pPr>
            <w:r w:rsidRPr="00687EC9">
              <w:t>Ratio</w:t>
            </w:r>
          </w:p>
        </w:tc>
      </w:tr>
      <w:tr w:rsidR="0028372A" w:rsidRPr="00687EC9">
        <w:tc>
          <w:tcPr>
            <w:tcW w:w="2160" w:type="dxa"/>
          </w:tcPr>
          <w:p w:rsidR="0028372A" w:rsidRPr="00687EC9" w:rsidRDefault="0028372A" w:rsidP="006704B9">
            <w:pPr>
              <w:tabs>
                <w:tab w:val="left" w:pos="900"/>
                <w:tab w:val="left" w:pos="1260"/>
              </w:tabs>
              <w:ind w:left="504"/>
            </w:pPr>
            <w:r w:rsidRPr="00687EC9">
              <w:t>Highway MPG</w:t>
            </w:r>
          </w:p>
        </w:tc>
        <w:tc>
          <w:tcPr>
            <w:tcW w:w="1980" w:type="dxa"/>
          </w:tcPr>
          <w:p w:rsidR="0028372A" w:rsidRPr="00687EC9" w:rsidRDefault="0028372A" w:rsidP="0028372A">
            <w:pPr>
              <w:tabs>
                <w:tab w:val="left" w:pos="900"/>
                <w:tab w:val="left" w:pos="1260"/>
              </w:tabs>
              <w:ind w:left="-108"/>
              <w:jc w:val="center"/>
            </w:pPr>
            <w:r w:rsidRPr="00687EC9">
              <w:t>Ratio</w:t>
            </w:r>
          </w:p>
        </w:tc>
      </w:tr>
      <w:tr w:rsidR="0028372A" w:rsidRPr="00687EC9">
        <w:tc>
          <w:tcPr>
            <w:tcW w:w="2160" w:type="dxa"/>
          </w:tcPr>
          <w:p w:rsidR="0028372A" w:rsidRPr="00687EC9" w:rsidRDefault="0028372A" w:rsidP="006704B9">
            <w:pPr>
              <w:tabs>
                <w:tab w:val="left" w:pos="900"/>
                <w:tab w:val="left" w:pos="1260"/>
              </w:tabs>
              <w:ind w:left="504"/>
            </w:pPr>
            <w:r w:rsidRPr="00687EC9">
              <w:t xml:space="preserve">Fuel </w:t>
            </w:r>
          </w:p>
        </w:tc>
        <w:tc>
          <w:tcPr>
            <w:tcW w:w="1980" w:type="dxa"/>
          </w:tcPr>
          <w:p w:rsidR="0028372A" w:rsidRPr="00687EC9" w:rsidRDefault="0028372A" w:rsidP="0028372A">
            <w:pPr>
              <w:tabs>
                <w:tab w:val="left" w:pos="900"/>
                <w:tab w:val="left" w:pos="1260"/>
              </w:tabs>
              <w:ind w:left="-108"/>
              <w:jc w:val="center"/>
            </w:pPr>
            <w:r>
              <w:t>Nominal</w:t>
            </w:r>
          </w:p>
        </w:tc>
      </w:tr>
    </w:tbl>
    <w:p w:rsidR="0028372A" w:rsidRPr="00687EC9" w:rsidRDefault="0028372A" w:rsidP="0028372A">
      <w:pPr>
        <w:tabs>
          <w:tab w:val="left" w:pos="900"/>
          <w:tab w:val="left" w:pos="1260"/>
        </w:tabs>
        <w:ind w:left="504"/>
      </w:pPr>
    </w:p>
    <w:p w:rsidR="004540E0" w:rsidRPr="00687EC9" w:rsidRDefault="00486406" w:rsidP="004540E0">
      <w:pPr>
        <w:tabs>
          <w:tab w:val="left" w:pos="900"/>
          <w:tab w:val="left" w:pos="1260"/>
        </w:tabs>
        <w:ind w:left="504"/>
      </w:pPr>
      <w:r w:rsidRPr="00687EC9">
        <w:t>3.</w:t>
      </w:r>
      <w:r>
        <w:tab/>
      </w:r>
      <w:r w:rsidR="004540E0" w:rsidRPr="00687EC9">
        <w:t>a.</w:t>
      </w:r>
      <w:r w:rsidR="004540E0">
        <w:tab/>
      </w:r>
      <w:r w:rsidR="004540E0" w:rsidRPr="00687EC9">
        <w:t xml:space="preserve">Average </w:t>
      </w:r>
      <w:r w:rsidR="004540E0">
        <w:t xml:space="preserve">mpg </w:t>
      </w:r>
      <w:r w:rsidR="004540E0" w:rsidRPr="00687EC9">
        <w:t>for city driving = 182/10 = 18.2 mpg</w:t>
      </w:r>
    </w:p>
    <w:p w:rsidR="004540E0" w:rsidRPr="00687EC9" w:rsidRDefault="004540E0" w:rsidP="004540E0">
      <w:pPr>
        <w:tabs>
          <w:tab w:val="left" w:pos="900"/>
          <w:tab w:val="left" w:pos="1260"/>
        </w:tabs>
        <w:ind w:left="504"/>
      </w:pPr>
    </w:p>
    <w:p w:rsidR="004540E0" w:rsidRPr="00687EC9" w:rsidRDefault="004540E0" w:rsidP="004540E0">
      <w:pPr>
        <w:tabs>
          <w:tab w:val="left" w:pos="900"/>
          <w:tab w:val="left" w:pos="1260"/>
        </w:tabs>
        <w:ind w:left="504"/>
      </w:pPr>
      <w:r>
        <w:tab/>
      </w:r>
      <w:r w:rsidRPr="00687EC9">
        <w:t>b.</w:t>
      </w:r>
      <w:r>
        <w:tab/>
      </w:r>
      <w:r w:rsidRPr="00687EC9">
        <w:t xml:space="preserve">Average </w:t>
      </w:r>
      <w:r>
        <w:t xml:space="preserve">mpg </w:t>
      </w:r>
      <w:r w:rsidRPr="00687EC9">
        <w:t>for highway driving = 261/10 = 26.1 mpg</w:t>
      </w:r>
    </w:p>
    <w:p w:rsidR="004540E0" w:rsidRPr="00687EC9" w:rsidRDefault="004540E0" w:rsidP="004540E0">
      <w:pPr>
        <w:tabs>
          <w:tab w:val="left" w:pos="900"/>
          <w:tab w:val="left" w:pos="1260"/>
        </w:tabs>
        <w:ind w:left="504"/>
      </w:pPr>
    </w:p>
    <w:p w:rsidR="004540E0" w:rsidRPr="00687EC9" w:rsidRDefault="004540E0" w:rsidP="004540E0">
      <w:pPr>
        <w:tabs>
          <w:tab w:val="left" w:pos="900"/>
          <w:tab w:val="left" w:pos="1260"/>
        </w:tabs>
        <w:ind w:left="1260" w:hanging="756"/>
      </w:pPr>
      <w:r>
        <w:tab/>
      </w:r>
      <w:r>
        <w:tab/>
      </w:r>
      <w:r w:rsidRPr="00687EC9">
        <w:t xml:space="preserve">On average, the </w:t>
      </w:r>
      <w:r>
        <w:t xml:space="preserve">miles per gallon </w:t>
      </w:r>
      <w:r w:rsidRPr="00687EC9">
        <w:t xml:space="preserve">for highway driving is </w:t>
      </w:r>
      <w:r>
        <w:t xml:space="preserve">26.1 – 18.2 = </w:t>
      </w:r>
      <w:r w:rsidRPr="00687EC9">
        <w:t xml:space="preserve">7.9 mpg greater </w:t>
      </w:r>
      <w:r>
        <w:t>compared to</w:t>
      </w:r>
      <w:r w:rsidRPr="00687EC9">
        <w:t xml:space="preserve"> city driving.</w:t>
      </w:r>
    </w:p>
    <w:p w:rsidR="004540E0" w:rsidRPr="00687EC9" w:rsidRDefault="004540E0" w:rsidP="004540E0">
      <w:pPr>
        <w:tabs>
          <w:tab w:val="left" w:pos="900"/>
          <w:tab w:val="left" w:pos="1260"/>
        </w:tabs>
        <w:ind w:left="504"/>
      </w:pPr>
    </w:p>
    <w:p w:rsidR="004540E0" w:rsidRPr="00687EC9" w:rsidRDefault="004540E0" w:rsidP="004540E0">
      <w:pPr>
        <w:tabs>
          <w:tab w:val="left" w:pos="900"/>
          <w:tab w:val="left" w:pos="1260"/>
        </w:tabs>
        <w:ind w:left="504"/>
      </w:pPr>
      <w:r>
        <w:tab/>
      </w:r>
      <w:r w:rsidRPr="00687EC9">
        <w:t>c.</w:t>
      </w:r>
      <w:r>
        <w:tab/>
      </w:r>
      <w:r w:rsidRPr="00687EC9">
        <w:t>3 of 10 or 30% have four cylinder engines</w:t>
      </w:r>
    </w:p>
    <w:p w:rsidR="004540E0" w:rsidRPr="00687EC9" w:rsidRDefault="004540E0" w:rsidP="004540E0">
      <w:pPr>
        <w:tabs>
          <w:tab w:val="left" w:pos="900"/>
          <w:tab w:val="left" w:pos="1260"/>
        </w:tabs>
        <w:ind w:left="504"/>
      </w:pPr>
    </w:p>
    <w:p w:rsidR="004540E0" w:rsidRDefault="004540E0" w:rsidP="004540E0">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rsidRPr="00687EC9">
        <w:t>d.</w:t>
      </w:r>
      <w:r>
        <w:tab/>
      </w:r>
      <w:r w:rsidR="008D1E85">
        <w:t>6</w:t>
      </w:r>
      <w:r w:rsidRPr="00687EC9">
        <w:t xml:space="preserve"> of 10 or </w:t>
      </w:r>
      <w:r w:rsidR="008D1E85">
        <w:t>6</w:t>
      </w:r>
      <w:r w:rsidRPr="00687EC9">
        <w:t xml:space="preserve">0% </w:t>
      </w:r>
      <w:r>
        <w:t>use</w:t>
      </w:r>
      <w:r w:rsidRPr="00687EC9">
        <w:t xml:space="preserve"> regular fuel</w:t>
      </w:r>
    </w:p>
    <w:p w:rsidR="004540E0" w:rsidRDefault="004540E0" w:rsidP="004540E0"/>
    <w:p w:rsidR="004540E0" w:rsidRDefault="00277BB5" w:rsidP="004540E0">
      <w:pPr>
        <w:tabs>
          <w:tab w:val="left" w:pos="900"/>
          <w:tab w:val="left" w:pos="1260"/>
        </w:tabs>
        <w:ind w:left="504"/>
      </w:pPr>
      <w:r>
        <w:rPr>
          <w:rFonts w:ascii="Times" w:hAnsi="Times"/>
          <w:color w:val="000000"/>
        </w:rPr>
        <w:t>4.</w:t>
      </w:r>
      <w:r w:rsidR="008A4612">
        <w:rPr>
          <w:rFonts w:ascii="Times" w:hAnsi="Times"/>
          <w:color w:val="000000"/>
        </w:rPr>
        <w:tab/>
      </w:r>
      <w:r w:rsidR="004540E0">
        <w:t>a.</w:t>
      </w:r>
      <w:r w:rsidR="004540E0">
        <w:tab/>
        <w:t>The seven elements are the seven schools shown</w:t>
      </w:r>
    </w:p>
    <w:p w:rsidR="004540E0" w:rsidRDefault="004540E0" w:rsidP="004540E0">
      <w:pPr>
        <w:tabs>
          <w:tab w:val="left" w:pos="900"/>
          <w:tab w:val="left" w:pos="1260"/>
        </w:tabs>
        <w:ind w:left="504"/>
      </w:pPr>
    </w:p>
    <w:p w:rsidR="004540E0" w:rsidRDefault="004540E0" w:rsidP="004540E0">
      <w:pPr>
        <w:tabs>
          <w:tab w:val="left" w:pos="900"/>
          <w:tab w:val="left" w:pos="1260"/>
        </w:tabs>
        <w:ind w:left="504"/>
      </w:pPr>
      <w:r>
        <w:tab/>
        <w:t>b.</w:t>
      </w:r>
      <w:r>
        <w:tab/>
        <w:t>5 variables:  State, Campus Setting, Endowment, Applicants Admitted, and NCAA Division</w:t>
      </w:r>
    </w:p>
    <w:p w:rsidR="004540E0" w:rsidRDefault="004540E0" w:rsidP="004540E0">
      <w:pPr>
        <w:tabs>
          <w:tab w:val="left" w:pos="900"/>
          <w:tab w:val="left" w:pos="1260"/>
        </w:tabs>
        <w:ind w:left="504"/>
      </w:pPr>
    </w:p>
    <w:p w:rsidR="004540E0" w:rsidRDefault="004540E0" w:rsidP="004540E0">
      <w:pPr>
        <w:tabs>
          <w:tab w:val="left" w:pos="900"/>
          <w:tab w:val="left" w:pos="1260"/>
        </w:tabs>
        <w:ind w:left="504"/>
      </w:pPr>
      <w:r>
        <w:tab/>
        <w:t>c.</w:t>
      </w:r>
      <w:r>
        <w:tab/>
        <w:t>Categorical variables:  State, Campus Setting, and NCAA Division</w:t>
      </w:r>
    </w:p>
    <w:p w:rsidR="004540E0" w:rsidRDefault="004540E0" w:rsidP="004540E0">
      <w:pPr>
        <w:tabs>
          <w:tab w:val="left" w:pos="900"/>
          <w:tab w:val="left" w:pos="1260"/>
        </w:tabs>
        <w:ind w:left="504"/>
      </w:pPr>
    </w:p>
    <w:p w:rsidR="004540E0" w:rsidRDefault="004540E0" w:rsidP="004540E0">
      <w:pPr>
        <w:tabs>
          <w:tab w:val="left" w:pos="900"/>
          <w:tab w:val="left" w:pos="1260"/>
        </w:tabs>
        <w:ind w:left="504"/>
      </w:pPr>
      <w:r>
        <w:tab/>
      </w:r>
      <w:r>
        <w:tab/>
        <w:t>Quantitative variables:  Endowment and Applicants Admitted</w:t>
      </w:r>
    </w:p>
    <w:p w:rsidR="008A4612" w:rsidRDefault="008A4612" w:rsidP="008A4612">
      <w:pPr>
        <w:tabs>
          <w:tab w:val="left" w:pos="900"/>
          <w:tab w:val="left" w:pos="1260"/>
        </w:tabs>
        <w:ind w:left="504"/>
      </w:pPr>
    </w:p>
    <w:p w:rsidR="008A4612" w:rsidRDefault="008A4612" w:rsidP="008A4612">
      <w:pPr>
        <w:tabs>
          <w:tab w:val="left" w:pos="900"/>
          <w:tab w:val="left" w:pos="1260"/>
        </w:tabs>
        <w:ind w:left="504"/>
      </w:pPr>
      <w:r>
        <w:t>5.</w:t>
      </w:r>
      <w:r>
        <w:tab/>
        <w:t>a.</w:t>
      </w:r>
      <w:r>
        <w:tab/>
        <w:t>Average endowment = 74.6/7 = $10.657 billion</w:t>
      </w:r>
    </w:p>
    <w:p w:rsidR="008A4612" w:rsidRDefault="008A4612" w:rsidP="008A4612">
      <w:pPr>
        <w:tabs>
          <w:tab w:val="left" w:pos="900"/>
          <w:tab w:val="left" w:pos="1260"/>
        </w:tabs>
        <w:ind w:left="504"/>
      </w:pPr>
    </w:p>
    <w:p w:rsidR="008A4612" w:rsidRDefault="008A4612" w:rsidP="008A4612">
      <w:pPr>
        <w:tabs>
          <w:tab w:val="left" w:pos="900"/>
          <w:tab w:val="left" w:pos="1260"/>
        </w:tabs>
        <w:ind w:left="504"/>
      </w:pPr>
      <w:r>
        <w:tab/>
        <w:t>b.</w:t>
      </w:r>
      <w:r>
        <w:tab/>
        <w:t>Average percentage admitted = 111/7 = 15.86%</w:t>
      </w:r>
    </w:p>
    <w:p w:rsidR="008A4612" w:rsidRDefault="008A4612" w:rsidP="008A4612">
      <w:pPr>
        <w:tabs>
          <w:tab w:val="left" w:pos="900"/>
          <w:tab w:val="left" w:pos="1260"/>
        </w:tabs>
        <w:ind w:left="504"/>
      </w:pPr>
    </w:p>
    <w:p w:rsidR="008A4612" w:rsidRDefault="008A4612" w:rsidP="008A4612">
      <w:pPr>
        <w:tabs>
          <w:tab w:val="left" w:pos="900"/>
          <w:tab w:val="left" w:pos="1260"/>
        </w:tabs>
        <w:ind w:left="504"/>
      </w:pPr>
      <w:r>
        <w:tab/>
        <w:t>c.</w:t>
      </w:r>
      <w:r>
        <w:tab/>
        <w:t>3 of 7 or 42.9% have NCAA Division III varsity teams</w:t>
      </w:r>
    </w:p>
    <w:p w:rsidR="008A4612" w:rsidRDefault="008A4612" w:rsidP="008A4612">
      <w:pPr>
        <w:tabs>
          <w:tab w:val="left" w:pos="900"/>
          <w:tab w:val="left" w:pos="1260"/>
        </w:tabs>
        <w:ind w:left="504"/>
      </w:pPr>
    </w:p>
    <w:p w:rsidR="008A4612" w:rsidRDefault="008A4612" w:rsidP="008A4612">
      <w:pPr>
        <w:tabs>
          <w:tab w:val="left" w:pos="900"/>
          <w:tab w:val="left" w:pos="1260"/>
        </w:tabs>
        <w:ind w:left="504"/>
      </w:pPr>
      <w:r>
        <w:tab/>
        <w:t>d.</w:t>
      </w:r>
      <w:r>
        <w:tab/>
        <w:t>3 of 7 or 42.9% have a City: Midsize campus setting</w:t>
      </w:r>
    </w:p>
    <w:p w:rsidR="00277BB5" w:rsidRDefault="00277BB5" w:rsidP="008A4612">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A4612" w:rsidRDefault="008A4612" w:rsidP="008A4612">
      <w:pPr>
        <w:tabs>
          <w:tab w:val="left" w:pos="900"/>
          <w:tab w:val="left" w:pos="1260"/>
        </w:tabs>
        <w:ind w:left="504"/>
      </w:pPr>
      <w:r>
        <w:t>6.</w:t>
      </w:r>
      <w:r>
        <w:tab/>
        <w:t>a.</w:t>
      </w:r>
      <w:r>
        <w:tab/>
        <w:t>Quantitative</w:t>
      </w:r>
    </w:p>
    <w:p w:rsidR="008A4612" w:rsidRDefault="008A4612" w:rsidP="008A4612">
      <w:pPr>
        <w:tabs>
          <w:tab w:val="left" w:pos="900"/>
          <w:tab w:val="left" w:pos="1260"/>
        </w:tabs>
        <w:ind w:left="504"/>
      </w:pPr>
    </w:p>
    <w:p w:rsidR="008A4612" w:rsidRDefault="008A4612" w:rsidP="008A4612">
      <w:pPr>
        <w:tabs>
          <w:tab w:val="left" w:pos="900"/>
          <w:tab w:val="left" w:pos="1260"/>
        </w:tabs>
        <w:ind w:left="504"/>
      </w:pPr>
      <w:r>
        <w:tab/>
        <w:t>b.</w:t>
      </w:r>
      <w:r>
        <w:tab/>
        <w:t>Categorical</w:t>
      </w:r>
    </w:p>
    <w:p w:rsidR="008A4612" w:rsidRDefault="008A4612" w:rsidP="008A4612">
      <w:pPr>
        <w:tabs>
          <w:tab w:val="left" w:pos="900"/>
          <w:tab w:val="left" w:pos="1260"/>
        </w:tabs>
        <w:ind w:left="504"/>
      </w:pPr>
    </w:p>
    <w:p w:rsidR="008A4612" w:rsidRDefault="008A4612" w:rsidP="008A4612">
      <w:pPr>
        <w:tabs>
          <w:tab w:val="left" w:pos="900"/>
          <w:tab w:val="left" w:pos="1260"/>
        </w:tabs>
        <w:ind w:left="504"/>
      </w:pPr>
      <w:r>
        <w:tab/>
        <w:t>c.</w:t>
      </w:r>
      <w:r>
        <w:tab/>
        <w:t>Categorical</w:t>
      </w:r>
    </w:p>
    <w:p w:rsidR="0028372A" w:rsidRDefault="0028372A" w:rsidP="008A4612">
      <w:pPr>
        <w:tabs>
          <w:tab w:val="left" w:pos="900"/>
          <w:tab w:val="left" w:pos="1260"/>
        </w:tabs>
        <w:ind w:left="504"/>
      </w:pPr>
    </w:p>
    <w:p w:rsidR="001D05BD" w:rsidRDefault="001D05BD" w:rsidP="008A4612">
      <w:pPr>
        <w:tabs>
          <w:tab w:val="left" w:pos="900"/>
          <w:tab w:val="left" w:pos="1260"/>
        </w:tabs>
        <w:ind w:left="504"/>
      </w:pPr>
    </w:p>
    <w:p w:rsidR="001D05BD" w:rsidRDefault="001D05BD" w:rsidP="008A4612">
      <w:pPr>
        <w:tabs>
          <w:tab w:val="left" w:pos="900"/>
          <w:tab w:val="left" w:pos="1260"/>
        </w:tabs>
        <w:ind w:left="504"/>
      </w:pPr>
    </w:p>
    <w:p w:rsidR="008A4612" w:rsidRDefault="008A4612" w:rsidP="008A4612">
      <w:pPr>
        <w:tabs>
          <w:tab w:val="left" w:pos="900"/>
          <w:tab w:val="left" w:pos="1260"/>
        </w:tabs>
        <w:ind w:left="504"/>
      </w:pPr>
      <w:r>
        <w:lastRenderedPageBreak/>
        <w:tab/>
        <w:t>d.</w:t>
      </w:r>
      <w:r>
        <w:tab/>
        <w:t>Quantitative</w:t>
      </w:r>
    </w:p>
    <w:p w:rsidR="0028372A" w:rsidRDefault="0028372A" w:rsidP="008A4612">
      <w:pPr>
        <w:tabs>
          <w:tab w:val="left" w:pos="900"/>
          <w:tab w:val="left" w:pos="1260"/>
        </w:tabs>
        <w:ind w:left="504"/>
      </w:pPr>
    </w:p>
    <w:p w:rsidR="008A4612" w:rsidRDefault="008A4612" w:rsidP="008A4612">
      <w:pPr>
        <w:tabs>
          <w:tab w:val="left" w:pos="900"/>
          <w:tab w:val="left" w:pos="1260"/>
        </w:tabs>
        <w:ind w:left="504"/>
      </w:pPr>
      <w:r>
        <w:tab/>
        <w:t>e.</w:t>
      </w:r>
      <w:r>
        <w:tab/>
        <w:t>Categorical</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92115" w:rsidRPr="00974FE0" w:rsidRDefault="00492115" w:rsidP="00664D3B">
      <w:pPr>
        <w:tabs>
          <w:tab w:val="left" w:pos="900"/>
          <w:tab w:val="left" w:pos="1260"/>
        </w:tabs>
        <w:ind w:left="1260" w:hanging="720"/>
      </w:pPr>
      <w:r>
        <w:t>7.</w:t>
      </w:r>
      <w:r>
        <w:tab/>
      </w:r>
      <w:r w:rsidRPr="00974FE0">
        <w:t>a.</w:t>
      </w:r>
      <w:r>
        <w:tab/>
      </w:r>
      <w:r w:rsidR="00664D3B">
        <w:t>Each question has a yes or no categorical response</w:t>
      </w:r>
      <w:r w:rsidRPr="00974FE0">
        <w:t>.</w:t>
      </w:r>
    </w:p>
    <w:p w:rsidR="00492115" w:rsidRPr="00974FE0" w:rsidRDefault="00492115" w:rsidP="00664D3B">
      <w:pPr>
        <w:tabs>
          <w:tab w:val="left" w:pos="900"/>
          <w:tab w:val="left" w:pos="1260"/>
        </w:tabs>
        <w:ind w:left="1260" w:hanging="720"/>
      </w:pPr>
    </w:p>
    <w:p w:rsidR="00492115" w:rsidRDefault="00492115" w:rsidP="00664D3B">
      <w:pPr>
        <w:tabs>
          <w:tab w:val="left" w:pos="900"/>
          <w:tab w:val="left" w:pos="1260"/>
        </w:tabs>
        <w:ind w:left="1260" w:hanging="720"/>
      </w:pPr>
      <w:r>
        <w:tab/>
      </w:r>
      <w:r w:rsidRPr="00974FE0">
        <w:t>b.</w:t>
      </w:r>
      <w:r>
        <w:tab/>
      </w:r>
      <w:r w:rsidR="00664D3B">
        <w:t>Yes and no are the labels for the customer responses.  A nominal scale is being used</w:t>
      </w:r>
      <w:r w:rsidRPr="00974FE0">
        <w:t>.</w:t>
      </w:r>
    </w:p>
    <w:p w:rsidR="00664D3B" w:rsidRDefault="00664D3B" w:rsidP="00664D3B">
      <w:pPr>
        <w:tabs>
          <w:tab w:val="left" w:pos="900"/>
          <w:tab w:val="left" w:pos="1260"/>
        </w:tabs>
        <w:ind w:left="1260" w:hanging="720"/>
      </w:pPr>
    </w:p>
    <w:p w:rsidR="004540E0" w:rsidRDefault="00714937" w:rsidP="00664D3B">
      <w:pPr>
        <w:tabs>
          <w:tab w:val="left" w:pos="900"/>
          <w:tab w:val="left" w:pos="1260"/>
        </w:tabs>
        <w:ind w:left="504"/>
      </w:pPr>
      <w:r>
        <w:t>8.</w:t>
      </w:r>
      <w:r w:rsidR="00A2648B">
        <w:tab/>
      </w:r>
      <w:r w:rsidR="004540E0">
        <w:t>a.</w:t>
      </w:r>
      <w:r w:rsidR="004540E0">
        <w:tab/>
        <w:t>1015</w:t>
      </w:r>
    </w:p>
    <w:p w:rsidR="004540E0" w:rsidRDefault="004540E0" w:rsidP="00664D3B">
      <w:pPr>
        <w:tabs>
          <w:tab w:val="left" w:pos="900"/>
          <w:tab w:val="left" w:pos="1260"/>
        </w:tabs>
        <w:ind w:left="504"/>
      </w:pPr>
    </w:p>
    <w:p w:rsidR="004540E0" w:rsidRDefault="004540E0" w:rsidP="004540E0">
      <w:pPr>
        <w:tabs>
          <w:tab w:val="left" w:pos="900"/>
          <w:tab w:val="left" w:pos="1260"/>
        </w:tabs>
        <w:ind w:left="504"/>
      </w:pPr>
      <w:r>
        <w:tab/>
        <w:t>b.</w:t>
      </w:r>
      <w:r>
        <w:tab/>
        <w:t>Categorical</w:t>
      </w:r>
    </w:p>
    <w:p w:rsidR="004540E0" w:rsidRDefault="004540E0" w:rsidP="004540E0">
      <w:pPr>
        <w:tabs>
          <w:tab w:val="left" w:pos="900"/>
          <w:tab w:val="left" w:pos="1260"/>
        </w:tabs>
        <w:ind w:left="504"/>
      </w:pPr>
    </w:p>
    <w:p w:rsidR="004540E0" w:rsidRDefault="004540E0" w:rsidP="004540E0">
      <w:pPr>
        <w:tabs>
          <w:tab w:val="left" w:pos="900"/>
          <w:tab w:val="left" w:pos="1260"/>
        </w:tabs>
        <w:ind w:left="504"/>
      </w:pPr>
      <w:r>
        <w:tab/>
        <w:t>c.</w:t>
      </w:r>
      <w:r>
        <w:tab/>
        <w:t>Percentages</w:t>
      </w:r>
    </w:p>
    <w:p w:rsidR="004540E0" w:rsidRDefault="004540E0" w:rsidP="004540E0">
      <w:pPr>
        <w:tabs>
          <w:tab w:val="left" w:pos="900"/>
          <w:tab w:val="left" w:pos="1260"/>
        </w:tabs>
      </w:pPr>
    </w:p>
    <w:p w:rsidR="004540E0" w:rsidRDefault="004540E0" w:rsidP="004540E0">
      <w:pPr>
        <w:tabs>
          <w:tab w:val="left" w:pos="900"/>
          <w:tab w:val="left" w:pos="1260"/>
        </w:tabs>
        <w:ind w:left="504"/>
      </w:pPr>
      <w:r>
        <w:tab/>
        <w:t>d.</w:t>
      </w:r>
      <w:r>
        <w:tab/>
        <w:t xml:space="preserve">.10(1015) = 101.5 </w:t>
      </w:r>
    </w:p>
    <w:p w:rsidR="004540E0" w:rsidRDefault="004540E0" w:rsidP="004540E0">
      <w:pPr>
        <w:tabs>
          <w:tab w:val="left" w:pos="900"/>
          <w:tab w:val="left" w:pos="1260"/>
        </w:tabs>
        <w:ind w:left="504"/>
      </w:pPr>
    </w:p>
    <w:p w:rsidR="004540E0" w:rsidRDefault="004540E0" w:rsidP="004540E0">
      <w:pPr>
        <w:tabs>
          <w:tab w:val="left" w:pos="900"/>
          <w:tab w:val="left" w:pos="1260"/>
        </w:tabs>
        <w:ind w:left="1260" w:hanging="756"/>
      </w:pPr>
      <w:r>
        <w:tab/>
      </w:r>
      <w:r>
        <w:tab/>
        <w:t xml:space="preserve">101 or 102 respondents said the Federal Bank is doing a good job.  </w:t>
      </w:r>
    </w:p>
    <w:p w:rsidR="004540E0" w:rsidRDefault="004540E0" w:rsidP="004540E0"/>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9.</w:t>
      </w:r>
      <w:r>
        <w:rPr>
          <w:rFonts w:ascii="Times" w:hAnsi="Times"/>
          <w:color w:val="000000"/>
        </w:rPr>
        <w:tab/>
        <w:t>a.</w:t>
      </w:r>
      <w:r>
        <w:rPr>
          <w:rFonts w:ascii="Times" w:hAnsi="Times"/>
          <w:color w:val="000000"/>
        </w:rPr>
        <w:tab/>
      </w:r>
      <w:r w:rsidR="00943488">
        <w:rPr>
          <w:rFonts w:ascii="Times" w:hAnsi="Times"/>
          <w:color w:val="000000"/>
        </w:rPr>
        <w:t>Categorical</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30 of 71; 42.3%</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D05BD" w:rsidRDefault="001D05BD" w:rsidP="001D05BD">
      <w:pPr>
        <w:tabs>
          <w:tab w:val="left" w:pos="900"/>
          <w:tab w:val="left" w:pos="1260"/>
        </w:tabs>
        <w:ind w:left="504"/>
      </w:pPr>
      <w:r w:rsidRPr="005235AA">
        <w:t>10</w:t>
      </w:r>
      <w:r>
        <w:t>.</w:t>
      </w:r>
      <w:r>
        <w:tab/>
      </w:r>
      <w:r w:rsidRPr="005235AA">
        <w:t>a.</w:t>
      </w:r>
      <w:r>
        <w:tab/>
      </w:r>
      <w:r w:rsidRPr="005235AA">
        <w:t>Categorical</w:t>
      </w:r>
    </w:p>
    <w:p w:rsidR="001D05BD" w:rsidRPr="005235AA" w:rsidRDefault="001D05BD" w:rsidP="001D05BD">
      <w:pPr>
        <w:tabs>
          <w:tab w:val="left" w:pos="900"/>
          <w:tab w:val="left" w:pos="1260"/>
        </w:tabs>
        <w:ind w:left="504"/>
      </w:pPr>
    </w:p>
    <w:p w:rsidR="001D05BD" w:rsidRPr="005235AA" w:rsidRDefault="001D05BD" w:rsidP="001D05BD">
      <w:pPr>
        <w:tabs>
          <w:tab w:val="left" w:pos="900"/>
          <w:tab w:val="left" w:pos="1260"/>
        </w:tabs>
        <w:ind w:left="504"/>
      </w:pPr>
      <w:r>
        <w:tab/>
      </w:r>
      <w:r w:rsidRPr="005235AA">
        <w:t>b.</w:t>
      </w:r>
      <w:r>
        <w:tab/>
      </w:r>
      <w:r w:rsidRPr="005235AA">
        <w:t>Percentages</w:t>
      </w:r>
    </w:p>
    <w:p w:rsidR="001D05BD" w:rsidRDefault="001D05BD" w:rsidP="001D05BD">
      <w:pPr>
        <w:tabs>
          <w:tab w:val="left" w:pos="900"/>
          <w:tab w:val="left" w:pos="1260"/>
        </w:tabs>
        <w:ind w:left="504"/>
      </w:pPr>
    </w:p>
    <w:p w:rsidR="001D05BD" w:rsidRDefault="001D05BD" w:rsidP="001D05BD">
      <w:pPr>
        <w:tabs>
          <w:tab w:val="left" w:pos="900"/>
          <w:tab w:val="left" w:pos="1260"/>
        </w:tabs>
        <w:ind w:left="1260" w:hanging="756"/>
      </w:pPr>
      <w:r>
        <w:tab/>
      </w:r>
      <w:r w:rsidRPr="005235AA">
        <w:t>c.</w:t>
      </w:r>
      <w:r>
        <w:tab/>
      </w:r>
      <w:r w:rsidRPr="005235AA">
        <w:t xml:space="preserve">44 of 1080 respondents or approximately 4% strongly agree with allowing drivers of motor vehicles to talk on a hand-held cell phone while driving. </w:t>
      </w:r>
    </w:p>
    <w:p w:rsidR="001D05BD" w:rsidRPr="005235AA" w:rsidRDefault="001D05BD" w:rsidP="001D05BD">
      <w:pPr>
        <w:tabs>
          <w:tab w:val="left" w:pos="900"/>
          <w:tab w:val="left" w:pos="1260"/>
        </w:tabs>
        <w:ind w:left="1260" w:hanging="756"/>
      </w:pPr>
    </w:p>
    <w:p w:rsidR="001D05BD" w:rsidRPr="005235AA" w:rsidRDefault="001D05BD" w:rsidP="001D05BD">
      <w:pPr>
        <w:tabs>
          <w:tab w:val="left" w:pos="900"/>
          <w:tab w:val="left" w:pos="1260"/>
        </w:tabs>
        <w:ind w:left="1260" w:hanging="756"/>
      </w:pPr>
      <w:r>
        <w:tab/>
      </w:r>
      <w:r w:rsidRPr="005235AA">
        <w:t>d.</w:t>
      </w:r>
      <w:r>
        <w:tab/>
      </w:r>
      <w:r w:rsidRPr="005235AA">
        <w:rPr>
          <w:color w:val="000000"/>
        </w:rPr>
        <w:t xml:space="preserve">165 of the 1080 respondents or 15% of said they somewhat disagree and 741 or 69% said they strongly disagree. Thus, there does not appear to be general </w:t>
      </w:r>
      <w:r w:rsidRPr="005235AA">
        <w:t>support for allowing drivers of motor vehicles to talk on a hand-held cell phone while driving.</w:t>
      </w:r>
    </w:p>
    <w:p w:rsidR="00277BB5" w:rsidRDefault="00277BB5" w:rsidP="001D05BD">
      <w:pPr>
        <w:tabs>
          <w:tab w:val="left" w:pos="900"/>
          <w:tab w:val="left" w:pos="1260"/>
        </w:tabs>
        <w:ind w:left="540"/>
      </w:pP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11.</w:t>
      </w:r>
      <w:r>
        <w:rPr>
          <w:rFonts w:ascii="Times" w:hAnsi="Times"/>
          <w:color w:val="000000"/>
        </w:rPr>
        <w:tab/>
        <w:t>a.</w:t>
      </w:r>
      <w:r>
        <w:rPr>
          <w:rFonts w:ascii="Times" w:hAnsi="Times"/>
          <w:color w:val="000000"/>
        </w:rPr>
        <w:tab/>
        <w:t>Quantitative; ratio</w:t>
      </w: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Categorical; nominal</w:t>
      </w: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540"/>
        <w:rPr>
          <w:rFonts w:ascii="Times" w:hAnsi="Times"/>
          <w:color w:val="000000"/>
        </w:rPr>
      </w:pPr>
      <w:r>
        <w:rPr>
          <w:rFonts w:ascii="Times" w:hAnsi="Times"/>
          <w:color w:val="000000"/>
        </w:rPr>
        <w:tab/>
        <w:t>c.</w:t>
      </w:r>
      <w:r>
        <w:rPr>
          <w:rFonts w:ascii="Times" w:hAnsi="Times"/>
          <w:color w:val="000000"/>
        </w:rPr>
        <w:tab/>
        <w:t xml:space="preserve">Categorical; ordinal </w:t>
      </w: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540"/>
        <w:rPr>
          <w:rFonts w:ascii="Times" w:hAnsi="Times"/>
          <w:color w:val="000000"/>
        </w:rPr>
      </w:pP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Quantitative; ratio</w:t>
      </w: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t>e.</w:t>
      </w:r>
      <w:r>
        <w:rPr>
          <w:rFonts w:ascii="Times" w:hAnsi="Times"/>
          <w:color w:val="000000"/>
        </w:rPr>
        <w:tab/>
        <w:t>Categorical; ordinal.  The response to this question was recorded as a numerical value from 1 to 10.  While the data are numeric</w:t>
      </w:r>
      <w:r w:rsidR="00BC529D">
        <w:rPr>
          <w:rFonts w:ascii="Times" w:hAnsi="Times"/>
          <w:color w:val="000000"/>
        </w:rPr>
        <w:t>al</w:t>
      </w:r>
      <w:r>
        <w:rPr>
          <w:rFonts w:ascii="Times" w:hAnsi="Times"/>
          <w:color w:val="000000"/>
        </w:rPr>
        <w:t xml:space="preserve">, they are not quantitative.  The numerical values from 1 to 10 represent categories that </w:t>
      </w:r>
      <w:r>
        <w:rPr>
          <w:rFonts w:ascii="Times" w:hAnsi="Times"/>
          <w:i/>
          <w:color w:val="000000"/>
        </w:rPr>
        <w:t>order</w:t>
      </w:r>
      <w:r>
        <w:rPr>
          <w:rFonts w:ascii="Times" w:hAnsi="Times"/>
          <w:color w:val="000000"/>
        </w:rPr>
        <w:t xml:space="preserve"> the overall rating somewhere between unacceptable and truly exceptional.  The data may be ordered by response category with a higher number category indicating a higher overall rating.</w:t>
      </w: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0A3550" w:rsidRDefault="000A3550"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t xml:space="preserve">While we prefer the categorical; ordinal answer above, at times statisticians may </w:t>
      </w:r>
      <w:r>
        <w:rPr>
          <w:rFonts w:ascii="Times" w:hAnsi="Times"/>
          <w:i/>
          <w:color w:val="000000"/>
        </w:rPr>
        <w:t>make the assumption</w:t>
      </w:r>
      <w:r>
        <w:rPr>
          <w:rFonts w:ascii="Times" w:hAnsi="Times"/>
          <w:color w:val="000000"/>
        </w:rPr>
        <w:t xml:space="preserve"> that the numeric</w:t>
      </w:r>
      <w:r w:rsidR="00BC529D">
        <w:rPr>
          <w:rFonts w:ascii="Times" w:hAnsi="Times"/>
          <w:color w:val="000000"/>
        </w:rPr>
        <w:t>al</w:t>
      </w:r>
      <w:r>
        <w:rPr>
          <w:rFonts w:ascii="Times" w:hAnsi="Times"/>
          <w:color w:val="000000"/>
        </w:rPr>
        <w:t xml:space="preserve"> responses are equal-interval measures on a quantitative scale from 1 to 10.  When this assumption is made, the data may be considered quantitative with an interval scale of measurement.  In this case, additional statistical computations such as the average overall rating become helpful in summarizing the data.</w:t>
      </w:r>
    </w:p>
    <w:p w:rsidR="00664D3B" w:rsidRDefault="00664D3B"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664D3B" w:rsidRDefault="00664D3B"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664D3B" w:rsidRDefault="00664D3B"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664D3B" w:rsidRDefault="00664D3B" w:rsidP="000A355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12.</w:t>
      </w:r>
      <w:r>
        <w:rPr>
          <w:rFonts w:ascii="Times" w:hAnsi="Times"/>
          <w:color w:val="000000"/>
        </w:rPr>
        <w:tab/>
        <w:t>a.</w:t>
      </w:r>
      <w:r>
        <w:rPr>
          <w:rFonts w:ascii="Times" w:hAnsi="Times"/>
          <w:color w:val="000000"/>
        </w:rPr>
        <w:tab/>
        <w:t xml:space="preserve">The population is all visitors coming to the state of </w:t>
      </w:r>
      <w:smartTag w:uri="urn:schemas-microsoft-com:office:smarttags" w:element="State">
        <w:smartTag w:uri="urn:schemas-microsoft-com:office:smarttags" w:element="place">
          <w:r>
            <w:rPr>
              <w:rFonts w:ascii="Times" w:hAnsi="Times"/>
              <w:color w:val="000000"/>
            </w:rPr>
            <w:t>Hawaii</w:t>
          </w:r>
        </w:smartTag>
      </w:smartTag>
      <w:r>
        <w:rPr>
          <w:rFonts w:ascii="Times" w:hAnsi="Times"/>
          <w:color w:val="000000"/>
        </w:rPr>
        <w:t>.</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Since airline flights carry the vast majority of visitors to the state</w:t>
      </w:r>
      <w:r w:rsidR="00DF3025">
        <w:rPr>
          <w:rFonts w:ascii="Times" w:hAnsi="Times"/>
          <w:color w:val="000000"/>
        </w:rPr>
        <w:t>, the</w:t>
      </w:r>
      <w:r>
        <w:rPr>
          <w:rFonts w:ascii="Times" w:hAnsi="Times"/>
          <w:color w:val="000000"/>
        </w:rPr>
        <w:t xml:space="preserve"> use of questionnaires for passengers during incoming flights is a good way to reach this population.  The questionnaire actually appears on the back of a mandatory plants and animals declaration form that passengers must complete during the incoming flight.  A large percentage of passengers complete the visitor information questionnaire.</w:t>
      </w: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 xml:space="preserve">Questions 1 and 4 provide quantitative data indicating the number of visits and the number of days in </w:t>
      </w:r>
      <w:smartTag w:uri="urn:schemas-microsoft-com:office:smarttags" w:element="State">
        <w:smartTag w:uri="urn:schemas-microsoft-com:office:smarttags" w:element="place">
          <w:r>
            <w:rPr>
              <w:rFonts w:ascii="Times" w:hAnsi="Times"/>
              <w:color w:val="000000"/>
            </w:rPr>
            <w:t>Hawaii</w:t>
          </w:r>
        </w:smartTag>
      </w:smartTag>
      <w:r>
        <w:rPr>
          <w:rFonts w:ascii="Times" w:hAnsi="Times"/>
          <w:color w:val="000000"/>
        </w:rPr>
        <w:t xml:space="preserve">.  Questions 2 and 3 provide </w:t>
      </w:r>
      <w:r w:rsidR="00943488">
        <w:rPr>
          <w:rFonts w:ascii="Times" w:hAnsi="Times"/>
          <w:color w:val="000000"/>
        </w:rPr>
        <w:t>categorical</w:t>
      </w:r>
      <w:r>
        <w:rPr>
          <w:rFonts w:ascii="Times" w:hAnsi="Times"/>
          <w:color w:val="000000"/>
        </w:rPr>
        <w:t xml:space="preserve"> data indicating the categories of reason for the trip and where the visitor plans to stay.</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540E0" w:rsidRDefault="00A2648B" w:rsidP="004540E0">
      <w:pPr>
        <w:tabs>
          <w:tab w:val="left" w:pos="900"/>
          <w:tab w:val="left" w:pos="1260"/>
        </w:tabs>
        <w:ind w:left="504"/>
      </w:pPr>
      <w:r>
        <w:t>13.</w:t>
      </w:r>
      <w:r>
        <w:tab/>
      </w:r>
      <w:r w:rsidR="004540E0">
        <w:t>a.</w:t>
      </w:r>
      <w:r w:rsidR="004540E0">
        <w:tab/>
        <w:t>Federal spending measured in trillions of dollars</w:t>
      </w:r>
    </w:p>
    <w:p w:rsidR="004540E0" w:rsidRDefault="004540E0" w:rsidP="004540E0">
      <w:pPr>
        <w:tabs>
          <w:tab w:val="left" w:pos="900"/>
          <w:tab w:val="left" w:pos="1260"/>
        </w:tabs>
      </w:pPr>
    </w:p>
    <w:p w:rsidR="004540E0" w:rsidRDefault="004540E0" w:rsidP="004540E0">
      <w:pPr>
        <w:tabs>
          <w:tab w:val="left" w:pos="900"/>
          <w:tab w:val="left" w:pos="1260"/>
        </w:tabs>
        <w:ind w:left="504"/>
      </w:pPr>
      <w:r>
        <w:tab/>
        <w:t>b.</w:t>
      </w:r>
      <w:r>
        <w:tab/>
        <w:t>Quantitative</w:t>
      </w:r>
    </w:p>
    <w:p w:rsidR="004540E0" w:rsidRDefault="004540E0" w:rsidP="004540E0">
      <w:pPr>
        <w:tabs>
          <w:tab w:val="left" w:pos="900"/>
          <w:tab w:val="left" w:pos="1260"/>
        </w:tabs>
        <w:ind w:left="504"/>
      </w:pPr>
      <w:r>
        <w:tab/>
      </w:r>
    </w:p>
    <w:p w:rsidR="004540E0" w:rsidRDefault="004540E0" w:rsidP="004540E0">
      <w:pPr>
        <w:tabs>
          <w:tab w:val="left" w:pos="900"/>
          <w:tab w:val="left" w:pos="1260"/>
        </w:tabs>
        <w:ind w:left="504"/>
      </w:pPr>
      <w:r>
        <w:tab/>
        <w:t>c.</w:t>
      </w:r>
      <w:r>
        <w:tab/>
        <w:t>Time series</w:t>
      </w:r>
    </w:p>
    <w:p w:rsidR="004540E0" w:rsidRDefault="004540E0" w:rsidP="004540E0">
      <w:pPr>
        <w:tabs>
          <w:tab w:val="left" w:pos="900"/>
          <w:tab w:val="left" w:pos="1260"/>
        </w:tabs>
        <w:ind w:left="504"/>
      </w:pPr>
    </w:p>
    <w:p w:rsidR="004540E0" w:rsidRDefault="004540E0" w:rsidP="004540E0">
      <w:pPr>
        <w:tabs>
          <w:tab w:val="left" w:pos="900"/>
          <w:tab w:val="left" w:pos="1260"/>
        </w:tabs>
        <w:ind w:left="504"/>
      </w:pPr>
      <w:r>
        <w:tab/>
        <w:t>d.</w:t>
      </w:r>
      <w:r>
        <w:tab/>
        <w:t>Federal spending has increased over time</w:t>
      </w:r>
    </w:p>
    <w:p w:rsidR="00277BB5" w:rsidRDefault="00277BB5">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BA15A5" w:rsidRDefault="007B2510" w:rsidP="00BA15A5">
      <w:pPr>
        <w:tabs>
          <w:tab w:val="left" w:pos="900"/>
          <w:tab w:val="left" w:pos="1260"/>
        </w:tabs>
        <w:ind w:left="540"/>
      </w:pPr>
      <w:r w:rsidRPr="002D4449">
        <w:t>1</w:t>
      </w:r>
      <w:r>
        <w:t>4.</w:t>
      </w:r>
      <w:r>
        <w:tab/>
      </w:r>
      <w:r w:rsidR="00BA15A5">
        <w:t>a.</w:t>
      </w:r>
      <w:r w:rsidR="00BA15A5">
        <w:tab/>
        <w:t>The graph of the time series follows:</w:t>
      </w:r>
    </w:p>
    <w:p w:rsidR="00BA15A5" w:rsidRDefault="00BA15A5" w:rsidP="00BA15A5">
      <w:pPr>
        <w:tabs>
          <w:tab w:val="left" w:pos="900"/>
          <w:tab w:val="left" w:pos="1260"/>
        </w:tabs>
        <w:ind w:left="540"/>
      </w:pPr>
    </w:p>
    <w:p w:rsidR="00BA15A5" w:rsidRDefault="00BA15A5" w:rsidP="00BA15A5">
      <w:pPr>
        <w:tabs>
          <w:tab w:val="left" w:pos="900"/>
          <w:tab w:val="left" w:pos="1260"/>
        </w:tabs>
        <w:ind w:left="540"/>
        <w:jc w:val="center"/>
      </w:pPr>
      <w:r>
        <w:rPr>
          <w:noProof/>
        </w:rPr>
        <w:drawing>
          <wp:inline distT="0" distB="0" distL="0" distR="0" wp14:anchorId="17E4B7E1" wp14:editId="3C6EE76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15A5" w:rsidRDefault="00BA15A5" w:rsidP="00BA15A5">
      <w:pPr>
        <w:tabs>
          <w:tab w:val="left" w:pos="900"/>
          <w:tab w:val="left" w:pos="1260"/>
        </w:tabs>
        <w:ind w:left="540"/>
      </w:pPr>
    </w:p>
    <w:p w:rsidR="00BA15A5" w:rsidRDefault="00BA15A5" w:rsidP="00BA15A5">
      <w:pPr>
        <w:tabs>
          <w:tab w:val="left" w:pos="900"/>
          <w:tab w:val="left" w:pos="1260"/>
        </w:tabs>
        <w:ind w:left="1260" w:hanging="720"/>
      </w:pPr>
      <w:r>
        <w:tab/>
        <w:t>b.</w:t>
      </w:r>
      <w:r>
        <w:tab/>
        <w:t>In 2007 and 2008 Hertz was the clear market share leader. In 2009 and 2010 Hertz and Avis have approximately the same market share. The market share for Dollar appears to be declining.</w:t>
      </w: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p>
    <w:p w:rsidR="00BA15A5" w:rsidRDefault="00BA15A5" w:rsidP="00BA15A5">
      <w:pPr>
        <w:tabs>
          <w:tab w:val="left" w:pos="900"/>
          <w:tab w:val="left" w:pos="1260"/>
        </w:tabs>
        <w:ind w:left="540"/>
      </w:pPr>
      <w:r>
        <w:lastRenderedPageBreak/>
        <w:tab/>
        <w:t>c.</w:t>
      </w:r>
      <w:r>
        <w:tab/>
        <w:t>The bar chart for 2010 is shown below.</w:t>
      </w:r>
    </w:p>
    <w:p w:rsidR="00BA15A5" w:rsidRDefault="00BA15A5" w:rsidP="00BA15A5">
      <w:pPr>
        <w:tabs>
          <w:tab w:val="left" w:pos="900"/>
          <w:tab w:val="left" w:pos="1260"/>
        </w:tabs>
        <w:ind w:left="540"/>
      </w:pPr>
    </w:p>
    <w:p w:rsidR="00BA15A5" w:rsidRDefault="00BA15A5" w:rsidP="00BA15A5">
      <w:pPr>
        <w:tabs>
          <w:tab w:val="left" w:pos="900"/>
          <w:tab w:val="left" w:pos="1260"/>
        </w:tabs>
        <w:ind w:left="540"/>
        <w:jc w:val="center"/>
      </w:pPr>
      <w:r>
        <w:rPr>
          <w:noProof/>
        </w:rPr>
        <w:drawing>
          <wp:inline distT="0" distB="0" distL="0" distR="0" wp14:anchorId="5927EFF5" wp14:editId="6C2D6770">
            <wp:extent cx="4114800" cy="2600960"/>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15A5" w:rsidRDefault="00BA15A5" w:rsidP="00BA15A5">
      <w:pPr>
        <w:tabs>
          <w:tab w:val="left" w:pos="900"/>
          <w:tab w:val="left" w:pos="1260"/>
        </w:tabs>
        <w:ind w:left="540"/>
      </w:pPr>
      <w:r>
        <w:tab/>
      </w:r>
      <w:r>
        <w:tab/>
        <w:t>This chart is based on cross-sectional data.</w:t>
      </w:r>
    </w:p>
    <w:p w:rsidR="00BA15A5" w:rsidRDefault="00BA15A5" w:rsidP="00BA15A5">
      <w:pPr>
        <w:tabs>
          <w:tab w:val="left" w:pos="900"/>
          <w:tab w:val="left" w:pos="1260"/>
        </w:tabs>
        <w:ind w:left="540"/>
      </w:pPr>
    </w:p>
    <w:p w:rsidR="00277BB5" w:rsidRDefault="00277BB5">
      <w:pPr>
        <w:tabs>
          <w:tab w:val="left" w:pos="900"/>
          <w:tab w:val="left" w:pos="1260"/>
        </w:tabs>
        <w:ind w:left="540"/>
      </w:pPr>
      <w:r>
        <w:rPr>
          <w:rFonts w:ascii="Times" w:hAnsi="Times"/>
          <w:color w:val="000000"/>
        </w:rPr>
        <w:t>15.</w:t>
      </w:r>
      <w:r>
        <w:rPr>
          <w:rFonts w:ascii="Times" w:hAnsi="Times"/>
          <w:color w:val="000000"/>
        </w:rPr>
        <w:tab/>
        <w:t>a.</w:t>
      </w:r>
      <w:r>
        <w:rPr>
          <w:rFonts w:ascii="Times" w:hAnsi="Times"/>
          <w:color w:val="000000"/>
        </w:rPr>
        <w:tab/>
      </w:r>
      <w:r>
        <w:t>Quantitative – number of new drugs approved</w:t>
      </w:r>
    </w:p>
    <w:p w:rsidR="00277BB5" w:rsidRDefault="00277BB5">
      <w:pPr>
        <w:tabs>
          <w:tab w:val="left" w:pos="900"/>
          <w:tab w:val="left" w:pos="1260"/>
        </w:tabs>
        <w:ind w:left="540"/>
      </w:pPr>
    </w:p>
    <w:p w:rsidR="00277BB5" w:rsidRDefault="00277BB5">
      <w:pPr>
        <w:tabs>
          <w:tab w:val="left" w:pos="900"/>
          <w:tab w:val="left" w:pos="1260"/>
        </w:tabs>
        <w:ind w:left="540"/>
      </w:pPr>
      <w:r>
        <w:tab/>
        <w:t>b.</w:t>
      </w:r>
      <w:r>
        <w:tab/>
        <w:t xml:space="preserve">Time series </w:t>
      </w:r>
    </w:p>
    <w:p w:rsidR="00277BB5" w:rsidRDefault="00277BB5">
      <w:pPr>
        <w:tabs>
          <w:tab w:val="left" w:pos="900"/>
          <w:tab w:val="left" w:pos="1260"/>
        </w:tabs>
        <w:ind w:left="540"/>
      </w:pPr>
    </w:p>
    <w:p w:rsidR="00277BB5" w:rsidRDefault="00277BB5">
      <w:pPr>
        <w:tabs>
          <w:tab w:val="left" w:pos="900"/>
          <w:tab w:val="left" w:pos="1260"/>
        </w:tabs>
        <w:ind w:left="540"/>
      </w:pPr>
      <w:r>
        <w:tab/>
        <w:t>c.</w:t>
      </w:r>
      <w:r>
        <w:tab/>
      </w:r>
      <w:r w:rsidR="00BF1307">
        <w:t xml:space="preserve">July; </w:t>
      </w:r>
      <w:r w:rsidR="00BF1307" w:rsidRPr="00307521">
        <w:t>1100</w:t>
      </w:r>
      <w:r>
        <w:t xml:space="preserve"> </w:t>
      </w:r>
    </w:p>
    <w:p w:rsidR="00277BB5" w:rsidRDefault="00277BB5">
      <w:pPr>
        <w:tabs>
          <w:tab w:val="left" w:pos="900"/>
          <w:tab w:val="left" w:pos="1260"/>
        </w:tabs>
        <w:ind w:left="540"/>
      </w:pPr>
    </w:p>
    <w:p w:rsidR="00277BB5" w:rsidRDefault="00277BB5">
      <w:pPr>
        <w:tabs>
          <w:tab w:val="left" w:pos="900"/>
          <w:tab w:val="left" w:pos="1260"/>
        </w:tabs>
        <w:ind w:left="540"/>
      </w:pPr>
      <w:r>
        <w:tab/>
      </w:r>
      <w:r w:rsidR="00BF1307">
        <w:t>d.</w:t>
      </w:r>
      <w:r w:rsidR="00BF1307">
        <w:tab/>
      </w:r>
      <w:r w:rsidR="00BF1307" w:rsidRPr="00307521">
        <w:t>2.9%;  Yes, because most recreational boating takes place during the summer months.</w:t>
      </w:r>
    </w:p>
    <w:p w:rsidR="00277BB5" w:rsidRDefault="00277BB5">
      <w:pPr>
        <w:tabs>
          <w:tab w:val="left" w:pos="900"/>
          <w:tab w:val="left" w:pos="1260"/>
        </w:tabs>
        <w:ind w:left="540"/>
      </w:pPr>
    </w:p>
    <w:p w:rsidR="00BF1307" w:rsidRDefault="00277BB5">
      <w:pPr>
        <w:tabs>
          <w:tab w:val="left" w:pos="900"/>
          <w:tab w:val="left" w:pos="1260"/>
        </w:tabs>
        <w:ind w:left="1260" w:hanging="720"/>
      </w:pPr>
      <w:r>
        <w:tab/>
        <w:t>e.</w:t>
      </w:r>
      <w:r>
        <w:tab/>
      </w:r>
      <w:r w:rsidR="00BF1307" w:rsidRPr="00307521">
        <w:t>The bar graph follows the shape of a bell curve.</w:t>
      </w:r>
    </w:p>
    <w:p w:rsidR="00BF1307" w:rsidRDefault="00BF1307">
      <w:pPr>
        <w:tabs>
          <w:tab w:val="left" w:pos="900"/>
          <w:tab w:val="left" w:pos="1260"/>
        </w:tabs>
        <w:ind w:left="1260" w:hanging="720"/>
      </w:pPr>
    </w:p>
    <w:p w:rsidR="00277BB5" w:rsidRDefault="00277BB5" w:rsidP="00664D3B">
      <w:pPr>
        <w:tabs>
          <w:tab w:val="left" w:pos="1260"/>
        </w:tabs>
        <w:ind w:left="1260" w:hanging="720"/>
      </w:pPr>
      <w:r>
        <w:rPr>
          <w:rFonts w:ascii="Times" w:hAnsi="Times"/>
          <w:color w:val="000000"/>
        </w:rPr>
        <w:t>16.</w:t>
      </w:r>
      <w:r>
        <w:rPr>
          <w:rFonts w:ascii="Times" w:hAnsi="Times"/>
          <w:color w:val="000000"/>
        </w:rPr>
        <w:tab/>
      </w:r>
      <w:r w:rsidR="00664D3B">
        <w:t xml:space="preserve">The answer to this exercise depends on updating the time series of the average price per gallon of conventional regular gasoline as shown in Figure 1.1.  Contact the website </w:t>
      </w:r>
      <w:hyperlink r:id="rId10" w:history="1">
        <w:r w:rsidR="00664D3B">
          <w:rPr>
            <w:rStyle w:val="Hyperlink"/>
          </w:rPr>
          <w:t>www.eia.doe.gov</w:t>
        </w:r>
      </w:hyperlink>
      <w:r w:rsidR="00664D3B">
        <w:t xml:space="preserve"> to obtain the most recent time series data.  The answer should focus on the most recent changes or trend in the average price per gallon.</w:t>
      </w:r>
    </w:p>
    <w:p w:rsidR="00664D3B" w:rsidRDefault="00664D3B" w:rsidP="00664D3B">
      <w:pPr>
        <w:tabs>
          <w:tab w:val="left" w:pos="1260"/>
        </w:tabs>
        <w:ind w:left="1260" w:hanging="720"/>
        <w:rPr>
          <w:rFonts w:ascii="Times" w:hAnsi="Times"/>
          <w:color w:val="000000"/>
        </w:rPr>
      </w:pPr>
    </w:p>
    <w:p w:rsidR="00277BB5" w:rsidRDefault="00277BB5" w:rsidP="00664D3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17.</w:t>
      </w:r>
      <w:r>
        <w:rPr>
          <w:rFonts w:ascii="Times" w:hAnsi="Times"/>
          <w:color w:val="000000"/>
        </w:rPr>
        <w:tab/>
      </w:r>
      <w:r>
        <w:rPr>
          <w:rFonts w:ascii="Times" w:hAnsi="Times"/>
          <w:color w:val="000000"/>
        </w:rPr>
        <w:tab/>
        <w:t>Internal data on salaries of other employees can be obtained from the personnel department.  External data might be obtained from the Department of Labor or industry associations.</w:t>
      </w:r>
    </w:p>
    <w:p w:rsidR="00277BB5" w:rsidRDefault="00277BB5" w:rsidP="00664D3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720"/>
        <w:rPr>
          <w:rFonts w:ascii="Times" w:hAnsi="Times"/>
          <w:color w:val="000000"/>
        </w:rPr>
      </w:pPr>
    </w:p>
    <w:p w:rsidR="00277BB5" w:rsidRDefault="00277BB5" w:rsidP="00664D3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18.</w:t>
      </w:r>
      <w:r>
        <w:rPr>
          <w:rFonts w:ascii="Times" w:hAnsi="Times"/>
          <w:color w:val="000000"/>
        </w:rPr>
        <w:tab/>
        <w:t>a.</w:t>
      </w:r>
      <w:r>
        <w:rPr>
          <w:rFonts w:ascii="Times" w:hAnsi="Times"/>
          <w:color w:val="000000"/>
        </w:rPr>
        <w:tab/>
      </w:r>
      <w:r w:rsidR="00BF1307" w:rsidRPr="00A5040D">
        <w:t>684/1021; or approximately 67%</w:t>
      </w: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pPr>
      <w:r>
        <w:rPr>
          <w:rFonts w:ascii="Times" w:hAnsi="Times"/>
          <w:color w:val="000000"/>
        </w:rPr>
        <w:tab/>
        <w:t>b.</w:t>
      </w:r>
      <w:r>
        <w:rPr>
          <w:rFonts w:ascii="Times" w:hAnsi="Times"/>
          <w:color w:val="000000"/>
        </w:rPr>
        <w:tab/>
      </w:r>
      <w:r w:rsidR="00BF1307">
        <w:t>612</w:t>
      </w: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pPr>
      <w:r>
        <w:tab/>
        <w:t>c.</w:t>
      </w:r>
      <w:r>
        <w:tab/>
      </w:r>
      <w:r w:rsidR="00943488">
        <w:t>Categorical</w:t>
      </w:r>
      <w:r>
        <w:t xml:space="preserve"> </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19.</w:t>
      </w:r>
      <w:r>
        <w:rPr>
          <w:rFonts w:ascii="Times" w:hAnsi="Times"/>
          <w:color w:val="000000"/>
        </w:rPr>
        <w:tab/>
        <w:t>a.</w:t>
      </w:r>
      <w:r>
        <w:rPr>
          <w:rFonts w:ascii="Times" w:hAnsi="Times"/>
          <w:color w:val="000000"/>
        </w:rPr>
        <w:tab/>
        <w:t xml:space="preserve">All subscribers of Business Week in </w:t>
      </w:r>
      <w:smartTag w:uri="urn:schemas-microsoft-com:office:smarttags" w:element="place">
        <w:r>
          <w:rPr>
            <w:rFonts w:ascii="Times" w:hAnsi="Times"/>
            <w:color w:val="000000"/>
          </w:rPr>
          <w:t>North America</w:t>
        </w:r>
      </w:smartTag>
      <w:r>
        <w:rPr>
          <w:rFonts w:ascii="Times" w:hAnsi="Times"/>
          <w:color w:val="000000"/>
        </w:rPr>
        <w:t xml:space="preserve"> at the time the survey was conducted.</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Quantitative</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943488">
        <w:rPr>
          <w:rFonts w:ascii="Times" w:hAnsi="Times"/>
          <w:color w:val="000000"/>
        </w:rPr>
        <w:t>Categorical</w:t>
      </w:r>
      <w:r>
        <w:rPr>
          <w:rFonts w:ascii="Times" w:hAnsi="Times"/>
          <w:color w:val="000000"/>
        </w:rPr>
        <w:t xml:space="preserve"> (yes or no)</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Crossectional - all the data relate to the same time.</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e.</w:t>
      </w:r>
      <w:r>
        <w:rPr>
          <w:rFonts w:ascii="Times" w:hAnsi="Times"/>
          <w:color w:val="000000"/>
        </w:rPr>
        <w:tab/>
        <w:t>Using the sample results, we could infer or estimate 59% of the population of subscribers have an annual income of $75,000 or more and 50% of the population of subscribers have an American Express credit card.</w:t>
      </w:r>
    </w:p>
    <w:p w:rsidR="00C61E9C" w:rsidRDefault="00C61E9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20.</w:t>
      </w:r>
      <w:r>
        <w:rPr>
          <w:rFonts w:ascii="Times" w:hAnsi="Times"/>
          <w:color w:val="000000"/>
        </w:rPr>
        <w:tab/>
        <w:t>a.</w:t>
      </w:r>
      <w:r>
        <w:rPr>
          <w:rFonts w:ascii="Times" w:hAnsi="Times"/>
          <w:color w:val="000000"/>
        </w:rPr>
        <w:tab/>
        <w:t>43% of managers were bullish or very bullish.</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21% of managers expected health care to be the leading industry over the next 12 months.</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We estimate the average 12-month return estimate for the population of investment managers to be 11.2%.</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We estimate the average over the population of investment managers to be 2.5 years.</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21.</w:t>
      </w:r>
      <w:r>
        <w:rPr>
          <w:rFonts w:ascii="Times" w:hAnsi="Times"/>
          <w:color w:val="000000"/>
        </w:rPr>
        <w:tab/>
        <w:t>a.</w:t>
      </w:r>
      <w:r>
        <w:rPr>
          <w:rFonts w:ascii="Times" w:hAnsi="Times"/>
          <w:color w:val="000000"/>
        </w:rPr>
        <w:tab/>
        <w:t>The two populations are the population of women whose mothers took the drug DES during pregnancy and the population of women whose mothers did not take the drug DES during pregnancy.</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It was a survey.</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63 / </w:t>
      </w:r>
      <w:r w:rsidR="00DF3025">
        <w:rPr>
          <w:rFonts w:ascii="Times" w:hAnsi="Times"/>
          <w:color w:val="000000"/>
        </w:rPr>
        <w:t>3.980 = 15.8</w:t>
      </w:r>
      <w:r>
        <w:rPr>
          <w:rFonts w:ascii="Times" w:hAnsi="Times"/>
          <w:color w:val="000000"/>
        </w:rPr>
        <w:t xml:space="preserve"> women out of each 1000 developed tissue abnormalities.</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The article reported “twice” as many abnormalities in the women whose mothers had taken DES during pregnancy.  Thus, a rough estimate would be 15.8/2 = 7.9 abnormalities per 1000 women whose mothers had </w:t>
      </w:r>
      <w:r>
        <w:rPr>
          <w:rFonts w:ascii="Times" w:hAnsi="Times"/>
          <w:i/>
          <w:color w:val="000000"/>
        </w:rPr>
        <w:t>not</w:t>
      </w:r>
      <w:r>
        <w:rPr>
          <w:rFonts w:ascii="Times" w:hAnsi="Times"/>
          <w:color w:val="000000"/>
        </w:rPr>
        <w:t xml:space="preserve"> taken DES during pregnancy.</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t>In many situations, disease occurrences are rare and affect only a small portion of the population.  Large samples are needed to collect data on a reasonable number of cases where the disease exists.</w:t>
      </w: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540E0" w:rsidRDefault="00A2648B" w:rsidP="004540E0">
      <w:pPr>
        <w:tabs>
          <w:tab w:val="left" w:pos="900"/>
          <w:tab w:val="left" w:pos="1260"/>
        </w:tabs>
        <w:ind w:left="504"/>
      </w:pPr>
      <w:r>
        <w:t>22.</w:t>
      </w:r>
      <w:r>
        <w:tab/>
      </w:r>
      <w:r w:rsidR="004540E0">
        <w:t>a.</w:t>
      </w:r>
      <w:r w:rsidR="004540E0">
        <w:tab/>
        <w:t>The population consists of all customers of the chain’s stores in Charlotte, North Carolina.</w:t>
      </w:r>
    </w:p>
    <w:p w:rsidR="004540E0" w:rsidRDefault="004540E0" w:rsidP="004540E0">
      <w:pPr>
        <w:tabs>
          <w:tab w:val="left" w:pos="900"/>
          <w:tab w:val="left" w:pos="1260"/>
        </w:tabs>
        <w:ind w:left="504"/>
      </w:pPr>
    </w:p>
    <w:p w:rsidR="004540E0" w:rsidRDefault="004540E0" w:rsidP="004540E0">
      <w:pPr>
        <w:tabs>
          <w:tab w:val="left" w:pos="900"/>
          <w:tab w:val="left" w:pos="1260"/>
        </w:tabs>
        <w:ind w:left="504"/>
      </w:pPr>
      <w:r>
        <w:tab/>
        <w:t>b.</w:t>
      </w:r>
      <w:r>
        <w:tab/>
        <w:t xml:space="preserve">Some of the ways that could </w:t>
      </w:r>
      <w:r w:rsidR="00980717">
        <w:t xml:space="preserve">be </w:t>
      </w:r>
      <w:r>
        <w:t>used to collect the data are as follows:</w:t>
      </w:r>
    </w:p>
    <w:p w:rsidR="004540E0" w:rsidRDefault="004540E0" w:rsidP="004540E0">
      <w:pPr>
        <w:tabs>
          <w:tab w:val="left" w:pos="900"/>
          <w:tab w:val="left" w:pos="1260"/>
        </w:tabs>
        <w:ind w:left="504"/>
      </w:pPr>
    </w:p>
    <w:p w:rsidR="004540E0" w:rsidRDefault="004540E0" w:rsidP="004540E0">
      <w:pPr>
        <w:numPr>
          <w:ilvl w:val="0"/>
          <w:numId w:val="5"/>
        </w:numPr>
        <w:tabs>
          <w:tab w:val="left" w:pos="900"/>
          <w:tab w:val="left" w:pos="1260"/>
        </w:tabs>
        <w:ind w:left="1260" w:firstLine="0"/>
      </w:pPr>
      <w:r>
        <w:t>Customers entering or leaving the store could be surveyed</w:t>
      </w:r>
    </w:p>
    <w:p w:rsidR="004540E0" w:rsidRDefault="004540E0" w:rsidP="004540E0">
      <w:pPr>
        <w:tabs>
          <w:tab w:val="left" w:pos="900"/>
          <w:tab w:val="left" w:pos="1260"/>
        </w:tabs>
        <w:ind w:left="1260"/>
      </w:pPr>
    </w:p>
    <w:p w:rsidR="004540E0" w:rsidRDefault="004540E0" w:rsidP="004540E0">
      <w:pPr>
        <w:numPr>
          <w:ilvl w:val="0"/>
          <w:numId w:val="5"/>
        </w:numPr>
        <w:tabs>
          <w:tab w:val="left" w:pos="900"/>
          <w:tab w:val="left" w:pos="1260"/>
        </w:tabs>
        <w:ind w:left="1260" w:firstLine="0"/>
      </w:pPr>
      <w:r>
        <w:t>A survey could be mailed to customers who have a shopper’s club card for the stores</w:t>
      </w:r>
    </w:p>
    <w:p w:rsidR="004540E0" w:rsidRDefault="004540E0" w:rsidP="004540E0">
      <w:pPr>
        <w:tabs>
          <w:tab w:val="left" w:pos="900"/>
          <w:tab w:val="left" w:pos="1260"/>
        </w:tabs>
        <w:ind w:left="1260"/>
      </w:pPr>
    </w:p>
    <w:p w:rsidR="004540E0" w:rsidRDefault="004540E0" w:rsidP="004540E0">
      <w:pPr>
        <w:numPr>
          <w:ilvl w:val="0"/>
          <w:numId w:val="5"/>
        </w:numPr>
        <w:tabs>
          <w:tab w:val="left" w:pos="900"/>
          <w:tab w:val="left" w:pos="1260"/>
        </w:tabs>
        <w:ind w:left="1260" w:firstLine="0"/>
      </w:pPr>
      <w:r>
        <w:t xml:space="preserve">Customers could be given a printed survey when they check out </w:t>
      </w:r>
    </w:p>
    <w:p w:rsidR="004540E0" w:rsidRDefault="004540E0" w:rsidP="004540E0">
      <w:pPr>
        <w:tabs>
          <w:tab w:val="left" w:pos="900"/>
          <w:tab w:val="left" w:pos="1260"/>
        </w:tabs>
        <w:ind w:left="1260"/>
      </w:pPr>
    </w:p>
    <w:p w:rsidR="00A2648B" w:rsidRDefault="004540E0" w:rsidP="004540E0">
      <w:pPr>
        <w:numPr>
          <w:ilvl w:val="0"/>
          <w:numId w:val="5"/>
        </w:numPr>
        <w:tabs>
          <w:tab w:val="left" w:pos="-450"/>
          <w:tab w:val="left" w:pos="900"/>
        </w:tabs>
        <w:ind w:left="1440" w:hanging="180"/>
      </w:pPr>
      <w:r>
        <w:t>Customers could be given a coupon that asks them to complete a brief on-line survey; if they do, they will receive a 5% discount on their next shopping trip.</w:t>
      </w:r>
    </w:p>
    <w:p w:rsidR="00277BB5" w:rsidRDefault="00277BB5" w:rsidP="00A2648B">
      <w:pPr>
        <w:tabs>
          <w:tab w:val="left" w:pos="-936"/>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AF35A3" w:rsidRPr="00AF35A3" w:rsidRDefault="00277BB5" w:rsidP="00AF35A3">
      <w:pPr>
        <w:tabs>
          <w:tab w:val="left" w:pos="-936"/>
          <w:tab w:val="left" w:pos="-36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r w:rsidRPr="00AF35A3">
        <w:rPr>
          <w:color w:val="000000"/>
        </w:rPr>
        <w:t>23.</w:t>
      </w:r>
      <w:r w:rsidRPr="00AF35A3">
        <w:rPr>
          <w:color w:val="000000"/>
        </w:rPr>
        <w:tab/>
      </w:r>
      <w:r w:rsidR="00AF35A3" w:rsidRPr="00AF35A3">
        <w:t>a.</w:t>
      </w:r>
      <w:r w:rsidR="00AF35A3" w:rsidRPr="00AF35A3">
        <w:tab/>
        <w:t>This finding is applicable to the population of all American adults.</w:t>
      </w:r>
    </w:p>
    <w:p w:rsidR="00AF35A3" w:rsidRDefault="00AF35A3" w:rsidP="00AF35A3">
      <w:pPr>
        <w:tabs>
          <w:tab w:val="left" w:pos="-360"/>
          <w:tab w:val="left" w:pos="904"/>
          <w:tab w:val="left" w:pos="1260"/>
        </w:tabs>
        <w:ind w:left="1260" w:hanging="720"/>
      </w:pPr>
    </w:p>
    <w:p w:rsidR="00AF35A3" w:rsidRDefault="00AF35A3" w:rsidP="00AF35A3">
      <w:pPr>
        <w:tabs>
          <w:tab w:val="left" w:pos="-360"/>
          <w:tab w:val="left" w:pos="904"/>
          <w:tab w:val="left" w:pos="1260"/>
        </w:tabs>
        <w:ind w:left="1260" w:hanging="720"/>
      </w:pPr>
      <w:r>
        <w:tab/>
      </w:r>
      <w:r w:rsidRPr="00AF35A3">
        <w:t>b.</w:t>
      </w:r>
      <w:r>
        <w:tab/>
      </w:r>
      <w:r w:rsidRPr="00AF35A3">
        <w:t>This finding is applicable to the population of American adults that own a cellphone</w:t>
      </w:r>
      <w:r>
        <w:t xml:space="preserve"> </w:t>
      </w:r>
      <w:r w:rsidRPr="00AF35A3">
        <w:t>and/or a tablet computer.</w:t>
      </w:r>
    </w:p>
    <w:p w:rsidR="00AF35A3" w:rsidRPr="00AF35A3" w:rsidRDefault="00AF35A3" w:rsidP="00AF35A3">
      <w:pPr>
        <w:tabs>
          <w:tab w:val="left" w:pos="-360"/>
          <w:tab w:val="left" w:pos="904"/>
          <w:tab w:val="left" w:pos="1260"/>
        </w:tabs>
        <w:ind w:left="1260" w:hanging="720"/>
      </w:pPr>
    </w:p>
    <w:p w:rsidR="00AF35A3" w:rsidRDefault="00AF35A3" w:rsidP="00AF35A3">
      <w:pPr>
        <w:tabs>
          <w:tab w:val="left" w:pos="-360"/>
          <w:tab w:val="left" w:pos="904"/>
          <w:tab w:val="left" w:pos="1260"/>
        </w:tabs>
        <w:ind w:left="1260" w:hanging="720"/>
      </w:pPr>
      <w:r>
        <w:tab/>
      </w:r>
      <w:r w:rsidRPr="00AF35A3">
        <w:t>c.</w:t>
      </w:r>
      <w:r>
        <w:tab/>
        <w:t>T</w:t>
      </w:r>
      <w:r w:rsidRPr="00AF35A3">
        <w:t>hey conducted a sample survey.  It would be way too costly to survey all American adults or all American adults who own cellphones and/or tablet computers.  As we</w:t>
      </w:r>
      <w:r>
        <w:t xml:space="preserve"> </w:t>
      </w:r>
      <w:r w:rsidRPr="00AF35A3">
        <w:t>will see later in the text, very good results can be obtained using a sample survey.</w:t>
      </w:r>
      <w:r w:rsidRPr="00AF35A3">
        <w:tab/>
      </w:r>
    </w:p>
    <w:p w:rsidR="00AF35A3" w:rsidRPr="00AF35A3" w:rsidRDefault="00AF35A3" w:rsidP="00AF35A3">
      <w:pPr>
        <w:tabs>
          <w:tab w:val="left" w:pos="-360"/>
          <w:tab w:val="left" w:pos="904"/>
          <w:tab w:val="left" w:pos="1260"/>
        </w:tabs>
        <w:ind w:left="1260" w:hanging="720"/>
      </w:pPr>
    </w:p>
    <w:p w:rsidR="00AF35A3" w:rsidRPr="00AF35A3" w:rsidRDefault="00AF35A3" w:rsidP="00AF35A3">
      <w:pPr>
        <w:tabs>
          <w:tab w:val="left" w:pos="-360"/>
          <w:tab w:val="left" w:pos="904"/>
          <w:tab w:val="left" w:pos="1260"/>
        </w:tabs>
        <w:ind w:left="1260" w:hanging="720"/>
      </w:pPr>
      <w:r>
        <w:tab/>
      </w:r>
      <w:r w:rsidRPr="00AF35A3">
        <w:t>d.</w:t>
      </w:r>
      <w:r>
        <w:tab/>
      </w:r>
      <w:r w:rsidRPr="00AF35A3">
        <w:t>These results should be quite interesting to restaurant owners.  It suggests that it would</w:t>
      </w:r>
      <w:r>
        <w:t xml:space="preserve"> </w:t>
      </w:r>
      <w:r w:rsidRPr="00AF35A3">
        <w:t>be worthwhile for them to have a website and to consider advertising through an</w:t>
      </w:r>
      <w:r>
        <w:t xml:space="preserve"> </w:t>
      </w:r>
      <w:r w:rsidRPr="00AF35A3">
        <w:t>internet search company, such as Google.</w:t>
      </w:r>
    </w:p>
    <w:p w:rsidR="00277BB5" w:rsidRDefault="00277BB5" w:rsidP="00AF35A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F35A3" w:rsidRDefault="00AF35A3" w:rsidP="00AF35A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F35A3" w:rsidRDefault="00AF35A3" w:rsidP="00AF35A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24.</w:t>
      </w:r>
      <w:r>
        <w:rPr>
          <w:rFonts w:ascii="Times" w:hAnsi="Times"/>
          <w:color w:val="000000"/>
        </w:rPr>
        <w:tab/>
        <w:t>a.</w:t>
      </w:r>
      <w:r>
        <w:rPr>
          <w:rFonts w:ascii="Times" w:hAnsi="Times"/>
          <w:color w:val="000000"/>
        </w:rPr>
        <w:tab/>
        <w:t>This is a statistically correct descriptive statistic for the sample.</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An incorrect generalization since the data was not collected for the entire population.</w:t>
      </w:r>
    </w:p>
    <w:p w:rsidR="00BF1307" w:rsidRDefault="00BF13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An acceptable statistical inference based on the use of the word “estimate.”</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While this statement is true for the sample, it is not a justifiable conclusion for the entire population.</w:t>
      </w:r>
    </w:p>
    <w:p w:rsidR="00277BB5" w:rsidRDefault="00277BB5">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77BB5" w:rsidRDefault="00277BB5">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t>This statement is not statistically supportable.  While it is true for the particular sample observed, it is entirely possible and even very likely that at least some students will be outside the 65 to 90 range of grades.</w:t>
      </w:r>
    </w:p>
    <w:p w:rsidR="004445D8" w:rsidRDefault="004445D8">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445D8" w:rsidRDefault="004445D8" w:rsidP="004445D8">
      <w:pPr>
        <w:tabs>
          <w:tab w:val="left" w:pos="900"/>
          <w:tab w:val="left" w:pos="1260"/>
        </w:tabs>
        <w:ind w:left="1260" w:hanging="720"/>
        <w:jc w:val="both"/>
      </w:pPr>
      <w:r>
        <w:rPr>
          <w:rFonts w:ascii="Times" w:hAnsi="Times"/>
          <w:color w:val="000000"/>
        </w:rPr>
        <w:t>25.</w:t>
      </w:r>
      <w:r>
        <w:rPr>
          <w:rFonts w:ascii="Times" w:hAnsi="Times"/>
          <w:color w:val="000000"/>
        </w:rPr>
        <w:tab/>
      </w:r>
      <w:r w:rsidRPr="00D14FFD">
        <w:t>a.</w:t>
      </w:r>
      <w:r>
        <w:tab/>
        <w:t>T</w:t>
      </w:r>
      <w:r w:rsidRPr="00D14FFD">
        <w:t>here are five variables:  Exchange, Ticker Symbol, Market Cap, Price/Earnings</w:t>
      </w:r>
      <w:r>
        <w:t xml:space="preserve"> </w:t>
      </w:r>
      <w:r w:rsidRPr="00D14FFD">
        <w:t>Ratio and Gross Profit Margin.</w:t>
      </w:r>
    </w:p>
    <w:p w:rsidR="004445D8" w:rsidRDefault="004445D8" w:rsidP="004445D8">
      <w:pPr>
        <w:tabs>
          <w:tab w:val="left" w:pos="900"/>
          <w:tab w:val="left" w:pos="1260"/>
        </w:tabs>
        <w:ind w:left="540"/>
        <w:jc w:val="both"/>
      </w:pPr>
    </w:p>
    <w:p w:rsidR="004445D8" w:rsidRPr="00D14FFD" w:rsidRDefault="004445D8" w:rsidP="004445D8">
      <w:pPr>
        <w:tabs>
          <w:tab w:val="left" w:pos="900"/>
          <w:tab w:val="left" w:pos="1260"/>
        </w:tabs>
        <w:ind w:left="540"/>
        <w:jc w:val="both"/>
      </w:pPr>
      <w:r>
        <w:tab/>
      </w:r>
      <w:r w:rsidRPr="00D14FFD">
        <w:t>b.</w:t>
      </w:r>
      <w:r>
        <w:tab/>
      </w:r>
      <w:r w:rsidR="00943488">
        <w:t>Categorical</w:t>
      </w:r>
      <w:r w:rsidRPr="00D14FFD">
        <w:t xml:space="preserve"> variables:  Exchange and Ticker Symbol</w:t>
      </w:r>
    </w:p>
    <w:p w:rsidR="004445D8" w:rsidRDefault="004445D8" w:rsidP="004445D8">
      <w:pPr>
        <w:tabs>
          <w:tab w:val="left" w:pos="900"/>
          <w:tab w:val="left" w:pos="1260"/>
        </w:tabs>
        <w:ind w:left="540"/>
        <w:jc w:val="both"/>
      </w:pPr>
    </w:p>
    <w:p w:rsidR="004445D8" w:rsidRDefault="004445D8" w:rsidP="004445D8">
      <w:pPr>
        <w:tabs>
          <w:tab w:val="left" w:pos="900"/>
          <w:tab w:val="left" w:pos="1260"/>
        </w:tabs>
        <w:ind w:left="540"/>
        <w:jc w:val="both"/>
      </w:pPr>
      <w:r>
        <w:tab/>
      </w:r>
      <w:r>
        <w:tab/>
      </w:r>
      <w:r w:rsidRPr="00D14FFD">
        <w:t>Quantitative variables:  Market Cap, Price/Earnings Ratio, Gross Profit Margin</w:t>
      </w:r>
    </w:p>
    <w:p w:rsidR="004445D8" w:rsidRDefault="004445D8" w:rsidP="004445D8">
      <w:pPr>
        <w:tabs>
          <w:tab w:val="left" w:pos="900"/>
          <w:tab w:val="left" w:pos="1260"/>
        </w:tabs>
        <w:ind w:left="540"/>
        <w:jc w:val="both"/>
      </w:pPr>
    </w:p>
    <w:p w:rsidR="004445D8" w:rsidRDefault="004445D8" w:rsidP="004445D8">
      <w:pPr>
        <w:tabs>
          <w:tab w:val="left" w:pos="900"/>
          <w:tab w:val="left" w:pos="1260"/>
        </w:tabs>
        <w:ind w:left="540"/>
        <w:jc w:val="both"/>
      </w:pPr>
      <w:r>
        <w:tab/>
      </w:r>
      <w:r w:rsidRPr="00D14FFD">
        <w:t>c.</w:t>
      </w:r>
      <w:r>
        <w:tab/>
      </w:r>
      <w:r w:rsidRPr="00D14FFD">
        <w:t>Exchange variable:</w:t>
      </w:r>
    </w:p>
    <w:p w:rsidR="0004479B" w:rsidRDefault="0004479B" w:rsidP="004445D8">
      <w:pPr>
        <w:tabs>
          <w:tab w:val="left" w:pos="900"/>
          <w:tab w:val="left" w:pos="1260"/>
        </w:tabs>
        <w:ind w:left="540"/>
        <w:jc w:val="both"/>
      </w:pPr>
    </w:p>
    <w:tbl>
      <w:tblPr>
        <w:tblStyle w:val="TableGrid"/>
        <w:tblW w:w="423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70"/>
        <w:gridCol w:w="1260"/>
        <w:gridCol w:w="1800"/>
      </w:tblGrid>
      <w:tr w:rsidR="0004479B">
        <w:tc>
          <w:tcPr>
            <w:tcW w:w="1170" w:type="dxa"/>
            <w:tcBorders>
              <w:bottom w:val="single" w:sz="4" w:space="0" w:color="auto"/>
            </w:tcBorders>
          </w:tcPr>
          <w:p w:rsidR="0004479B" w:rsidRDefault="0004479B" w:rsidP="0004479B">
            <w:pPr>
              <w:tabs>
                <w:tab w:val="left" w:pos="900"/>
                <w:tab w:val="left" w:pos="1260"/>
              </w:tabs>
              <w:jc w:val="both"/>
            </w:pPr>
            <w:r>
              <w:t>Exchange</w:t>
            </w:r>
          </w:p>
        </w:tc>
        <w:tc>
          <w:tcPr>
            <w:tcW w:w="1260" w:type="dxa"/>
            <w:tcBorders>
              <w:bottom w:val="single" w:sz="4" w:space="0" w:color="auto"/>
            </w:tcBorders>
          </w:tcPr>
          <w:p w:rsidR="0004479B" w:rsidRDefault="0004479B" w:rsidP="0004479B">
            <w:pPr>
              <w:tabs>
                <w:tab w:val="left" w:pos="900"/>
                <w:tab w:val="left" w:pos="1260"/>
              </w:tabs>
              <w:jc w:val="center"/>
            </w:pPr>
            <w:r>
              <w:t>Frequency</w:t>
            </w:r>
          </w:p>
        </w:tc>
        <w:tc>
          <w:tcPr>
            <w:tcW w:w="1800" w:type="dxa"/>
            <w:tcBorders>
              <w:bottom w:val="single" w:sz="4" w:space="0" w:color="auto"/>
            </w:tcBorders>
          </w:tcPr>
          <w:p w:rsidR="0004479B" w:rsidRDefault="0004479B" w:rsidP="004445D8">
            <w:pPr>
              <w:tabs>
                <w:tab w:val="left" w:pos="900"/>
                <w:tab w:val="left" w:pos="1260"/>
              </w:tabs>
              <w:jc w:val="both"/>
            </w:pPr>
            <w:r>
              <w:t>Percent Frequency</w:t>
            </w:r>
          </w:p>
        </w:tc>
      </w:tr>
      <w:tr w:rsidR="0004479B">
        <w:tc>
          <w:tcPr>
            <w:tcW w:w="1170" w:type="dxa"/>
            <w:tcBorders>
              <w:top w:val="single" w:sz="4" w:space="0" w:color="auto"/>
            </w:tcBorders>
          </w:tcPr>
          <w:p w:rsidR="0004479B" w:rsidRDefault="0004479B" w:rsidP="004445D8">
            <w:pPr>
              <w:tabs>
                <w:tab w:val="left" w:pos="900"/>
                <w:tab w:val="left" w:pos="1260"/>
              </w:tabs>
              <w:jc w:val="both"/>
            </w:pPr>
            <w:r>
              <w:t>AMEX</w:t>
            </w:r>
          </w:p>
        </w:tc>
        <w:tc>
          <w:tcPr>
            <w:tcW w:w="1260" w:type="dxa"/>
            <w:tcBorders>
              <w:top w:val="single" w:sz="4" w:space="0" w:color="auto"/>
            </w:tcBorders>
          </w:tcPr>
          <w:p w:rsidR="0004479B" w:rsidRDefault="0004479B" w:rsidP="0004479B">
            <w:pPr>
              <w:tabs>
                <w:tab w:val="left" w:pos="900"/>
                <w:tab w:val="left" w:pos="1260"/>
              </w:tabs>
              <w:jc w:val="center"/>
            </w:pPr>
            <w:r>
              <w:t xml:space="preserve">  5</w:t>
            </w:r>
          </w:p>
        </w:tc>
        <w:tc>
          <w:tcPr>
            <w:tcW w:w="1800" w:type="dxa"/>
            <w:tcBorders>
              <w:top w:val="single" w:sz="4" w:space="0" w:color="auto"/>
            </w:tcBorders>
          </w:tcPr>
          <w:p w:rsidR="0004479B" w:rsidRDefault="0004479B" w:rsidP="004445D8">
            <w:pPr>
              <w:tabs>
                <w:tab w:val="left" w:pos="900"/>
                <w:tab w:val="left" w:pos="1260"/>
              </w:tabs>
              <w:jc w:val="both"/>
            </w:pPr>
            <w:r>
              <w:t>(5/25)   20%</w:t>
            </w:r>
          </w:p>
        </w:tc>
      </w:tr>
      <w:tr w:rsidR="0004479B">
        <w:tc>
          <w:tcPr>
            <w:tcW w:w="1170" w:type="dxa"/>
          </w:tcPr>
          <w:p w:rsidR="0004479B" w:rsidRDefault="0004479B" w:rsidP="004445D8">
            <w:pPr>
              <w:tabs>
                <w:tab w:val="left" w:pos="900"/>
                <w:tab w:val="left" w:pos="1260"/>
              </w:tabs>
              <w:jc w:val="both"/>
            </w:pPr>
            <w:r>
              <w:t>NYSE</w:t>
            </w:r>
          </w:p>
        </w:tc>
        <w:tc>
          <w:tcPr>
            <w:tcW w:w="1260" w:type="dxa"/>
          </w:tcPr>
          <w:p w:rsidR="0004479B" w:rsidRDefault="0004479B" w:rsidP="0004479B">
            <w:pPr>
              <w:tabs>
                <w:tab w:val="left" w:pos="900"/>
                <w:tab w:val="left" w:pos="1260"/>
              </w:tabs>
              <w:jc w:val="center"/>
            </w:pPr>
            <w:r>
              <w:t xml:space="preserve">  3</w:t>
            </w:r>
          </w:p>
        </w:tc>
        <w:tc>
          <w:tcPr>
            <w:tcW w:w="1800" w:type="dxa"/>
          </w:tcPr>
          <w:p w:rsidR="0004479B" w:rsidRDefault="0004479B" w:rsidP="004445D8">
            <w:pPr>
              <w:tabs>
                <w:tab w:val="left" w:pos="900"/>
                <w:tab w:val="left" w:pos="1260"/>
              </w:tabs>
              <w:jc w:val="both"/>
            </w:pPr>
            <w:r>
              <w:t>(3/25)   12%</w:t>
            </w:r>
          </w:p>
        </w:tc>
      </w:tr>
      <w:tr w:rsidR="0004479B">
        <w:tc>
          <w:tcPr>
            <w:tcW w:w="1170" w:type="dxa"/>
          </w:tcPr>
          <w:p w:rsidR="0004479B" w:rsidRDefault="0004479B" w:rsidP="004445D8">
            <w:pPr>
              <w:tabs>
                <w:tab w:val="left" w:pos="900"/>
                <w:tab w:val="left" w:pos="1260"/>
              </w:tabs>
              <w:jc w:val="both"/>
            </w:pPr>
            <w:r>
              <w:t>OTC</w:t>
            </w:r>
          </w:p>
        </w:tc>
        <w:tc>
          <w:tcPr>
            <w:tcW w:w="1260" w:type="dxa"/>
          </w:tcPr>
          <w:p w:rsidR="0004479B" w:rsidRPr="0004479B" w:rsidRDefault="0004479B" w:rsidP="0004479B">
            <w:pPr>
              <w:tabs>
                <w:tab w:val="left" w:pos="900"/>
                <w:tab w:val="left" w:pos="1260"/>
              </w:tabs>
              <w:jc w:val="center"/>
              <w:rPr>
                <w:u w:val="single"/>
              </w:rPr>
            </w:pPr>
            <w:r w:rsidRPr="0004479B">
              <w:rPr>
                <w:u w:val="single"/>
              </w:rPr>
              <w:t>17</w:t>
            </w:r>
          </w:p>
        </w:tc>
        <w:tc>
          <w:tcPr>
            <w:tcW w:w="1800" w:type="dxa"/>
          </w:tcPr>
          <w:p w:rsidR="0004479B" w:rsidRDefault="0004479B" w:rsidP="004445D8">
            <w:pPr>
              <w:tabs>
                <w:tab w:val="left" w:pos="900"/>
                <w:tab w:val="left" w:pos="1260"/>
              </w:tabs>
              <w:jc w:val="both"/>
            </w:pPr>
            <w:r>
              <w:t>(17/25) 68%</w:t>
            </w:r>
          </w:p>
        </w:tc>
      </w:tr>
      <w:tr w:rsidR="0004479B">
        <w:tc>
          <w:tcPr>
            <w:tcW w:w="1170" w:type="dxa"/>
          </w:tcPr>
          <w:p w:rsidR="0004479B" w:rsidRDefault="0004479B" w:rsidP="004445D8">
            <w:pPr>
              <w:tabs>
                <w:tab w:val="left" w:pos="900"/>
                <w:tab w:val="left" w:pos="1260"/>
              </w:tabs>
              <w:jc w:val="both"/>
            </w:pPr>
          </w:p>
        </w:tc>
        <w:tc>
          <w:tcPr>
            <w:tcW w:w="1260" w:type="dxa"/>
          </w:tcPr>
          <w:p w:rsidR="0004479B" w:rsidRDefault="0004479B" w:rsidP="0004479B">
            <w:pPr>
              <w:tabs>
                <w:tab w:val="left" w:pos="900"/>
                <w:tab w:val="left" w:pos="1260"/>
              </w:tabs>
              <w:jc w:val="center"/>
            </w:pPr>
            <w:r>
              <w:t>25</w:t>
            </w:r>
          </w:p>
        </w:tc>
        <w:tc>
          <w:tcPr>
            <w:tcW w:w="1800" w:type="dxa"/>
          </w:tcPr>
          <w:p w:rsidR="0004479B" w:rsidRDefault="0004479B" w:rsidP="004445D8">
            <w:pPr>
              <w:tabs>
                <w:tab w:val="left" w:pos="900"/>
                <w:tab w:val="left" w:pos="1260"/>
              </w:tabs>
              <w:jc w:val="both"/>
            </w:pPr>
          </w:p>
        </w:tc>
      </w:tr>
    </w:tbl>
    <w:p w:rsidR="004445D8" w:rsidRPr="00D14FFD" w:rsidRDefault="004445D8" w:rsidP="004445D8">
      <w:pPr>
        <w:tabs>
          <w:tab w:val="left" w:pos="900"/>
          <w:tab w:val="left" w:pos="1260"/>
        </w:tabs>
        <w:ind w:left="540"/>
        <w:jc w:val="both"/>
      </w:pPr>
      <w:r w:rsidRPr="00D14FFD">
        <w:tab/>
      </w:r>
      <w:r w:rsidRPr="00D14FFD">
        <w:tab/>
      </w:r>
      <w:r w:rsidR="00827CA0">
        <w:rPr>
          <w:noProof/>
        </w:rPr>
        <w:drawing>
          <wp:inline distT="0" distB="0" distL="0" distR="0">
            <wp:extent cx="4916805"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6805" cy="2630805"/>
                    </a:xfrm>
                    <a:prstGeom prst="rect">
                      <a:avLst/>
                    </a:prstGeom>
                    <a:noFill/>
                    <a:ln>
                      <a:noFill/>
                    </a:ln>
                  </pic:spPr>
                </pic:pic>
              </a:graphicData>
            </a:graphic>
          </wp:inline>
        </w:drawing>
      </w:r>
    </w:p>
    <w:p w:rsidR="004445D8" w:rsidRDefault="00CE2A08" w:rsidP="004445D8">
      <w:pPr>
        <w:tabs>
          <w:tab w:val="left" w:pos="900"/>
          <w:tab w:val="left" w:pos="1260"/>
        </w:tabs>
        <w:ind w:left="540"/>
        <w:jc w:val="both"/>
      </w:pPr>
      <w:r>
        <w:tab/>
      </w:r>
      <w:r w:rsidR="004445D8" w:rsidRPr="00D14FFD">
        <w:t>d.</w:t>
      </w:r>
      <w:r>
        <w:tab/>
      </w:r>
      <w:r w:rsidR="004445D8" w:rsidRPr="00D14FFD">
        <w:t>Gross Profit Margin variable:</w:t>
      </w:r>
    </w:p>
    <w:p w:rsidR="008D1E85" w:rsidRDefault="008D1E85" w:rsidP="004445D8">
      <w:pPr>
        <w:tabs>
          <w:tab w:val="left" w:pos="900"/>
          <w:tab w:val="left" w:pos="1260"/>
        </w:tabs>
        <w:ind w:left="540"/>
        <w:jc w:val="both"/>
      </w:pPr>
    </w:p>
    <w:tbl>
      <w:tblPr>
        <w:tblStyle w:val="TableGrid"/>
        <w:tblW w:w="342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60"/>
        <w:gridCol w:w="1260"/>
      </w:tblGrid>
      <w:tr w:rsidR="008D1E85">
        <w:tc>
          <w:tcPr>
            <w:tcW w:w="2160" w:type="dxa"/>
            <w:tcBorders>
              <w:bottom w:val="single" w:sz="4" w:space="0" w:color="auto"/>
            </w:tcBorders>
          </w:tcPr>
          <w:p w:rsidR="008D1E85" w:rsidRDefault="008D1E85" w:rsidP="008D1E85">
            <w:pPr>
              <w:tabs>
                <w:tab w:val="left" w:pos="900"/>
                <w:tab w:val="left" w:pos="1260"/>
              </w:tabs>
              <w:jc w:val="center"/>
            </w:pPr>
            <w:r>
              <w:t>Gross Profit Margin</w:t>
            </w:r>
          </w:p>
        </w:tc>
        <w:tc>
          <w:tcPr>
            <w:tcW w:w="1260" w:type="dxa"/>
            <w:tcBorders>
              <w:bottom w:val="single" w:sz="4" w:space="0" w:color="auto"/>
            </w:tcBorders>
          </w:tcPr>
          <w:p w:rsidR="008D1E85" w:rsidRDefault="008D1E85" w:rsidP="008D1E85">
            <w:pPr>
              <w:tabs>
                <w:tab w:val="left" w:pos="900"/>
                <w:tab w:val="left" w:pos="1260"/>
              </w:tabs>
              <w:jc w:val="center"/>
            </w:pPr>
            <w:r>
              <w:t>Frequency</w:t>
            </w:r>
          </w:p>
        </w:tc>
      </w:tr>
      <w:tr w:rsidR="008D1E85">
        <w:tc>
          <w:tcPr>
            <w:tcW w:w="2160" w:type="dxa"/>
            <w:tcBorders>
              <w:top w:val="single" w:sz="4" w:space="0" w:color="auto"/>
            </w:tcBorders>
          </w:tcPr>
          <w:p w:rsidR="008D1E85" w:rsidRDefault="008D1E85" w:rsidP="008D1E85">
            <w:pPr>
              <w:tabs>
                <w:tab w:val="left" w:pos="900"/>
                <w:tab w:val="left" w:pos="1260"/>
              </w:tabs>
              <w:jc w:val="center"/>
            </w:pPr>
            <w:r>
              <w:t xml:space="preserve"> </w:t>
            </w:r>
            <w:r w:rsidRPr="00D14FFD">
              <w:t>0.0 – 14.9</w:t>
            </w:r>
          </w:p>
        </w:tc>
        <w:tc>
          <w:tcPr>
            <w:tcW w:w="1260" w:type="dxa"/>
            <w:tcBorders>
              <w:top w:val="single" w:sz="4" w:space="0" w:color="auto"/>
            </w:tcBorders>
          </w:tcPr>
          <w:p w:rsidR="008D1E85" w:rsidRDefault="008D1E85" w:rsidP="008D1E85">
            <w:pPr>
              <w:tabs>
                <w:tab w:val="left" w:pos="900"/>
                <w:tab w:val="left" w:pos="1260"/>
              </w:tabs>
              <w:jc w:val="center"/>
            </w:pPr>
            <w:r>
              <w:t>2</w:t>
            </w:r>
          </w:p>
        </w:tc>
      </w:tr>
      <w:tr w:rsidR="008D1E85">
        <w:tc>
          <w:tcPr>
            <w:tcW w:w="2160" w:type="dxa"/>
          </w:tcPr>
          <w:p w:rsidR="008D1E85" w:rsidRDefault="008D1E85" w:rsidP="008D1E85">
            <w:pPr>
              <w:tabs>
                <w:tab w:val="left" w:pos="900"/>
                <w:tab w:val="left" w:pos="1260"/>
              </w:tabs>
              <w:jc w:val="center"/>
            </w:pPr>
            <w:r>
              <w:t>1</w:t>
            </w:r>
            <w:r w:rsidRPr="00D14FFD">
              <w:t>5.0 – 29.9</w:t>
            </w:r>
          </w:p>
        </w:tc>
        <w:tc>
          <w:tcPr>
            <w:tcW w:w="1260" w:type="dxa"/>
          </w:tcPr>
          <w:p w:rsidR="008D1E85" w:rsidRDefault="008D1E85" w:rsidP="008D1E85">
            <w:pPr>
              <w:tabs>
                <w:tab w:val="left" w:pos="900"/>
                <w:tab w:val="left" w:pos="1260"/>
              </w:tabs>
              <w:jc w:val="center"/>
            </w:pPr>
            <w:r>
              <w:t>6</w:t>
            </w:r>
          </w:p>
        </w:tc>
      </w:tr>
      <w:tr w:rsidR="008D1E85">
        <w:tc>
          <w:tcPr>
            <w:tcW w:w="2160" w:type="dxa"/>
          </w:tcPr>
          <w:p w:rsidR="008D1E85" w:rsidRDefault="008D1E85" w:rsidP="008D1E85">
            <w:pPr>
              <w:tabs>
                <w:tab w:val="left" w:pos="900"/>
                <w:tab w:val="left" w:pos="1260"/>
              </w:tabs>
              <w:jc w:val="center"/>
            </w:pPr>
            <w:r w:rsidRPr="00D14FFD">
              <w:t>30.0 – 44.9</w:t>
            </w:r>
          </w:p>
        </w:tc>
        <w:tc>
          <w:tcPr>
            <w:tcW w:w="1260" w:type="dxa"/>
          </w:tcPr>
          <w:p w:rsidR="008D1E85" w:rsidRPr="008D1E85" w:rsidRDefault="008D1E85" w:rsidP="008D1E85">
            <w:pPr>
              <w:tabs>
                <w:tab w:val="left" w:pos="900"/>
                <w:tab w:val="left" w:pos="1260"/>
              </w:tabs>
              <w:jc w:val="center"/>
            </w:pPr>
            <w:r w:rsidRPr="008D1E85">
              <w:t>8</w:t>
            </w:r>
          </w:p>
        </w:tc>
      </w:tr>
      <w:tr w:rsidR="008D1E85">
        <w:tc>
          <w:tcPr>
            <w:tcW w:w="2160" w:type="dxa"/>
          </w:tcPr>
          <w:p w:rsidR="008D1E85" w:rsidRDefault="008D1E85" w:rsidP="008D1E85">
            <w:pPr>
              <w:tabs>
                <w:tab w:val="left" w:pos="900"/>
                <w:tab w:val="left" w:pos="1260"/>
              </w:tabs>
              <w:jc w:val="center"/>
            </w:pPr>
            <w:r>
              <w:t>45</w:t>
            </w:r>
            <w:r w:rsidRPr="00D14FFD">
              <w:t xml:space="preserve">.0 – </w:t>
            </w:r>
            <w:r>
              <w:t>59</w:t>
            </w:r>
            <w:r w:rsidRPr="00D14FFD">
              <w:t>.9</w:t>
            </w:r>
          </w:p>
        </w:tc>
        <w:tc>
          <w:tcPr>
            <w:tcW w:w="1260" w:type="dxa"/>
          </w:tcPr>
          <w:p w:rsidR="008D1E85" w:rsidRDefault="008D1E85" w:rsidP="008D1E85">
            <w:pPr>
              <w:tabs>
                <w:tab w:val="left" w:pos="900"/>
                <w:tab w:val="left" w:pos="1260"/>
              </w:tabs>
              <w:jc w:val="center"/>
            </w:pPr>
            <w:r>
              <w:t>6</w:t>
            </w:r>
          </w:p>
        </w:tc>
      </w:tr>
      <w:tr w:rsidR="008D1E85">
        <w:tc>
          <w:tcPr>
            <w:tcW w:w="2160" w:type="dxa"/>
          </w:tcPr>
          <w:p w:rsidR="008D1E85" w:rsidRPr="00D14FFD" w:rsidRDefault="008D1E85" w:rsidP="008D1E85">
            <w:pPr>
              <w:tabs>
                <w:tab w:val="left" w:pos="900"/>
                <w:tab w:val="left" w:pos="1260"/>
              </w:tabs>
              <w:jc w:val="center"/>
            </w:pPr>
            <w:r>
              <w:t>60</w:t>
            </w:r>
            <w:r w:rsidRPr="00D14FFD">
              <w:t xml:space="preserve">.0 – </w:t>
            </w:r>
            <w:r>
              <w:t>74</w:t>
            </w:r>
            <w:r w:rsidRPr="00D14FFD">
              <w:t>.9</w:t>
            </w:r>
          </w:p>
        </w:tc>
        <w:tc>
          <w:tcPr>
            <w:tcW w:w="1260" w:type="dxa"/>
          </w:tcPr>
          <w:p w:rsidR="008D1E85" w:rsidRDefault="008D1E85" w:rsidP="008D1E85">
            <w:pPr>
              <w:tabs>
                <w:tab w:val="left" w:pos="900"/>
                <w:tab w:val="left" w:pos="1260"/>
              </w:tabs>
              <w:jc w:val="center"/>
            </w:pPr>
            <w:r>
              <w:t>3</w:t>
            </w:r>
          </w:p>
        </w:tc>
      </w:tr>
    </w:tbl>
    <w:p w:rsidR="008D1E85" w:rsidRDefault="008D1E85" w:rsidP="004445D8">
      <w:pPr>
        <w:tabs>
          <w:tab w:val="left" w:pos="900"/>
          <w:tab w:val="left" w:pos="1260"/>
        </w:tabs>
        <w:ind w:left="540"/>
        <w:jc w:val="both"/>
      </w:pPr>
    </w:p>
    <w:p w:rsidR="004445D8" w:rsidRPr="00D14FFD" w:rsidRDefault="00CE2A08" w:rsidP="00CE2A08">
      <w:pPr>
        <w:tabs>
          <w:tab w:val="left" w:pos="900"/>
          <w:tab w:val="left" w:pos="1260"/>
          <w:tab w:val="left" w:pos="3960"/>
        </w:tabs>
        <w:ind w:left="540"/>
        <w:jc w:val="both"/>
      </w:pPr>
      <w:r>
        <w:tab/>
      </w:r>
      <w:r>
        <w:tab/>
      </w:r>
    </w:p>
    <w:p w:rsidR="004445D8" w:rsidRPr="00D14FFD" w:rsidRDefault="00827CA0" w:rsidP="004445D8">
      <w:pPr>
        <w:tabs>
          <w:tab w:val="left" w:pos="900"/>
          <w:tab w:val="left" w:pos="1260"/>
        </w:tabs>
        <w:ind w:left="540"/>
        <w:jc w:val="both"/>
        <w:rPr>
          <w:color w:val="0000FF"/>
        </w:rPr>
      </w:pPr>
      <w:r>
        <w:rPr>
          <w:noProof/>
        </w:rPr>
        <w:lastRenderedPageBreak/>
        <w:drawing>
          <wp:inline distT="0" distB="0" distL="0" distR="0">
            <wp:extent cx="5132705" cy="282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705" cy="2820670"/>
                    </a:xfrm>
                    <a:prstGeom prst="rect">
                      <a:avLst/>
                    </a:prstGeom>
                    <a:noFill/>
                    <a:ln>
                      <a:noFill/>
                    </a:ln>
                  </pic:spPr>
                </pic:pic>
              </a:graphicData>
            </a:graphic>
          </wp:inline>
        </w:drawing>
      </w:r>
      <w:r w:rsidR="004445D8" w:rsidRPr="00D14FFD">
        <w:tab/>
      </w:r>
      <w:r w:rsidR="004445D8" w:rsidRPr="00D14FFD">
        <w:tab/>
        <w:t xml:space="preserve">    </w:t>
      </w:r>
    </w:p>
    <w:p w:rsidR="004445D8" w:rsidRDefault="00CE2A08" w:rsidP="004445D8">
      <w:pPr>
        <w:tabs>
          <w:tab w:val="left" w:pos="900"/>
          <w:tab w:val="left" w:pos="1260"/>
        </w:tabs>
        <w:ind w:left="540"/>
        <w:jc w:val="both"/>
      </w:pPr>
      <w:r>
        <w:tab/>
      </w:r>
      <w:r w:rsidR="004445D8" w:rsidRPr="00D14FFD">
        <w:t>e.</w:t>
      </w:r>
      <w:r>
        <w:tab/>
      </w:r>
      <w:r w:rsidR="004445D8" w:rsidRPr="00D14FFD">
        <w:t>Sum the Price/Earnings Ratio data for all 25 companies.</w:t>
      </w:r>
    </w:p>
    <w:p w:rsidR="00CE2A08" w:rsidRPr="00D14FFD" w:rsidRDefault="00CE2A08" w:rsidP="004445D8">
      <w:pPr>
        <w:tabs>
          <w:tab w:val="left" w:pos="900"/>
          <w:tab w:val="left" w:pos="1260"/>
        </w:tabs>
        <w:ind w:left="540"/>
        <w:jc w:val="both"/>
      </w:pPr>
    </w:p>
    <w:p w:rsidR="00CE2A08" w:rsidRDefault="00CE2A08" w:rsidP="00CE2A08">
      <w:pPr>
        <w:tabs>
          <w:tab w:val="left" w:pos="900"/>
          <w:tab w:val="left" w:pos="1260"/>
        </w:tabs>
        <w:ind w:left="540"/>
        <w:jc w:val="both"/>
      </w:pPr>
      <w:r>
        <w:tab/>
      </w:r>
      <w:r>
        <w:tab/>
      </w:r>
      <w:r w:rsidR="004445D8" w:rsidRPr="00D14FFD">
        <w:t>Sum = 505.4</w:t>
      </w:r>
    </w:p>
    <w:p w:rsidR="00CE2A08" w:rsidRDefault="00CE2A08" w:rsidP="00CE2A08">
      <w:pPr>
        <w:tabs>
          <w:tab w:val="left" w:pos="900"/>
          <w:tab w:val="left" w:pos="1260"/>
        </w:tabs>
        <w:ind w:left="540"/>
        <w:jc w:val="both"/>
      </w:pPr>
    </w:p>
    <w:p w:rsidR="004445D8" w:rsidRPr="00D14FFD" w:rsidRDefault="00CE2A08" w:rsidP="00CE2A08">
      <w:pPr>
        <w:tabs>
          <w:tab w:val="left" w:pos="900"/>
          <w:tab w:val="left" w:pos="1260"/>
        </w:tabs>
        <w:ind w:left="540"/>
        <w:jc w:val="both"/>
      </w:pPr>
      <w:r>
        <w:tab/>
      </w:r>
      <w:r>
        <w:tab/>
      </w:r>
      <w:r w:rsidR="004445D8" w:rsidRPr="00D14FFD">
        <w:t>Average Price/Earnings Ratio = Sum/25 = 505.4/25 = 20.2</w:t>
      </w:r>
    </w:p>
    <w:p w:rsidR="004445D8" w:rsidRDefault="004445D8" w:rsidP="004445D8">
      <w:pPr>
        <w:tabs>
          <w:tab w:val="left" w:pos="-936"/>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jc w:val="both"/>
        <w:rPr>
          <w:rFonts w:ascii="Times" w:hAnsi="Times"/>
          <w:color w:val="000000"/>
        </w:rPr>
      </w:pPr>
    </w:p>
    <w:p w:rsidR="00277BB5" w:rsidRDefault="00277BB5" w:rsidP="004445D8">
      <w:pPr>
        <w:tabs>
          <w:tab w:val="left" w:pos="900"/>
          <w:tab w:val="left" w:pos="1260"/>
        </w:tabs>
        <w:ind w:left="540"/>
        <w:jc w:val="both"/>
        <w:rPr>
          <w:rFonts w:ascii="Times" w:hAnsi="Times"/>
        </w:rPr>
      </w:pPr>
    </w:p>
    <w:p w:rsidR="004445D8" w:rsidRDefault="004445D8" w:rsidP="004445D8">
      <w:pPr>
        <w:tabs>
          <w:tab w:val="left" w:pos="900"/>
          <w:tab w:val="left" w:pos="1260"/>
        </w:tabs>
        <w:ind w:left="540"/>
        <w:jc w:val="both"/>
        <w:rPr>
          <w:rFonts w:ascii="Times" w:hAnsi="Times"/>
        </w:rPr>
      </w:pPr>
    </w:p>
    <w:sectPr w:rsidR="004445D8">
      <w:headerReference w:type="even" r:id="rId13"/>
      <w:headerReference w:type="default" r:id="rId14"/>
      <w:footerReference w:type="even" r:id="rId15"/>
      <w:footerReference w:type="default" r:id="rId16"/>
      <w:footerReference w:type="first" r:id="rId17"/>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46D" w:rsidRDefault="0028546D">
      <w:r>
        <w:separator/>
      </w:r>
    </w:p>
  </w:endnote>
  <w:endnote w:type="continuationSeparator" w:id="0">
    <w:p w:rsidR="0028546D" w:rsidRDefault="0028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50" w:rsidRDefault="000A3550" w:rsidP="001E5990">
    <w:pPr>
      <w:pStyle w:val="Footer"/>
      <w:spacing w:line="240" w:lineRule="auto"/>
      <w:jc w:val="center"/>
      <w:rPr>
        <w:rStyle w:val="PageNumber"/>
        <w:rFonts w:ascii="Times New Roman" w:hAnsi="Times New Roman"/>
      </w:rPr>
    </w:pPr>
    <w:r>
      <w:rPr>
        <w:rFonts w:ascii="Times" w:hAnsi="Times"/>
      </w:rPr>
      <w:t xml:space="preserve">1 - </w:t>
    </w:r>
    <w:r>
      <w:rPr>
        <w:rFonts w:ascii="Times" w:hAnsi="Times"/>
      </w:rPr>
      <w:fldChar w:fldCharType="begin"/>
    </w:r>
    <w:r>
      <w:rPr>
        <w:rFonts w:ascii="Times" w:hAnsi="Times"/>
      </w:rPr>
      <w:instrText xml:space="preserve">PAGE  </w:instrText>
    </w:r>
    <w:r>
      <w:rPr>
        <w:rFonts w:ascii="Times" w:hAnsi="Times"/>
      </w:rPr>
      <w:fldChar w:fldCharType="separate"/>
    </w:r>
    <w:r w:rsidR="0054394A">
      <w:rPr>
        <w:rFonts w:ascii="Times" w:hAnsi="Times"/>
        <w:noProof/>
      </w:rPr>
      <w:t>2</w:t>
    </w:r>
    <w:r>
      <w:rPr>
        <w:rFonts w:ascii="Times" w:hAnsi="Times"/>
      </w:rPr>
      <w:fldChar w:fldCharType="end"/>
    </w:r>
  </w:p>
  <w:p w:rsidR="000A3550" w:rsidRPr="003C63A3" w:rsidRDefault="000A3550" w:rsidP="001E5990">
    <w:pPr>
      <w:jc w:val="center"/>
      <w:rPr>
        <w:bCs/>
        <w:sz w:val="16"/>
        <w:szCs w:val="16"/>
      </w:rPr>
    </w:pPr>
    <w:r w:rsidRPr="003C63A3">
      <w:rPr>
        <w:bCs/>
        <w:sz w:val="16"/>
        <w:szCs w:val="16"/>
      </w:rPr>
      <w:t>© 201</w:t>
    </w:r>
    <w:r w:rsidR="00664D3B">
      <w:rPr>
        <w:bCs/>
        <w:sz w:val="16"/>
        <w:szCs w:val="16"/>
      </w:rPr>
      <w:t>3</w:t>
    </w:r>
    <w:r w:rsidRPr="003C63A3">
      <w:rPr>
        <w:bCs/>
        <w:sz w:val="16"/>
        <w:szCs w:val="16"/>
      </w:rPr>
      <w:t xml:space="preserve"> Cengage Learning. All Rights Reserved.</w:t>
    </w:r>
  </w:p>
  <w:p w:rsidR="000A3550" w:rsidRDefault="000A3550" w:rsidP="001E5990">
    <w:pPr>
      <w:pStyle w:val="Footer"/>
      <w:spacing w:line="240" w:lineRule="auto"/>
      <w:jc w:val="center"/>
      <w:rPr>
        <w:rFonts w:ascii="Times" w:hAnsi="Times"/>
      </w:rP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50" w:rsidRDefault="000A3550" w:rsidP="001E5990">
    <w:pPr>
      <w:pStyle w:val="Footer"/>
      <w:spacing w:line="240" w:lineRule="auto"/>
      <w:jc w:val="center"/>
      <w:rPr>
        <w:rStyle w:val="PageNumber"/>
        <w:rFonts w:ascii="Times New Roman" w:hAnsi="Times New Roman"/>
      </w:rPr>
    </w:pPr>
    <w:r>
      <w:rPr>
        <w:rFonts w:ascii="Times" w:hAnsi="Times"/>
      </w:rPr>
      <w:t xml:space="preserve">1 - </w:t>
    </w:r>
    <w:r>
      <w:rPr>
        <w:rFonts w:ascii="Times" w:hAnsi="Times"/>
      </w:rPr>
      <w:fldChar w:fldCharType="begin"/>
    </w:r>
    <w:r>
      <w:rPr>
        <w:rFonts w:ascii="Times" w:hAnsi="Times"/>
      </w:rPr>
      <w:instrText xml:space="preserve">PAGE  </w:instrText>
    </w:r>
    <w:r>
      <w:rPr>
        <w:rFonts w:ascii="Times" w:hAnsi="Times"/>
      </w:rPr>
      <w:fldChar w:fldCharType="separate"/>
    </w:r>
    <w:r w:rsidR="0054394A">
      <w:rPr>
        <w:rFonts w:ascii="Times" w:hAnsi="Times"/>
        <w:noProof/>
      </w:rPr>
      <w:t>5</w:t>
    </w:r>
    <w:r>
      <w:rPr>
        <w:rFonts w:ascii="Times" w:hAnsi="Times"/>
      </w:rPr>
      <w:fldChar w:fldCharType="end"/>
    </w:r>
  </w:p>
  <w:p w:rsidR="000A3550" w:rsidRPr="003C63A3" w:rsidRDefault="000A3550" w:rsidP="001E5990">
    <w:pPr>
      <w:jc w:val="center"/>
      <w:rPr>
        <w:bCs/>
        <w:sz w:val="16"/>
        <w:szCs w:val="16"/>
      </w:rPr>
    </w:pPr>
    <w:r w:rsidRPr="003C63A3">
      <w:rPr>
        <w:bCs/>
        <w:sz w:val="16"/>
        <w:szCs w:val="16"/>
      </w:rPr>
      <w:t>© 201</w:t>
    </w:r>
    <w:r w:rsidR="00664D3B">
      <w:rPr>
        <w:bCs/>
        <w:sz w:val="16"/>
        <w:szCs w:val="16"/>
      </w:rPr>
      <w:t>3</w:t>
    </w:r>
    <w:r w:rsidRPr="003C63A3">
      <w:rPr>
        <w:bCs/>
        <w:sz w:val="16"/>
        <w:szCs w:val="16"/>
      </w:rPr>
      <w:t xml:space="preserve"> Cengage Learning. All Rights Reserved.</w:t>
    </w:r>
  </w:p>
  <w:p w:rsidR="000A3550" w:rsidRDefault="000A3550" w:rsidP="001E5990">
    <w:pPr>
      <w:pStyle w:val="Footer"/>
      <w:spacing w:line="240" w:lineRule="auto"/>
      <w:jc w:val="center"/>
      <w:rPr>
        <w:rFonts w:ascii="Times" w:hAnsi="Times"/>
      </w:rP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50" w:rsidRDefault="000A3550" w:rsidP="001E5990">
    <w:pPr>
      <w:pStyle w:val="Footer"/>
      <w:spacing w:line="240" w:lineRule="auto"/>
      <w:jc w:val="center"/>
      <w:rPr>
        <w:rStyle w:val="PageNumber"/>
        <w:rFonts w:ascii="Times New Roman" w:hAnsi="Times New Roman"/>
      </w:rPr>
    </w:pPr>
    <w:r>
      <w:rPr>
        <w:rFonts w:ascii="Times" w:hAnsi="Times"/>
      </w:rPr>
      <w:t xml:space="preserve">1 - </w:t>
    </w:r>
    <w:r>
      <w:rPr>
        <w:rFonts w:ascii="Times" w:hAnsi="Times"/>
      </w:rPr>
      <w:fldChar w:fldCharType="begin"/>
    </w:r>
    <w:r>
      <w:rPr>
        <w:rFonts w:ascii="Times" w:hAnsi="Times"/>
      </w:rPr>
      <w:instrText xml:space="preserve">PAGE  </w:instrText>
    </w:r>
    <w:r>
      <w:rPr>
        <w:rFonts w:ascii="Times" w:hAnsi="Times"/>
      </w:rPr>
      <w:fldChar w:fldCharType="separate"/>
    </w:r>
    <w:r w:rsidR="0054394A">
      <w:rPr>
        <w:rFonts w:ascii="Times" w:hAnsi="Times"/>
        <w:noProof/>
      </w:rPr>
      <w:t>1</w:t>
    </w:r>
    <w:r>
      <w:rPr>
        <w:rFonts w:ascii="Times" w:hAnsi="Times"/>
      </w:rPr>
      <w:fldChar w:fldCharType="end"/>
    </w:r>
  </w:p>
  <w:p w:rsidR="000A3550" w:rsidRPr="003C63A3" w:rsidRDefault="000A3550" w:rsidP="001E5990">
    <w:pPr>
      <w:jc w:val="center"/>
      <w:rPr>
        <w:bCs/>
        <w:sz w:val="16"/>
        <w:szCs w:val="16"/>
      </w:rPr>
    </w:pPr>
    <w:r w:rsidRPr="003C63A3">
      <w:rPr>
        <w:bCs/>
        <w:sz w:val="16"/>
        <w:szCs w:val="16"/>
      </w:rPr>
      <w:t>© 201</w:t>
    </w:r>
    <w:r w:rsidR="00664D3B">
      <w:rPr>
        <w:bCs/>
        <w:sz w:val="16"/>
        <w:szCs w:val="16"/>
      </w:rPr>
      <w:t>3</w:t>
    </w:r>
    <w:r w:rsidRPr="003C63A3">
      <w:rPr>
        <w:bCs/>
        <w:sz w:val="16"/>
        <w:szCs w:val="16"/>
      </w:rPr>
      <w:t xml:space="preserve"> Cengage Learning. All Rights Reserved.</w:t>
    </w:r>
  </w:p>
  <w:p w:rsidR="000A3550" w:rsidRDefault="000A3550" w:rsidP="001E5990">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46D" w:rsidRDefault="0028546D">
      <w:r>
        <w:separator/>
      </w:r>
    </w:p>
  </w:footnote>
  <w:footnote w:type="continuationSeparator" w:id="0">
    <w:p w:rsidR="0028546D" w:rsidRDefault="00285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50" w:rsidRDefault="000A3550">
    <w:pPr>
      <w:pStyle w:val="Header"/>
      <w:spacing w:line="240" w:lineRule="auto"/>
      <w:rPr>
        <w:rFonts w:ascii="Times" w:hAnsi="Times"/>
      </w:rPr>
    </w:pPr>
    <w:r>
      <w:rPr>
        <w:rFonts w:ascii="Times" w:hAnsi="Times"/>
      </w:rPr>
      <w:t>Chapter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550" w:rsidRDefault="000A3550">
    <w:pPr>
      <w:pStyle w:val="Header"/>
      <w:spacing w:line="240" w:lineRule="auto"/>
      <w:jc w:val="right"/>
      <w:rPr>
        <w:rFonts w:ascii="Times" w:hAnsi="Times"/>
      </w:rPr>
    </w:pPr>
    <w:r>
      <w:rPr>
        <w:rFonts w:ascii="Times" w:hAnsi="Times"/>
      </w:rPr>
      <w:t>Data and Statistics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0252"/>
    <w:multiLevelType w:val="hybridMultilevel"/>
    <w:tmpl w:val="4828B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872CF"/>
    <w:multiLevelType w:val="hybridMultilevel"/>
    <w:tmpl w:val="C110FBE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8F7D27"/>
    <w:multiLevelType w:val="hybridMultilevel"/>
    <w:tmpl w:val="7A021674"/>
    <w:lvl w:ilvl="0" w:tplc="EFE0FB22">
      <w:start w:val="3"/>
      <w:numFmt w:val="lowerLetter"/>
      <w:lvlText w:val="%1."/>
      <w:lvlJc w:val="left"/>
      <w:pPr>
        <w:tabs>
          <w:tab w:val="num" w:pos="1254"/>
        </w:tabs>
        <w:ind w:left="1254" w:hanging="360"/>
      </w:pPr>
      <w:rPr>
        <w:rFonts w:hint="default"/>
      </w:rPr>
    </w:lvl>
    <w:lvl w:ilvl="1" w:tplc="FEB03778" w:tentative="1">
      <w:start w:val="1"/>
      <w:numFmt w:val="lowerLetter"/>
      <w:lvlText w:val="%2."/>
      <w:lvlJc w:val="left"/>
      <w:pPr>
        <w:tabs>
          <w:tab w:val="num" w:pos="1974"/>
        </w:tabs>
        <w:ind w:left="1974" w:hanging="360"/>
      </w:pPr>
    </w:lvl>
    <w:lvl w:ilvl="2" w:tplc="844A7FD8" w:tentative="1">
      <w:start w:val="1"/>
      <w:numFmt w:val="lowerRoman"/>
      <w:lvlText w:val="%3."/>
      <w:lvlJc w:val="right"/>
      <w:pPr>
        <w:tabs>
          <w:tab w:val="num" w:pos="2694"/>
        </w:tabs>
        <w:ind w:left="2694" w:hanging="180"/>
      </w:pPr>
    </w:lvl>
    <w:lvl w:ilvl="3" w:tplc="1E5044C2" w:tentative="1">
      <w:start w:val="1"/>
      <w:numFmt w:val="decimal"/>
      <w:lvlText w:val="%4."/>
      <w:lvlJc w:val="left"/>
      <w:pPr>
        <w:tabs>
          <w:tab w:val="num" w:pos="3414"/>
        </w:tabs>
        <w:ind w:left="3414" w:hanging="360"/>
      </w:pPr>
    </w:lvl>
    <w:lvl w:ilvl="4" w:tplc="3B50CA42" w:tentative="1">
      <w:start w:val="1"/>
      <w:numFmt w:val="lowerLetter"/>
      <w:lvlText w:val="%5."/>
      <w:lvlJc w:val="left"/>
      <w:pPr>
        <w:tabs>
          <w:tab w:val="num" w:pos="4134"/>
        </w:tabs>
        <w:ind w:left="4134" w:hanging="360"/>
      </w:pPr>
    </w:lvl>
    <w:lvl w:ilvl="5" w:tplc="ECBA3CC0" w:tentative="1">
      <w:start w:val="1"/>
      <w:numFmt w:val="lowerRoman"/>
      <w:lvlText w:val="%6."/>
      <w:lvlJc w:val="right"/>
      <w:pPr>
        <w:tabs>
          <w:tab w:val="num" w:pos="4854"/>
        </w:tabs>
        <w:ind w:left="4854" w:hanging="180"/>
      </w:pPr>
    </w:lvl>
    <w:lvl w:ilvl="6" w:tplc="E0FA7AAE" w:tentative="1">
      <w:start w:val="1"/>
      <w:numFmt w:val="decimal"/>
      <w:lvlText w:val="%7."/>
      <w:lvlJc w:val="left"/>
      <w:pPr>
        <w:tabs>
          <w:tab w:val="num" w:pos="5574"/>
        </w:tabs>
        <w:ind w:left="5574" w:hanging="360"/>
      </w:pPr>
    </w:lvl>
    <w:lvl w:ilvl="7" w:tplc="0254A63E" w:tentative="1">
      <w:start w:val="1"/>
      <w:numFmt w:val="lowerLetter"/>
      <w:lvlText w:val="%8."/>
      <w:lvlJc w:val="left"/>
      <w:pPr>
        <w:tabs>
          <w:tab w:val="num" w:pos="6294"/>
        </w:tabs>
        <w:ind w:left="6294" w:hanging="360"/>
      </w:pPr>
    </w:lvl>
    <w:lvl w:ilvl="8" w:tplc="02921D1C" w:tentative="1">
      <w:start w:val="1"/>
      <w:numFmt w:val="lowerRoman"/>
      <w:lvlText w:val="%9."/>
      <w:lvlJc w:val="right"/>
      <w:pPr>
        <w:tabs>
          <w:tab w:val="num" w:pos="7014"/>
        </w:tabs>
        <w:ind w:left="7014" w:hanging="180"/>
      </w:pPr>
    </w:lvl>
  </w:abstractNum>
  <w:abstractNum w:abstractNumId="3">
    <w:nsid w:val="4B623E5F"/>
    <w:multiLevelType w:val="hybridMultilevel"/>
    <w:tmpl w:val="56DCB7D8"/>
    <w:lvl w:ilvl="0" w:tplc="04090019">
      <w:start w:val="2"/>
      <w:numFmt w:val="lowerLetter"/>
      <w:lvlText w:val="%1."/>
      <w:lvlJc w:val="left"/>
      <w:pPr>
        <w:tabs>
          <w:tab w:val="num" w:pos="720"/>
        </w:tabs>
        <w:ind w:left="720" w:hanging="360"/>
      </w:pPr>
      <w:rPr>
        <w:rFonts w:hint="default"/>
      </w:rPr>
    </w:lvl>
    <w:lvl w:ilvl="1" w:tplc="8E4C5DEE">
      <w:start w:val="14"/>
      <w:numFmt w:val="decimal"/>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F912D6"/>
    <w:multiLevelType w:val="hybridMultilevel"/>
    <w:tmpl w:val="8FA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B47E57"/>
    <w:multiLevelType w:val="hybridMultilevel"/>
    <w:tmpl w:val="2040A720"/>
    <w:lvl w:ilvl="0" w:tplc="FD962146">
      <w:start w:val="17"/>
      <w:numFmt w:val="decimal"/>
      <w:lvlText w:val="%1."/>
      <w:lvlJc w:val="left"/>
      <w:pPr>
        <w:tabs>
          <w:tab w:val="num" w:pos="864"/>
        </w:tabs>
        <w:ind w:left="864" w:hanging="360"/>
      </w:pPr>
      <w:rPr>
        <w:rFonts w:hint="default"/>
      </w:rPr>
    </w:lvl>
    <w:lvl w:ilvl="1" w:tplc="E39425F6" w:tentative="1">
      <w:start w:val="1"/>
      <w:numFmt w:val="lowerLetter"/>
      <w:lvlText w:val="%2."/>
      <w:lvlJc w:val="left"/>
      <w:pPr>
        <w:tabs>
          <w:tab w:val="num" w:pos="1584"/>
        </w:tabs>
        <w:ind w:left="1584" w:hanging="360"/>
      </w:pPr>
    </w:lvl>
    <w:lvl w:ilvl="2" w:tplc="99306FF8" w:tentative="1">
      <w:start w:val="1"/>
      <w:numFmt w:val="lowerRoman"/>
      <w:lvlText w:val="%3."/>
      <w:lvlJc w:val="right"/>
      <w:pPr>
        <w:tabs>
          <w:tab w:val="num" w:pos="2304"/>
        </w:tabs>
        <w:ind w:left="2304" w:hanging="180"/>
      </w:pPr>
    </w:lvl>
    <w:lvl w:ilvl="3" w:tplc="20A26576" w:tentative="1">
      <w:start w:val="1"/>
      <w:numFmt w:val="decimal"/>
      <w:lvlText w:val="%4."/>
      <w:lvlJc w:val="left"/>
      <w:pPr>
        <w:tabs>
          <w:tab w:val="num" w:pos="3024"/>
        </w:tabs>
        <w:ind w:left="3024" w:hanging="360"/>
      </w:pPr>
    </w:lvl>
    <w:lvl w:ilvl="4" w:tplc="CEAE9258" w:tentative="1">
      <w:start w:val="1"/>
      <w:numFmt w:val="lowerLetter"/>
      <w:lvlText w:val="%5."/>
      <w:lvlJc w:val="left"/>
      <w:pPr>
        <w:tabs>
          <w:tab w:val="num" w:pos="3744"/>
        </w:tabs>
        <w:ind w:left="3744" w:hanging="360"/>
      </w:pPr>
    </w:lvl>
    <w:lvl w:ilvl="5" w:tplc="D1E2861A" w:tentative="1">
      <w:start w:val="1"/>
      <w:numFmt w:val="lowerRoman"/>
      <w:lvlText w:val="%6."/>
      <w:lvlJc w:val="right"/>
      <w:pPr>
        <w:tabs>
          <w:tab w:val="num" w:pos="4464"/>
        </w:tabs>
        <w:ind w:left="4464" w:hanging="180"/>
      </w:pPr>
    </w:lvl>
    <w:lvl w:ilvl="6" w:tplc="22AEBC5A" w:tentative="1">
      <w:start w:val="1"/>
      <w:numFmt w:val="decimal"/>
      <w:lvlText w:val="%7."/>
      <w:lvlJc w:val="left"/>
      <w:pPr>
        <w:tabs>
          <w:tab w:val="num" w:pos="5184"/>
        </w:tabs>
        <w:ind w:left="5184" w:hanging="360"/>
      </w:pPr>
    </w:lvl>
    <w:lvl w:ilvl="7" w:tplc="454CD7BA" w:tentative="1">
      <w:start w:val="1"/>
      <w:numFmt w:val="lowerLetter"/>
      <w:lvlText w:val="%8."/>
      <w:lvlJc w:val="left"/>
      <w:pPr>
        <w:tabs>
          <w:tab w:val="num" w:pos="5904"/>
        </w:tabs>
        <w:ind w:left="5904" w:hanging="360"/>
      </w:pPr>
    </w:lvl>
    <w:lvl w:ilvl="8" w:tplc="B47EF5A6" w:tentative="1">
      <w:start w:val="1"/>
      <w:numFmt w:val="lowerRoman"/>
      <w:lvlText w:val="%9."/>
      <w:lvlJc w:val="right"/>
      <w:pPr>
        <w:tabs>
          <w:tab w:val="num" w:pos="6624"/>
        </w:tabs>
        <w:ind w:left="6624"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C1F"/>
    <w:rsid w:val="0004479B"/>
    <w:rsid w:val="000A3550"/>
    <w:rsid w:val="000C0FC0"/>
    <w:rsid w:val="000C2467"/>
    <w:rsid w:val="000C3C7E"/>
    <w:rsid w:val="000D7A91"/>
    <w:rsid w:val="001D05BD"/>
    <w:rsid w:val="001E5990"/>
    <w:rsid w:val="001F12DF"/>
    <w:rsid w:val="0022640F"/>
    <w:rsid w:val="00277BB5"/>
    <w:rsid w:val="0028372A"/>
    <w:rsid w:val="0028546D"/>
    <w:rsid w:val="002C5057"/>
    <w:rsid w:val="002E2102"/>
    <w:rsid w:val="004445D8"/>
    <w:rsid w:val="004540E0"/>
    <w:rsid w:val="00486406"/>
    <w:rsid w:val="00492115"/>
    <w:rsid w:val="0054394A"/>
    <w:rsid w:val="005A2A4A"/>
    <w:rsid w:val="005A368E"/>
    <w:rsid w:val="00637B0C"/>
    <w:rsid w:val="00664D3B"/>
    <w:rsid w:val="006704B9"/>
    <w:rsid w:val="00674AEE"/>
    <w:rsid w:val="00714937"/>
    <w:rsid w:val="0075544E"/>
    <w:rsid w:val="007A144F"/>
    <w:rsid w:val="007A3BF5"/>
    <w:rsid w:val="007B2510"/>
    <w:rsid w:val="00816BAF"/>
    <w:rsid w:val="00820D83"/>
    <w:rsid w:val="00827CA0"/>
    <w:rsid w:val="008859BE"/>
    <w:rsid w:val="008A4612"/>
    <w:rsid w:val="008B6E8F"/>
    <w:rsid w:val="008C09C0"/>
    <w:rsid w:val="008D1E85"/>
    <w:rsid w:val="00921371"/>
    <w:rsid w:val="00943488"/>
    <w:rsid w:val="00980717"/>
    <w:rsid w:val="00A2648B"/>
    <w:rsid w:val="00A800FE"/>
    <w:rsid w:val="00AB7C1F"/>
    <w:rsid w:val="00AF35A3"/>
    <w:rsid w:val="00B75AE1"/>
    <w:rsid w:val="00BA15A5"/>
    <w:rsid w:val="00BC529D"/>
    <w:rsid w:val="00BF1307"/>
    <w:rsid w:val="00C61E9C"/>
    <w:rsid w:val="00CC3B29"/>
    <w:rsid w:val="00CE2A08"/>
    <w:rsid w:val="00CE34D6"/>
    <w:rsid w:val="00D101CF"/>
    <w:rsid w:val="00D257F6"/>
    <w:rsid w:val="00DA5FB5"/>
    <w:rsid w:val="00DF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044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E5990"/>
  </w:style>
  <w:style w:type="character" w:styleId="Hyperlink">
    <w:name w:val="Hyperlink"/>
    <w:basedOn w:val="DefaultParagraphFont"/>
    <w:rsid w:val="004540E0"/>
    <w:rPr>
      <w:rFonts w:cs="Times New Roman"/>
      <w:color w:val="0000FF"/>
      <w:u w:val="single"/>
    </w:rPr>
  </w:style>
  <w:style w:type="paragraph" w:styleId="BalloonText">
    <w:name w:val="Balloon Text"/>
    <w:basedOn w:val="Normal"/>
    <w:link w:val="BalloonTextChar"/>
    <w:rsid w:val="001D05BD"/>
    <w:rPr>
      <w:rFonts w:ascii="Tahoma" w:hAnsi="Tahoma" w:cs="Tahoma"/>
      <w:sz w:val="16"/>
      <w:szCs w:val="16"/>
    </w:rPr>
  </w:style>
  <w:style w:type="character" w:customStyle="1" w:styleId="BalloonTextChar">
    <w:name w:val="Balloon Text Char"/>
    <w:basedOn w:val="DefaultParagraphFont"/>
    <w:link w:val="BalloonText"/>
    <w:rsid w:val="001D05BD"/>
    <w:rPr>
      <w:rFonts w:ascii="Tahoma" w:hAnsi="Tahoma" w:cs="Tahoma"/>
      <w:sz w:val="16"/>
      <w:szCs w:val="16"/>
    </w:rPr>
  </w:style>
  <w:style w:type="paragraph" w:styleId="ListParagraph">
    <w:name w:val="List Paragraph"/>
    <w:basedOn w:val="Normal"/>
    <w:uiPriority w:val="34"/>
    <w:qFormat/>
    <w:rsid w:val="00BA15A5"/>
    <w:pPr>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044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E5990"/>
  </w:style>
  <w:style w:type="character" w:styleId="Hyperlink">
    <w:name w:val="Hyperlink"/>
    <w:basedOn w:val="DefaultParagraphFont"/>
    <w:rsid w:val="004540E0"/>
    <w:rPr>
      <w:rFonts w:cs="Times New Roman"/>
      <w:color w:val="0000FF"/>
      <w:u w:val="single"/>
    </w:rPr>
  </w:style>
  <w:style w:type="paragraph" w:styleId="BalloonText">
    <w:name w:val="Balloon Text"/>
    <w:basedOn w:val="Normal"/>
    <w:link w:val="BalloonTextChar"/>
    <w:rsid w:val="001D05BD"/>
    <w:rPr>
      <w:rFonts w:ascii="Tahoma" w:hAnsi="Tahoma" w:cs="Tahoma"/>
      <w:sz w:val="16"/>
      <w:szCs w:val="16"/>
    </w:rPr>
  </w:style>
  <w:style w:type="character" w:customStyle="1" w:styleId="BalloonTextChar">
    <w:name w:val="Balloon Text Char"/>
    <w:basedOn w:val="DefaultParagraphFont"/>
    <w:link w:val="BalloonText"/>
    <w:rsid w:val="001D05BD"/>
    <w:rPr>
      <w:rFonts w:ascii="Tahoma" w:hAnsi="Tahoma" w:cs="Tahoma"/>
      <w:sz w:val="16"/>
      <w:szCs w:val="16"/>
    </w:rPr>
  </w:style>
  <w:style w:type="paragraph" w:styleId="ListParagraph">
    <w:name w:val="List Paragraph"/>
    <w:basedOn w:val="Normal"/>
    <w:uiPriority w:val="34"/>
    <w:qFormat/>
    <w:rsid w:val="00BA15A5"/>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7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ia.doe.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AppData\Local\Microsoft\Windows\Temporary%20Internet%20Files\Content.Outlook\KGXUI38A\Exercise%201%201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AppData\Local\Microsoft\Windows\Temporary%20Internet%20Files\Content.Outlook\KGXUI38A\Exercise%201%20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'[Exercise 1 14.xlsx]Sheet1 (2)'!$A$3</c:f>
              <c:strCache>
                <c:ptCount val="1"/>
                <c:pt idx="0">
                  <c:v>Hertz</c:v>
                </c:pt>
              </c:strCache>
            </c:strRef>
          </c:tx>
          <c:xVal>
            <c:numRef>
              <c:f>'[Exercise 1 14.xlsx]Sheet1 (2)'!$B$2:$E$2</c:f>
              <c:numCache>
                <c:formatCode>General</c:formatCode>
                <c:ptCount val="4"/>
                <c:pt idx="0">
                  <c:v>2007</c:v>
                </c:pt>
                <c:pt idx="1">
                  <c:v>2008</c:v>
                </c:pt>
                <c:pt idx="2">
                  <c:v>2009</c:v>
                </c:pt>
                <c:pt idx="3">
                  <c:v>2010</c:v>
                </c:pt>
              </c:numCache>
            </c:numRef>
          </c:xVal>
          <c:yVal>
            <c:numRef>
              <c:f>'[Exercise 1 14.xlsx]Sheet1 (2)'!$B$3:$E$3</c:f>
              <c:numCache>
                <c:formatCode>0</c:formatCode>
                <c:ptCount val="4"/>
                <c:pt idx="0">
                  <c:v>327</c:v>
                </c:pt>
                <c:pt idx="1">
                  <c:v>311</c:v>
                </c:pt>
                <c:pt idx="2">
                  <c:v>286</c:v>
                </c:pt>
                <c:pt idx="3">
                  <c:v>290</c:v>
                </c:pt>
              </c:numCache>
            </c:numRef>
          </c:yVal>
          <c:smooth val="0"/>
        </c:ser>
        <c:ser>
          <c:idx val="1"/>
          <c:order val="1"/>
          <c:tx>
            <c:strRef>
              <c:f>'[Exercise 1 14.xlsx]Sheet1 (2)'!$A$4</c:f>
              <c:strCache>
                <c:ptCount val="1"/>
                <c:pt idx="0">
                  <c:v>Dollar</c:v>
                </c:pt>
              </c:strCache>
            </c:strRef>
          </c:tx>
          <c:xVal>
            <c:numRef>
              <c:f>'[Exercise 1 14.xlsx]Sheet1 (2)'!$B$2:$E$2</c:f>
              <c:numCache>
                <c:formatCode>General</c:formatCode>
                <c:ptCount val="4"/>
                <c:pt idx="0">
                  <c:v>2007</c:v>
                </c:pt>
                <c:pt idx="1">
                  <c:v>2008</c:v>
                </c:pt>
                <c:pt idx="2">
                  <c:v>2009</c:v>
                </c:pt>
                <c:pt idx="3">
                  <c:v>2010</c:v>
                </c:pt>
              </c:numCache>
            </c:numRef>
          </c:xVal>
          <c:yVal>
            <c:numRef>
              <c:f>'[Exercise 1 14.xlsx]Sheet1 (2)'!$B$4:$E$4</c:f>
              <c:numCache>
                <c:formatCode>0</c:formatCode>
                <c:ptCount val="4"/>
                <c:pt idx="0">
                  <c:v>167</c:v>
                </c:pt>
                <c:pt idx="1">
                  <c:v>140</c:v>
                </c:pt>
                <c:pt idx="2">
                  <c:v>106</c:v>
                </c:pt>
                <c:pt idx="3">
                  <c:v>108</c:v>
                </c:pt>
              </c:numCache>
            </c:numRef>
          </c:yVal>
          <c:smooth val="0"/>
        </c:ser>
        <c:ser>
          <c:idx val="2"/>
          <c:order val="2"/>
          <c:tx>
            <c:strRef>
              <c:f>'[Exercise 1 14.xlsx]Sheet1 (2)'!$A$5</c:f>
              <c:strCache>
                <c:ptCount val="1"/>
                <c:pt idx="0">
                  <c:v>Avis</c:v>
                </c:pt>
              </c:strCache>
            </c:strRef>
          </c:tx>
          <c:xVal>
            <c:numRef>
              <c:f>'[Exercise 1 14.xlsx]Sheet1 (2)'!$B$2:$E$2</c:f>
              <c:numCache>
                <c:formatCode>General</c:formatCode>
                <c:ptCount val="4"/>
                <c:pt idx="0">
                  <c:v>2007</c:v>
                </c:pt>
                <c:pt idx="1">
                  <c:v>2008</c:v>
                </c:pt>
                <c:pt idx="2">
                  <c:v>2009</c:v>
                </c:pt>
                <c:pt idx="3">
                  <c:v>2010</c:v>
                </c:pt>
              </c:numCache>
            </c:numRef>
          </c:xVal>
          <c:yVal>
            <c:numRef>
              <c:f>'[Exercise 1 14.xlsx]Sheet1 (2)'!$B$5:$E$5</c:f>
              <c:numCache>
                <c:formatCode>0</c:formatCode>
                <c:ptCount val="4"/>
                <c:pt idx="0">
                  <c:v>204</c:v>
                </c:pt>
                <c:pt idx="1">
                  <c:v>220</c:v>
                </c:pt>
                <c:pt idx="2">
                  <c:v>300</c:v>
                </c:pt>
                <c:pt idx="3">
                  <c:v>270</c:v>
                </c:pt>
              </c:numCache>
            </c:numRef>
          </c:yVal>
          <c:smooth val="0"/>
        </c:ser>
        <c:dLbls>
          <c:showLegendKey val="0"/>
          <c:showVal val="0"/>
          <c:showCatName val="0"/>
          <c:showSerName val="0"/>
          <c:showPercent val="0"/>
          <c:showBubbleSize val="0"/>
        </c:dLbls>
        <c:axId val="148097280"/>
        <c:axId val="148099456"/>
      </c:scatterChart>
      <c:valAx>
        <c:axId val="148097280"/>
        <c:scaling>
          <c:orientation val="minMax"/>
          <c:max val="2011"/>
          <c:min val="2006"/>
        </c:scaling>
        <c:delete val="0"/>
        <c:axPos val="b"/>
        <c:title>
          <c:tx>
            <c:rich>
              <a:bodyPr/>
              <a:lstStyle/>
              <a:p>
                <a:pPr>
                  <a:defRPr/>
                </a:pPr>
                <a:r>
                  <a:rPr lang="en-US"/>
                  <a:t>Year</a:t>
                </a:r>
              </a:p>
            </c:rich>
          </c:tx>
          <c:overlay val="0"/>
        </c:title>
        <c:numFmt formatCode="General" sourceLinked="1"/>
        <c:majorTickMark val="in"/>
        <c:minorTickMark val="none"/>
        <c:tickLblPos val="nextTo"/>
        <c:crossAx val="148099456"/>
        <c:crosses val="autoZero"/>
        <c:crossBetween val="midCat"/>
      </c:valAx>
      <c:valAx>
        <c:axId val="148099456"/>
        <c:scaling>
          <c:orientation val="minMax"/>
        </c:scaling>
        <c:delete val="0"/>
        <c:axPos val="l"/>
        <c:title>
          <c:tx>
            <c:rich>
              <a:bodyPr/>
              <a:lstStyle/>
              <a:p>
                <a:pPr>
                  <a:defRPr/>
                </a:pPr>
                <a:r>
                  <a:rPr lang="en-US"/>
                  <a:t>Cars in Service (1000s)</a:t>
                </a:r>
              </a:p>
            </c:rich>
          </c:tx>
          <c:overlay val="0"/>
        </c:title>
        <c:numFmt formatCode="0" sourceLinked="1"/>
        <c:majorTickMark val="in"/>
        <c:minorTickMark val="none"/>
        <c:tickLblPos val="nextTo"/>
        <c:crossAx val="148097280"/>
        <c:crosses val="autoZero"/>
        <c:crossBetween val="midCat"/>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'[Exercise 1 14.xlsx]Sheet1 (2)'!$B$22</c:f>
              <c:strCache>
                <c:ptCount val="1"/>
                <c:pt idx="0">
                  <c:v>Cars in Service</c:v>
                </c:pt>
              </c:strCache>
            </c:strRef>
          </c:tx>
          <c:invertIfNegative val="0"/>
          <c:cat>
            <c:strRef>
              <c:f>'[Exercise 1 14.xlsx]Sheet1 (2)'!$A$23:$A$25</c:f>
              <c:strCache>
                <c:ptCount val="3"/>
                <c:pt idx="0">
                  <c:v>Hertz</c:v>
                </c:pt>
                <c:pt idx="1">
                  <c:v>Dollar</c:v>
                </c:pt>
                <c:pt idx="2">
                  <c:v>Avis</c:v>
                </c:pt>
              </c:strCache>
            </c:strRef>
          </c:cat>
          <c:val>
            <c:numRef>
              <c:f>'[Exercise 1 14.xlsx]Sheet1 (2)'!$B$23:$B$25</c:f>
              <c:numCache>
                <c:formatCode>0</c:formatCode>
                <c:ptCount val="3"/>
                <c:pt idx="0">
                  <c:v>290</c:v>
                </c:pt>
                <c:pt idx="1">
                  <c:v>108</c:v>
                </c:pt>
                <c:pt idx="2">
                  <c:v>270</c:v>
                </c:pt>
              </c:numCache>
            </c:numRef>
          </c:val>
        </c:ser>
        <c:dLbls>
          <c:showLegendKey val="0"/>
          <c:showVal val="0"/>
          <c:showCatName val="0"/>
          <c:showSerName val="0"/>
          <c:showPercent val="0"/>
          <c:showBubbleSize val="0"/>
        </c:dLbls>
        <c:gapWidth val="105"/>
        <c:axId val="155791744"/>
        <c:axId val="155793664"/>
      </c:barChart>
      <c:catAx>
        <c:axId val="155791744"/>
        <c:scaling>
          <c:orientation val="minMax"/>
        </c:scaling>
        <c:delete val="0"/>
        <c:axPos val="b"/>
        <c:title>
          <c:tx>
            <c:rich>
              <a:bodyPr/>
              <a:lstStyle/>
              <a:p>
                <a:pPr>
                  <a:defRPr/>
                </a:pPr>
                <a:r>
                  <a:rPr lang="en-US"/>
                  <a:t>Company</a:t>
                </a:r>
              </a:p>
            </c:rich>
          </c:tx>
          <c:overlay val="0"/>
        </c:title>
        <c:majorTickMark val="none"/>
        <c:minorTickMark val="none"/>
        <c:tickLblPos val="nextTo"/>
        <c:crossAx val="155793664"/>
        <c:crosses val="autoZero"/>
        <c:auto val="1"/>
        <c:lblAlgn val="ctr"/>
        <c:lblOffset val="100"/>
        <c:noMultiLvlLbl val="0"/>
      </c:catAx>
      <c:valAx>
        <c:axId val="155793664"/>
        <c:scaling>
          <c:orientation val="minMax"/>
        </c:scaling>
        <c:delete val="0"/>
        <c:axPos val="l"/>
        <c:title>
          <c:tx>
            <c:rich>
              <a:bodyPr/>
              <a:lstStyle/>
              <a:p>
                <a:pPr>
                  <a:defRPr/>
                </a:pPr>
                <a:r>
                  <a:rPr lang="en-US"/>
                  <a:t>Cars in Service (1000s)</a:t>
                </a:r>
              </a:p>
            </c:rich>
          </c:tx>
          <c:overlay val="0"/>
        </c:title>
        <c:numFmt formatCode="0" sourceLinked="1"/>
        <c:majorTickMark val="out"/>
        <c:minorTickMark val="none"/>
        <c:tickLblPos val="nextTo"/>
        <c:crossAx val="15579174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Chapter 1</vt:lpstr>
    </vt:vector>
  </TitlesOfParts>
  <Company>Brown Dog</Company>
  <LinksUpToDate>false</LinksUpToDate>
  <CharactersWithSpaces>10096</CharactersWithSpaces>
  <SharedDoc>false</SharedDoc>
  <HLinks>
    <vt:vector size="6" baseType="variant">
      <vt:variant>
        <vt:i4>4128825</vt:i4>
      </vt:variant>
      <vt:variant>
        <vt:i4>3</vt:i4>
      </vt:variant>
      <vt:variant>
        <vt:i4>0</vt:i4>
      </vt:variant>
      <vt:variant>
        <vt:i4>5</vt:i4>
      </vt:variant>
      <vt:variant>
        <vt:lpwstr>http://www.eia.doe.gov/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Preferred Customer</dc:creator>
  <cp:lastModifiedBy>Cathy</cp:lastModifiedBy>
  <cp:revision>4</cp:revision>
  <cp:lastPrinted>2011-08-24T01:14:00Z</cp:lastPrinted>
  <dcterms:created xsi:type="dcterms:W3CDTF">2012-09-29T21:23:00Z</dcterms:created>
  <dcterms:modified xsi:type="dcterms:W3CDTF">2012-09-29T21:27:00Z</dcterms:modified>
</cp:coreProperties>
</file>