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8"/>
        </w:rPr>
      </w:pPr>
      <w:r>
        <w:rPr>
          <w:rFonts w:ascii="Times" w:hAnsi="Times"/>
          <w:b/>
          <w:color w:val="000000"/>
          <w:sz w:val="28"/>
        </w:rPr>
        <w:t>Chapter 13</w:t>
      </w: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4"/>
        </w:rPr>
      </w:pPr>
      <w:r>
        <w:rPr>
          <w:rFonts w:ascii="Times" w:hAnsi="Times"/>
          <w:b/>
          <w:color w:val="000000"/>
          <w:sz w:val="28"/>
        </w:rPr>
        <w:t>Experimental Design</w:t>
      </w:r>
      <w:r w:rsidR="006805E3">
        <w:rPr>
          <w:rFonts w:ascii="Times" w:hAnsi="Times"/>
          <w:b/>
          <w:color w:val="000000"/>
          <w:sz w:val="28"/>
        </w:rPr>
        <w:t xml:space="preserve"> and Analysis of Variance</w:t>
      </w: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4"/>
        </w:rPr>
      </w:pP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color w:val="000000"/>
        </w:rPr>
      </w:pPr>
      <w:r>
        <w:rPr>
          <w:rFonts w:ascii="Times" w:hAnsi="Times"/>
          <w:b/>
          <w:color w:val="000000"/>
          <w:sz w:val="24"/>
        </w:rPr>
        <w:t>Case Problem 1:  Wentworth Medical Center</w:t>
      </w: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Descriptive statistics for the individuals in reasonably good health (MEDICAL1) are shown below:</w:t>
      </w: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77798F" w:rsidRDefault="0077798F">
      <w:pPr>
        <w:ind w:left="540"/>
        <w:rPr>
          <w:rFonts w:ascii="Courier" w:hAnsi="Courier"/>
          <w:color w:val="000000"/>
        </w:rPr>
      </w:pPr>
      <w:r>
        <w:rPr>
          <w:rFonts w:ascii="Courier" w:hAnsi="Courier"/>
          <w:color w:val="000000"/>
        </w:rPr>
        <w:t>Variable        N     Mean   Median   TrMean    StDev   SEMean</w:t>
      </w:r>
    </w:p>
    <w:p w:rsidR="0077798F" w:rsidRDefault="0077798F">
      <w:pPr>
        <w:ind w:left="540"/>
        <w:rPr>
          <w:rFonts w:ascii="Courier" w:hAnsi="Courier"/>
          <w:color w:val="000000"/>
        </w:rPr>
      </w:pPr>
      <w:r>
        <w:rPr>
          <w:rFonts w:ascii="Courier" w:hAnsi="Courier"/>
          <w:color w:val="000000"/>
        </w:rPr>
        <w:t>FL             20    5.550    6.000    5.556    2.139    0.478</w:t>
      </w:r>
    </w:p>
    <w:p w:rsidR="0077798F" w:rsidRDefault="0077798F">
      <w:pPr>
        <w:ind w:left="540"/>
        <w:rPr>
          <w:rFonts w:ascii="Courier" w:hAnsi="Courier"/>
          <w:color w:val="000000"/>
        </w:rPr>
      </w:pPr>
      <w:r>
        <w:rPr>
          <w:rFonts w:ascii="Courier" w:hAnsi="Courier"/>
          <w:color w:val="000000"/>
        </w:rPr>
        <w:t>NY             20    8.000    8.000    7.944    2.200    0.492</w:t>
      </w:r>
    </w:p>
    <w:p w:rsidR="0077798F" w:rsidRDefault="0077798F">
      <w:pPr>
        <w:ind w:left="540"/>
        <w:rPr>
          <w:rFonts w:ascii="Courier" w:hAnsi="Courier"/>
          <w:color w:val="000000"/>
        </w:rPr>
      </w:pPr>
      <w:r>
        <w:rPr>
          <w:rFonts w:ascii="Courier" w:hAnsi="Courier"/>
          <w:color w:val="000000"/>
        </w:rPr>
        <w:t>NC             20    7.050    7.500    7.000    2.837    0.634</w:t>
      </w:r>
    </w:p>
    <w:p w:rsidR="0077798F" w:rsidRDefault="0077798F">
      <w:pPr>
        <w:ind w:left="540"/>
        <w:rPr>
          <w:rFonts w:ascii="Courier" w:hAnsi="Courier"/>
          <w:color w:val="000000"/>
        </w:rPr>
      </w:pPr>
    </w:p>
    <w:p w:rsidR="0077798F" w:rsidRDefault="0077798F">
      <w:pPr>
        <w:ind w:left="540"/>
        <w:rPr>
          <w:rFonts w:ascii="Courier" w:hAnsi="Courier"/>
          <w:color w:val="000000"/>
        </w:rPr>
      </w:pPr>
      <w:r>
        <w:rPr>
          <w:rFonts w:ascii="Courier" w:hAnsi="Courier"/>
          <w:color w:val="000000"/>
        </w:rPr>
        <w:t>Variable      Min      Max       Q1       Q3</w:t>
      </w:r>
    </w:p>
    <w:p w:rsidR="0077798F" w:rsidRDefault="0077798F">
      <w:pPr>
        <w:ind w:left="540"/>
        <w:rPr>
          <w:rFonts w:ascii="Courier" w:hAnsi="Courier"/>
          <w:color w:val="000000"/>
        </w:rPr>
      </w:pPr>
      <w:r>
        <w:rPr>
          <w:rFonts w:ascii="Courier" w:hAnsi="Courier"/>
          <w:color w:val="000000"/>
        </w:rPr>
        <w:t>FL          2.000    9.000    3.250    7.000</w:t>
      </w:r>
    </w:p>
    <w:p w:rsidR="0077798F" w:rsidRDefault="0077798F">
      <w:pPr>
        <w:ind w:left="540"/>
        <w:rPr>
          <w:rFonts w:ascii="Courier" w:hAnsi="Courier"/>
          <w:color w:val="000000"/>
        </w:rPr>
      </w:pPr>
      <w:r>
        <w:rPr>
          <w:rFonts w:ascii="Courier" w:hAnsi="Courier"/>
          <w:color w:val="000000"/>
        </w:rPr>
        <w:t>NY          4.000   13.000    7.000    8.750</w:t>
      </w:r>
    </w:p>
    <w:p w:rsidR="0077798F" w:rsidRDefault="0077798F">
      <w:pPr>
        <w:ind w:left="540"/>
        <w:rPr>
          <w:rFonts w:ascii="Courier" w:hAnsi="Courier"/>
          <w:color w:val="000000"/>
        </w:rPr>
      </w:pPr>
      <w:r>
        <w:rPr>
          <w:rFonts w:ascii="Courier" w:hAnsi="Courier"/>
          <w:color w:val="000000"/>
        </w:rPr>
        <w:t>NC          3.000   12.000    4.250    8.750</w:t>
      </w: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Descriptive statistics for the individuals who had a chronic health condition  (MEDICAL2) are shown below:</w:t>
      </w: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77798F" w:rsidRDefault="0077798F">
      <w:pPr>
        <w:ind w:left="540"/>
        <w:rPr>
          <w:rFonts w:ascii="Courier" w:hAnsi="Courier"/>
          <w:color w:val="000000"/>
        </w:rPr>
      </w:pPr>
      <w:r>
        <w:rPr>
          <w:rFonts w:ascii="Courier" w:hAnsi="Courier"/>
          <w:color w:val="000000"/>
        </w:rPr>
        <w:t>Variable        N     Mean   Median   TrMean    StDev   SEMean</w:t>
      </w:r>
    </w:p>
    <w:p w:rsidR="0077798F" w:rsidRDefault="0077798F">
      <w:pPr>
        <w:ind w:left="540"/>
        <w:rPr>
          <w:rFonts w:ascii="Courier" w:hAnsi="Courier"/>
          <w:color w:val="000000"/>
        </w:rPr>
      </w:pPr>
      <w:r>
        <w:rPr>
          <w:rFonts w:ascii="Courier" w:hAnsi="Courier"/>
          <w:color w:val="000000"/>
        </w:rPr>
        <w:t>FL             20   14.500   14.500   14.444    3.171    0.709</w:t>
      </w:r>
    </w:p>
    <w:p w:rsidR="0077798F" w:rsidRDefault="0077798F">
      <w:pPr>
        <w:ind w:left="540"/>
        <w:rPr>
          <w:rFonts w:ascii="Courier" w:hAnsi="Courier"/>
          <w:color w:val="000000"/>
        </w:rPr>
      </w:pPr>
      <w:r>
        <w:rPr>
          <w:rFonts w:ascii="Courier" w:hAnsi="Courier"/>
          <w:color w:val="000000"/>
        </w:rPr>
        <w:t>NY             20   15.250   14.500   15.111    4.128    0.923</w:t>
      </w:r>
    </w:p>
    <w:p w:rsidR="0077798F" w:rsidRDefault="0077798F">
      <w:pPr>
        <w:ind w:left="540"/>
        <w:rPr>
          <w:rFonts w:ascii="Courier" w:hAnsi="Courier"/>
          <w:color w:val="000000"/>
        </w:rPr>
      </w:pPr>
      <w:r>
        <w:rPr>
          <w:rFonts w:ascii="Courier" w:hAnsi="Courier"/>
          <w:color w:val="000000"/>
        </w:rPr>
        <w:t>NC             20   13.950   14.000   14.000    2.946    0.659</w:t>
      </w:r>
    </w:p>
    <w:p w:rsidR="0077798F" w:rsidRDefault="0077798F">
      <w:pPr>
        <w:ind w:left="540"/>
        <w:rPr>
          <w:rFonts w:ascii="Courier" w:hAnsi="Courier"/>
          <w:color w:val="000000"/>
        </w:rPr>
      </w:pPr>
    </w:p>
    <w:p w:rsidR="0077798F" w:rsidRDefault="0077798F">
      <w:pPr>
        <w:ind w:left="540"/>
        <w:rPr>
          <w:rFonts w:ascii="Courier" w:hAnsi="Courier"/>
          <w:color w:val="000000"/>
        </w:rPr>
      </w:pPr>
      <w:r>
        <w:rPr>
          <w:rFonts w:ascii="Courier" w:hAnsi="Courier"/>
          <w:color w:val="000000"/>
        </w:rPr>
        <w:t>Variable      Min      Max       Q1       Q3</w:t>
      </w:r>
    </w:p>
    <w:p w:rsidR="0077798F" w:rsidRDefault="0077798F">
      <w:pPr>
        <w:ind w:left="540"/>
        <w:rPr>
          <w:rFonts w:ascii="Courier" w:hAnsi="Courier"/>
          <w:color w:val="000000"/>
        </w:rPr>
      </w:pPr>
      <w:r>
        <w:rPr>
          <w:rFonts w:ascii="Courier" w:hAnsi="Courier"/>
          <w:color w:val="000000"/>
        </w:rPr>
        <w:t>FL          9.000   21.000   12.000   17.000</w:t>
      </w:r>
    </w:p>
    <w:p w:rsidR="0077798F" w:rsidRDefault="0077798F">
      <w:pPr>
        <w:ind w:left="540"/>
        <w:rPr>
          <w:rFonts w:ascii="Courier" w:hAnsi="Courier"/>
          <w:color w:val="000000"/>
        </w:rPr>
      </w:pPr>
      <w:r>
        <w:rPr>
          <w:rFonts w:ascii="Courier" w:hAnsi="Courier"/>
          <w:color w:val="000000"/>
        </w:rPr>
        <w:t>NY          9.000   24.000   12.250   17.750</w:t>
      </w:r>
    </w:p>
    <w:p w:rsidR="0077798F" w:rsidRDefault="0077798F">
      <w:pPr>
        <w:ind w:left="540"/>
        <w:rPr>
          <w:rFonts w:ascii="Courier" w:hAnsi="Courier"/>
          <w:color w:val="000000"/>
        </w:rPr>
      </w:pPr>
      <w:r>
        <w:rPr>
          <w:rFonts w:ascii="Courier" w:hAnsi="Courier"/>
          <w:color w:val="000000"/>
        </w:rPr>
        <w:t>NC          8.000   19.000   12.000   16.750</w:t>
      </w: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The depression levels for the individuals who had a chronic health condition are, on average, much higher than the depression levels of individuals in reasonably good health.</w:t>
      </w:r>
    </w:p>
    <w:p w:rsidR="0077798F" w:rsidRDefault="0077798F">
      <w:pPr>
        <w:tabs>
          <w:tab w:val="left" w:pos="-960"/>
          <w:tab w:val="left" w:pos="-240"/>
          <w:tab w:val="left" w:pos="480"/>
          <w:tab w:val="left" w:pos="880"/>
          <w:tab w:val="left" w:pos="1240"/>
          <w:tab w:val="left" w:pos="2080"/>
          <w:tab w:val="left" w:pos="3360"/>
          <w:tab w:val="left" w:pos="4080"/>
          <w:tab w:val="left" w:pos="4800"/>
          <w:tab w:val="left" w:pos="5520"/>
          <w:tab w:val="left" w:pos="6240"/>
          <w:tab w:val="left" w:pos="6960"/>
          <w:tab w:val="left" w:pos="7680"/>
          <w:tab w:val="left" w:pos="8400"/>
          <w:tab w:val="left" w:pos="9120"/>
          <w:tab w:val="left" w:pos="9840"/>
          <w:tab w:val="left" w:pos="10560"/>
          <w:tab w:val="left" w:pos="11280"/>
          <w:tab w:val="left" w:pos="12000"/>
        </w:tabs>
        <w:ind w:left="480" w:right="-720"/>
        <w:rPr>
          <w:rFonts w:ascii="Times" w:hAnsi="Times"/>
          <w:color w:val="000000"/>
        </w:rPr>
      </w:pPr>
    </w:p>
    <w:p w:rsidR="0077798F" w:rsidRDefault="0077798F">
      <w:pPr>
        <w:tabs>
          <w:tab w:val="left" w:pos="-960"/>
          <w:tab w:val="left" w:pos="-240"/>
          <w:tab w:val="left" w:pos="480"/>
          <w:tab w:val="left" w:pos="880"/>
          <w:tab w:val="left" w:pos="1240"/>
          <w:tab w:val="left" w:pos="2080"/>
          <w:tab w:val="left" w:pos="3360"/>
          <w:tab w:val="left" w:pos="4080"/>
          <w:tab w:val="left" w:pos="4800"/>
          <w:tab w:val="left" w:pos="5520"/>
          <w:tab w:val="left" w:pos="6240"/>
          <w:tab w:val="left" w:pos="6960"/>
          <w:tab w:val="left" w:pos="7680"/>
          <w:tab w:val="left" w:pos="8400"/>
          <w:tab w:val="left" w:pos="9120"/>
          <w:tab w:val="left" w:pos="9840"/>
          <w:tab w:val="left" w:pos="10560"/>
          <w:tab w:val="left" w:pos="11280"/>
          <w:tab w:val="left" w:pos="12000"/>
        </w:tabs>
        <w:ind w:left="480" w:right="-720"/>
        <w:rPr>
          <w:rFonts w:ascii="Times" w:hAnsi="Times"/>
          <w:color w:val="000000"/>
        </w:rPr>
      </w:pPr>
      <w:r>
        <w:rPr>
          <w:rFonts w:ascii="Times" w:hAnsi="Times"/>
          <w:color w:val="000000"/>
        </w:rPr>
        <w:t>The analysis of variance results for the individuals in reasonably good health (MEDICAL1) are shown below:</w:t>
      </w:r>
    </w:p>
    <w:p w:rsidR="0077798F" w:rsidRDefault="0077798F">
      <w:pPr>
        <w:tabs>
          <w:tab w:val="left" w:pos="-960"/>
          <w:tab w:val="left" w:pos="-240"/>
          <w:tab w:val="left" w:pos="480"/>
          <w:tab w:val="left" w:pos="880"/>
          <w:tab w:val="left" w:pos="1240"/>
          <w:tab w:val="left" w:pos="2080"/>
          <w:tab w:val="left" w:pos="3360"/>
          <w:tab w:val="left" w:pos="4080"/>
          <w:tab w:val="left" w:pos="4800"/>
          <w:tab w:val="left" w:pos="5520"/>
          <w:tab w:val="left" w:pos="6240"/>
          <w:tab w:val="left" w:pos="6960"/>
          <w:tab w:val="left" w:pos="7680"/>
          <w:tab w:val="left" w:pos="8400"/>
          <w:tab w:val="left" w:pos="9120"/>
          <w:tab w:val="left" w:pos="9840"/>
          <w:tab w:val="left" w:pos="10560"/>
          <w:tab w:val="left" w:pos="11280"/>
          <w:tab w:val="left" w:pos="12000"/>
        </w:tabs>
        <w:ind w:left="480" w:right="-720"/>
        <w:rPr>
          <w:rFonts w:ascii="Times" w:hAnsi="Times"/>
          <w:color w:val="000000"/>
        </w:rPr>
      </w:pPr>
    </w:p>
    <w:p w:rsidR="0077798F" w:rsidRDefault="0077798F">
      <w:pPr>
        <w:ind w:left="540"/>
        <w:rPr>
          <w:rFonts w:ascii="Courier" w:hAnsi="Courier"/>
          <w:color w:val="000000"/>
        </w:rPr>
      </w:pPr>
      <w:r>
        <w:rPr>
          <w:rFonts w:ascii="Courier" w:hAnsi="Courier"/>
          <w:color w:val="000000"/>
        </w:rPr>
        <w:t>Analysis of Variance</w:t>
      </w:r>
    </w:p>
    <w:p w:rsidR="0077798F" w:rsidRDefault="0077798F">
      <w:pPr>
        <w:ind w:left="540"/>
        <w:rPr>
          <w:rFonts w:ascii="Courier" w:hAnsi="Courier"/>
          <w:color w:val="000000"/>
        </w:rPr>
      </w:pPr>
      <w:r>
        <w:rPr>
          <w:rFonts w:ascii="Courier" w:hAnsi="Courier"/>
          <w:color w:val="000000"/>
        </w:rPr>
        <w:t>Source     DF        SS        MS        F        p</w:t>
      </w:r>
    </w:p>
    <w:p w:rsidR="0077798F" w:rsidRDefault="0077798F">
      <w:pPr>
        <w:ind w:left="540"/>
        <w:rPr>
          <w:rFonts w:ascii="Courier" w:hAnsi="Courier"/>
          <w:color w:val="000000"/>
        </w:rPr>
      </w:pPr>
      <w:r>
        <w:rPr>
          <w:rFonts w:ascii="Courier" w:hAnsi="Courier"/>
          <w:color w:val="000000"/>
        </w:rPr>
        <w:t>Factor      2     61.03     30.52     5.24    0.008</w:t>
      </w:r>
    </w:p>
    <w:p w:rsidR="0077798F" w:rsidRDefault="0077798F">
      <w:pPr>
        <w:ind w:left="540"/>
        <w:rPr>
          <w:rFonts w:ascii="Courier" w:hAnsi="Courier"/>
          <w:color w:val="000000"/>
        </w:rPr>
      </w:pPr>
      <w:r>
        <w:rPr>
          <w:rFonts w:ascii="Courier" w:hAnsi="Courier"/>
          <w:color w:val="000000"/>
        </w:rPr>
        <w:t>Error      57    331.90      5.82</w:t>
      </w:r>
    </w:p>
    <w:p w:rsidR="0077798F" w:rsidRDefault="0077798F">
      <w:pPr>
        <w:ind w:left="540"/>
        <w:rPr>
          <w:rFonts w:ascii="Courier" w:hAnsi="Courier"/>
          <w:color w:val="000000"/>
        </w:rPr>
      </w:pPr>
      <w:r>
        <w:rPr>
          <w:rFonts w:ascii="Courier" w:hAnsi="Courier"/>
          <w:color w:val="000000"/>
        </w:rPr>
        <w:t>Total      59    392.93</w:t>
      </w:r>
    </w:p>
    <w:p w:rsidR="0077798F" w:rsidRDefault="0077798F">
      <w:pPr>
        <w:ind w:left="540"/>
        <w:rPr>
          <w:rFonts w:ascii="Courier" w:hAnsi="Courier"/>
          <w:color w:val="000000"/>
        </w:rPr>
      </w:pPr>
      <w:r>
        <w:rPr>
          <w:rFonts w:ascii="Courier" w:hAnsi="Courier"/>
          <w:color w:val="000000"/>
        </w:rPr>
        <w:t xml:space="preserve">                                   Individual 95% CIs For Mean</w:t>
      </w:r>
    </w:p>
    <w:p w:rsidR="0077798F" w:rsidRDefault="0077798F">
      <w:pPr>
        <w:ind w:left="540"/>
        <w:rPr>
          <w:rFonts w:ascii="Courier" w:hAnsi="Courier"/>
          <w:color w:val="000000"/>
        </w:rPr>
      </w:pPr>
      <w:r>
        <w:rPr>
          <w:rFonts w:ascii="Courier" w:hAnsi="Courier"/>
          <w:color w:val="000000"/>
        </w:rPr>
        <w:t xml:space="preserve">                                   Based on Pooled StDev</w:t>
      </w:r>
    </w:p>
    <w:p w:rsidR="0077798F" w:rsidRDefault="0077798F">
      <w:pPr>
        <w:ind w:left="540"/>
        <w:rPr>
          <w:rFonts w:ascii="Courier" w:hAnsi="Courier"/>
          <w:color w:val="000000"/>
        </w:rPr>
      </w:pPr>
      <w:r>
        <w:rPr>
          <w:rFonts w:ascii="Courier" w:hAnsi="Courier"/>
          <w:color w:val="000000"/>
        </w:rPr>
        <w:t xml:space="preserve"> Level    N    Mean    StDev  -+---------+---------+---------+-----</w:t>
      </w:r>
    </w:p>
    <w:p w:rsidR="0077798F" w:rsidRDefault="0077798F">
      <w:pPr>
        <w:ind w:left="540"/>
        <w:rPr>
          <w:rFonts w:ascii="Courier" w:hAnsi="Courier"/>
          <w:color w:val="000000"/>
        </w:rPr>
      </w:pPr>
      <w:r>
        <w:rPr>
          <w:rFonts w:ascii="Courier" w:hAnsi="Courier"/>
          <w:color w:val="000000"/>
        </w:rPr>
        <w:t xml:space="preserve">FL       20   5.550    2.139   (------*------) </w:t>
      </w:r>
    </w:p>
    <w:p w:rsidR="0077798F" w:rsidRDefault="0077798F">
      <w:pPr>
        <w:ind w:left="540"/>
        <w:rPr>
          <w:rFonts w:ascii="Courier" w:hAnsi="Courier"/>
          <w:color w:val="000000"/>
        </w:rPr>
      </w:pPr>
      <w:r>
        <w:rPr>
          <w:rFonts w:ascii="Courier" w:hAnsi="Courier"/>
          <w:color w:val="000000"/>
        </w:rPr>
        <w:t xml:space="preserve">NY       20   8.000    2.200                   (------*-------) </w:t>
      </w:r>
    </w:p>
    <w:p w:rsidR="0077798F" w:rsidRDefault="0077798F">
      <w:pPr>
        <w:ind w:left="540"/>
        <w:rPr>
          <w:rFonts w:ascii="Courier" w:hAnsi="Courier"/>
          <w:color w:val="000000"/>
        </w:rPr>
      </w:pPr>
      <w:r>
        <w:rPr>
          <w:rFonts w:ascii="Courier" w:hAnsi="Courier"/>
          <w:color w:val="000000"/>
        </w:rPr>
        <w:t xml:space="preserve">NC       20   7.050    2.837             (------*------) </w:t>
      </w:r>
    </w:p>
    <w:p w:rsidR="0077798F" w:rsidRDefault="0077798F">
      <w:pPr>
        <w:ind w:left="540"/>
        <w:rPr>
          <w:rFonts w:ascii="Courier" w:hAnsi="Courier"/>
          <w:color w:val="000000"/>
        </w:rPr>
      </w:pPr>
      <w:r>
        <w:rPr>
          <w:rFonts w:ascii="Courier" w:hAnsi="Courier"/>
          <w:color w:val="000000"/>
        </w:rPr>
        <w:t xml:space="preserve">                              -+---------+---------+---------+-----</w:t>
      </w:r>
    </w:p>
    <w:p w:rsidR="0077798F" w:rsidRDefault="0077798F">
      <w:pPr>
        <w:tabs>
          <w:tab w:val="left" w:pos="-960"/>
          <w:tab w:val="left" w:pos="-240"/>
          <w:tab w:val="left" w:pos="480"/>
          <w:tab w:val="left" w:pos="880"/>
          <w:tab w:val="left" w:pos="1240"/>
          <w:tab w:val="left" w:pos="2080"/>
          <w:tab w:val="left" w:pos="3360"/>
          <w:tab w:val="left" w:pos="4080"/>
          <w:tab w:val="left" w:pos="4800"/>
          <w:tab w:val="left" w:pos="5520"/>
          <w:tab w:val="left" w:pos="6240"/>
          <w:tab w:val="left" w:pos="6960"/>
          <w:tab w:val="left" w:pos="7680"/>
          <w:tab w:val="left" w:pos="8400"/>
          <w:tab w:val="left" w:pos="9120"/>
          <w:tab w:val="left" w:pos="9840"/>
          <w:tab w:val="left" w:pos="10560"/>
          <w:tab w:val="left" w:pos="11280"/>
          <w:tab w:val="left" w:pos="12000"/>
        </w:tabs>
        <w:ind w:left="540" w:right="-720"/>
        <w:rPr>
          <w:rFonts w:ascii="Times" w:hAnsi="Times"/>
          <w:color w:val="000000"/>
        </w:rPr>
      </w:pPr>
      <w:r>
        <w:rPr>
          <w:rFonts w:ascii="Courier" w:hAnsi="Courier"/>
          <w:color w:val="000000"/>
        </w:rPr>
        <w:t>Pooled StDev = 2.413          4.5       6.0       7.5       9.0</w:t>
      </w:r>
    </w:p>
    <w:p w:rsidR="0077798F" w:rsidRDefault="0077798F">
      <w:pPr>
        <w:tabs>
          <w:tab w:val="left" w:pos="-960"/>
          <w:tab w:val="left" w:pos="-240"/>
          <w:tab w:val="left" w:pos="480"/>
          <w:tab w:val="left" w:pos="880"/>
          <w:tab w:val="left" w:pos="1240"/>
          <w:tab w:val="left" w:pos="2080"/>
          <w:tab w:val="left" w:pos="3360"/>
          <w:tab w:val="left" w:pos="4080"/>
          <w:tab w:val="left" w:pos="4800"/>
          <w:tab w:val="left" w:pos="5520"/>
          <w:tab w:val="left" w:pos="6240"/>
          <w:tab w:val="left" w:pos="6960"/>
          <w:tab w:val="left" w:pos="7680"/>
          <w:tab w:val="left" w:pos="8400"/>
          <w:tab w:val="left" w:pos="9120"/>
          <w:tab w:val="left" w:pos="9840"/>
          <w:tab w:val="left" w:pos="10560"/>
          <w:tab w:val="left" w:pos="11280"/>
          <w:tab w:val="left" w:pos="12000"/>
        </w:tabs>
        <w:ind w:left="480" w:right="-720"/>
        <w:rPr>
          <w:rFonts w:ascii="Times" w:hAnsi="Times"/>
          <w:color w:val="000000"/>
        </w:rPr>
      </w:pP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 xml:space="preserve">The </w:t>
      </w:r>
      <w:r>
        <w:rPr>
          <w:rFonts w:ascii="Times" w:hAnsi="Times"/>
          <w:i/>
          <w:color w:val="000000"/>
        </w:rPr>
        <w:t>p</w:t>
      </w:r>
      <w:r>
        <w:rPr>
          <w:rFonts w:ascii="Times" w:hAnsi="Times"/>
          <w:color w:val="000000"/>
        </w:rPr>
        <w:t>-value of .008 supports the conclusion that the mean depression scores are not the same for the three states.  The observed differences appear to be due to the difference between the mean depression score for residents of Florida and New York.</w:t>
      </w: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77798F" w:rsidRDefault="0077798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The analysis of variance results for the individuals who had a chronic health condition  (MEDICAL2) are shown below:</w:t>
      </w:r>
    </w:p>
    <w:p w:rsidR="0077798F" w:rsidRDefault="0077798F">
      <w:pPr>
        <w:ind w:firstLine="540"/>
        <w:rPr>
          <w:rFonts w:ascii="Courier" w:hAnsi="Courier"/>
          <w:color w:val="000000"/>
        </w:rPr>
      </w:pPr>
      <w:r>
        <w:rPr>
          <w:rFonts w:ascii="Courier" w:hAnsi="Courier"/>
          <w:color w:val="000000"/>
        </w:rPr>
        <w:lastRenderedPageBreak/>
        <w:t>Analysis of Variance</w:t>
      </w:r>
    </w:p>
    <w:p w:rsidR="0077798F" w:rsidRDefault="0077798F">
      <w:pPr>
        <w:ind w:firstLine="540"/>
        <w:rPr>
          <w:rFonts w:ascii="Courier" w:hAnsi="Courier"/>
          <w:color w:val="000000"/>
        </w:rPr>
      </w:pPr>
      <w:r>
        <w:rPr>
          <w:rFonts w:ascii="Courier" w:hAnsi="Courier"/>
          <w:color w:val="000000"/>
        </w:rPr>
        <w:t>Source     DF        SS        MS        F        p</w:t>
      </w:r>
    </w:p>
    <w:p w:rsidR="0077798F" w:rsidRDefault="0077798F">
      <w:pPr>
        <w:ind w:firstLine="540"/>
        <w:rPr>
          <w:rFonts w:ascii="Courier" w:hAnsi="Courier"/>
          <w:color w:val="000000"/>
        </w:rPr>
      </w:pPr>
      <w:r>
        <w:rPr>
          <w:rFonts w:ascii="Courier" w:hAnsi="Courier"/>
          <w:color w:val="000000"/>
        </w:rPr>
        <w:t>Factor      2      17.0       8.5     0.71    0.494</w:t>
      </w:r>
    </w:p>
    <w:p w:rsidR="0077798F" w:rsidRDefault="0077798F">
      <w:pPr>
        <w:ind w:firstLine="540"/>
        <w:rPr>
          <w:rFonts w:ascii="Courier" w:hAnsi="Courier"/>
          <w:color w:val="000000"/>
        </w:rPr>
      </w:pPr>
      <w:r>
        <w:rPr>
          <w:rFonts w:ascii="Courier" w:hAnsi="Courier"/>
          <w:color w:val="000000"/>
        </w:rPr>
        <w:t>Error      57     679.7      11.9</w:t>
      </w:r>
    </w:p>
    <w:p w:rsidR="0077798F" w:rsidRDefault="0077798F">
      <w:pPr>
        <w:ind w:firstLine="540"/>
        <w:rPr>
          <w:rFonts w:ascii="Courier" w:hAnsi="Courier"/>
          <w:color w:val="000000"/>
        </w:rPr>
      </w:pPr>
      <w:r>
        <w:rPr>
          <w:rFonts w:ascii="Courier" w:hAnsi="Courier"/>
          <w:color w:val="000000"/>
        </w:rPr>
        <w:t>Total      59     696.7</w:t>
      </w:r>
    </w:p>
    <w:p w:rsidR="0077798F" w:rsidRDefault="0077798F">
      <w:pPr>
        <w:ind w:firstLine="540"/>
        <w:rPr>
          <w:rFonts w:ascii="Courier" w:hAnsi="Courier"/>
          <w:color w:val="000000"/>
        </w:rPr>
      </w:pPr>
      <w:r>
        <w:rPr>
          <w:rFonts w:ascii="Courier" w:hAnsi="Courier"/>
          <w:color w:val="000000"/>
        </w:rPr>
        <w:t xml:space="preserve">                                   Individual 95% CIs For Mean</w:t>
      </w:r>
    </w:p>
    <w:p w:rsidR="0077798F" w:rsidRDefault="0077798F">
      <w:pPr>
        <w:ind w:firstLine="540"/>
        <w:rPr>
          <w:rFonts w:ascii="Courier" w:hAnsi="Courier"/>
          <w:color w:val="000000"/>
        </w:rPr>
      </w:pPr>
      <w:r>
        <w:rPr>
          <w:rFonts w:ascii="Courier" w:hAnsi="Courier"/>
          <w:color w:val="000000"/>
        </w:rPr>
        <w:t xml:space="preserve">                                   Based on Pooled StDev</w:t>
      </w:r>
    </w:p>
    <w:p w:rsidR="0077798F" w:rsidRDefault="0077798F">
      <w:pPr>
        <w:ind w:firstLine="540"/>
        <w:rPr>
          <w:rFonts w:ascii="Courier" w:hAnsi="Courier"/>
          <w:color w:val="000000"/>
        </w:rPr>
      </w:pPr>
      <w:r>
        <w:rPr>
          <w:rFonts w:ascii="Courier" w:hAnsi="Courier"/>
          <w:color w:val="000000"/>
        </w:rPr>
        <w:t xml:space="preserve"> Level   N    Mean    StDev  -------+---------+---------+---------</w:t>
      </w:r>
    </w:p>
    <w:p w:rsidR="0077798F" w:rsidRDefault="0077798F">
      <w:pPr>
        <w:ind w:firstLine="540"/>
        <w:rPr>
          <w:rFonts w:ascii="Courier" w:hAnsi="Courier"/>
          <w:color w:val="000000"/>
        </w:rPr>
      </w:pPr>
      <w:r>
        <w:rPr>
          <w:rFonts w:ascii="Courier" w:hAnsi="Courier"/>
          <w:color w:val="000000"/>
        </w:rPr>
        <w:t xml:space="preserve">FL      20   14.500   3.171       (------------*------------) </w:t>
      </w:r>
    </w:p>
    <w:p w:rsidR="0077798F" w:rsidRDefault="0077798F">
      <w:pPr>
        <w:ind w:firstLine="540"/>
        <w:rPr>
          <w:rFonts w:ascii="Courier" w:hAnsi="Courier"/>
          <w:color w:val="000000"/>
        </w:rPr>
      </w:pPr>
      <w:r>
        <w:rPr>
          <w:rFonts w:ascii="Courier" w:hAnsi="Courier"/>
          <w:color w:val="000000"/>
        </w:rPr>
        <w:t>NY      20   15.250   4.128             (------------*------------)</w:t>
      </w:r>
    </w:p>
    <w:p w:rsidR="0077798F" w:rsidRDefault="0077798F">
      <w:pPr>
        <w:ind w:firstLine="540"/>
        <w:rPr>
          <w:rFonts w:ascii="Courier" w:hAnsi="Courier"/>
          <w:color w:val="000000"/>
        </w:rPr>
      </w:pPr>
      <w:r>
        <w:rPr>
          <w:rFonts w:ascii="Courier" w:hAnsi="Courier"/>
          <w:color w:val="000000"/>
        </w:rPr>
        <w:t xml:space="preserve">NC      20   13.950   2.946  (------------*------------) </w:t>
      </w:r>
    </w:p>
    <w:p w:rsidR="0077798F" w:rsidRDefault="0077798F">
      <w:pPr>
        <w:ind w:firstLine="540"/>
        <w:rPr>
          <w:rFonts w:ascii="Courier" w:hAnsi="Courier"/>
          <w:color w:val="000000"/>
        </w:rPr>
      </w:pPr>
      <w:r>
        <w:rPr>
          <w:rFonts w:ascii="Courier" w:hAnsi="Courier"/>
          <w:color w:val="000000"/>
        </w:rPr>
        <w:t xml:space="preserve">                              -------+---------+---------+---------</w:t>
      </w:r>
    </w:p>
    <w:p w:rsidR="0077798F" w:rsidRDefault="0077798F">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firstLine="540"/>
        <w:rPr>
          <w:rFonts w:ascii="Times" w:hAnsi="Times"/>
          <w:color w:val="000000"/>
        </w:rPr>
      </w:pPr>
      <w:r>
        <w:rPr>
          <w:rFonts w:ascii="Courier" w:hAnsi="Courier"/>
          <w:color w:val="000000"/>
        </w:rPr>
        <w:t>Pooled StDev = 3.453           13.2      14.4      15.6</w:t>
      </w:r>
    </w:p>
    <w:p w:rsidR="0077798F" w:rsidRDefault="0077798F">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rPr>
          <w:rFonts w:ascii="Times" w:hAnsi="Times"/>
          <w:color w:val="000000"/>
        </w:rPr>
      </w:pPr>
    </w:p>
    <w:p w:rsidR="0077798F" w:rsidRDefault="0077798F">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rPr>
          <w:rFonts w:ascii="Times" w:hAnsi="Times"/>
          <w:b/>
          <w:color w:val="000000"/>
          <w:sz w:val="24"/>
        </w:rPr>
      </w:pPr>
      <w:r>
        <w:rPr>
          <w:rFonts w:ascii="Times" w:hAnsi="Times"/>
          <w:color w:val="000000"/>
        </w:rPr>
        <w:t xml:space="preserve">At the 5% level of significance there does not appear to be any significant difference in the mean depression scores among the three states. </w:t>
      </w:r>
    </w:p>
    <w:p w:rsidR="0077798F" w:rsidRDefault="0077798F">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rPr>
          <w:rFonts w:ascii="Times" w:hAnsi="Times"/>
          <w:b/>
          <w:color w:val="000000"/>
          <w:sz w:val="24"/>
        </w:rPr>
      </w:pPr>
    </w:p>
    <w:p w:rsidR="0077798F" w:rsidRDefault="0077798F">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rFonts w:ascii="Times" w:hAnsi="Times"/>
          <w:color w:val="000000"/>
          <w:sz w:val="24"/>
        </w:rPr>
      </w:pPr>
      <w:r>
        <w:rPr>
          <w:rFonts w:ascii="Times" w:hAnsi="Times"/>
          <w:b/>
          <w:color w:val="000000"/>
          <w:sz w:val="24"/>
        </w:rPr>
        <w:t xml:space="preserve">Case Problem 2: Compensation for </w:t>
      </w:r>
      <w:r w:rsidR="0086356F">
        <w:rPr>
          <w:rFonts w:ascii="Times" w:hAnsi="Times"/>
          <w:b/>
          <w:color w:val="000000"/>
          <w:sz w:val="24"/>
        </w:rPr>
        <w:t>Sales</w:t>
      </w:r>
      <w:r>
        <w:rPr>
          <w:rFonts w:ascii="Times" w:hAnsi="Times"/>
          <w:b/>
          <w:color w:val="000000"/>
          <w:sz w:val="24"/>
        </w:rPr>
        <w:t xml:space="preserve"> Professionals</w:t>
      </w:r>
    </w:p>
    <w:p w:rsidR="006940AD" w:rsidRPr="00FF19E6"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rPr>
          <w:color w:val="000000"/>
        </w:rPr>
      </w:pPr>
    </w:p>
    <w:p w:rsidR="006940AD" w:rsidRPr="00FF19E6"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sidRPr="00FF19E6">
        <w:rPr>
          <w:color w:val="000000"/>
        </w:rPr>
        <w:t xml:space="preserve">1.  </w:t>
      </w:r>
      <w:r w:rsidRPr="00FF19E6">
        <w:rPr>
          <w:color w:val="000000"/>
        </w:rPr>
        <w:tab/>
        <w:t>Descriptive statistics for Salary ($)</w:t>
      </w:r>
    </w:p>
    <w:p w:rsidR="006940AD" w:rsidRPr="00FF19E6"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tbl>
      <w:tblPr>
        <w:tblW w:w="7938" w:type="dxa"/>
        <w:tblInd w:w="610" w:type="dxa"/>
        <w:tblCellMar>
          <w:left w:w="0" w:type="dxa"/>
          <w:right w:w="0" w:type="dxa"/>
        </w:tblCellMar>
        <w:tblLook w:val="0000" w:firstRow="0" w:lastRow="0" w:firstColumn="0" w:lastColumn="0" w:noHBand="0" w:noVBand="0"/>
      </w:tblPr>
      <w:tblGrid>
        <w:gridCol w:w="1080"/>
        <w:gridCol w:w="1178"/>
        <w:gridCol w:w="1420"/>
        <w:gridCol w:w="1420"/>
        <w:gridCol w:w="1420"/>
        <w:gridCol w:w="1420"/>
      </w:tblGrid>
      <w:tr w:rsidR="006940AD" w:rsidRPr="00FF19E6">
        <w:trPr>
          <w:trHeight w:val="315"/>
        </w:trPr>
        <w:tc>
          <w:tcPr>
            <w:tcW w:w="1080" w:type="dxa"/>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 </w:t>
            </w:r>
          </w:p>
        </w:tc>
        <w:tc>
          <w:tcPr>
            <w:tcW w:w="1178" w:type="dxa"/>
            <w:tcBorders>
              <w:top w:val="single" w:sz="4" w:space="0" w:color="000000"/>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 </w:t>
            </w:r>
          </w:p>
        </w:tc>
        <w:tc>
          <w:tcPr>
            <w:tcW w:w="4260" w:type="dxa"/>
            <w:gridSpan w:val="3"/>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center"/>
              <w:rPr>
                <w:b/>
              </w:rPr>
            </w:pPr>
            <w:r w:rsidRPr="00FF19E6">
              <w:rPr>
                <w:b/>
              </w:rPr>
              <w:t>Experience</w:t>
            </w:r>
          </w:p>
        </w:tc>
        <w:tc>
          <w:tcPr>
            <w:tcW w:w="1420" w:type="dxa"/>
            <w:tcBorders>
              <w:top w:val="single" w:sz="4" w:space="0" w:color="000000"/>
              <w:left w:val="nil"/>
              <w:bottom w:val="nil"/>
              <w:right w:val="single" w:sz="4" w:space="0" w:color="000000"/>
            </w:tcBorders>
            <w:shd w:val="clear" w:color="auto" w:fill="auto"/>
            <w:noWrap/>
            <w:tcMar>
              <w:top w:w="10" w:type="dxa"/>
              <w:left w:w="10" w:type="dxa"/>
              <w:bottom w:w="0" w:type="dxa"/>
              <w:right w:w="10" w:type="dxa"/>
            </w:tcMar>
            <w:vAlign w:val="bottom"/>
          </w:tcPr>
          <w:p w:rsidR="006940AD" w:rsidRPr="00FF19E6" w:rsidRDefault="006940AD" w:rsidP="00432612">
            <w:r w:rsidRPr="00FF19E6">
              <w:t> </w:t>
            </w:r>
          </w:p>
        </w:tc>
      </w:tr>
      <w:tr w:rsidR="006940AD" w:rsidRPr="00FF19E6">
        <w:trPr>
          <w:trHeight w:val="315"/>
        </w:trPr>
        <w:tc>
          <w:tcPr>
            <w:tcW w:w="1080" w:type="dxa"/>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center"/>
              <w:rPr>
                <w:b/>
              </w:rPr>
            </w:pPr>
            <w:r w:rsidRPr="00FF19E6">
              <w:rPr>
                <w:b/>
              </w:rPr>
              <w:t>Position</w:t>
            </w:r>
          </w:p>
        </w:tc>
        <w:tc>
          <w:tcPr>
            <w:tcW w:w="1178" w:type="dxa"/>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tc>
        <w:tc>
          <w:tcPr>
            <w:tcW w:w="0" w:type="auto"/>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center"/>
            </w:pPr>
            <w:r w:rsidRPr="00FF19E6">
              <w:t>Low</w:t>
            </w:r>
          </w:p>
        </w:tc>
        <w:tc>
          <w:tcPr>
            <w:tcW w:w="0" w:type="auto"/>
            <w:tcBorders>
              <w:top w:val="single" w:sz="4" w:space="0" w:color="000000"/>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center"/>
            </w:pPr>
            <w:r w:rsidRPr="00FF19E6">
              <w:t>Medium</w:t>
            </w:r>
          </w:p>
        </w:tc>
        <w:tc>
          <w:tcPr>
            <w:tcW w:w="0" w:type="auto"/>
            <w:tcBorders>
              <w:top w:val="single" w:sz="4" w:space="0" w:color="000000"/>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center"/>
            </w:pPr>
            <w:r w:rsidRPr="00FF19E6">
              <w:t>High</w:t>
            </w:r>
          </w:p>
        </w:tc>
        <w:tc>
          <w:tcPr>
            <w:tcW w:w="0" w:type="auto"/>
            <w:tcBorders>
              <w:top w:val="single" w:sz="4" w:space="0" w:color="000000"/>
              <w:left w:val="single" w:sz="4" w:space="0" w:color="000000"/>
              <w:bottom w:val="nil"/>
              <w:right w:val="single" w:sz="4" w:space="0" w:color="000000"/>
            </w:tcBorders>
            <w:shd w:val="clear" w:color="auto" w:fill="auto"/>
            <w:noWrap/>
            <w:tcMar>
              <w:top w:w="10" w:type="dxa"/>
              <w:left w:w="10" w:type="dxa"/>
              <w:bottom w:w="0" w:type="dxa"/>
              <w:right w:w="10" w:type="dxa"/>
            </w:tcMar>
            <w:vAlign w:val="bottom"/>
          </w:tcPr>
          <w:p w:rsidR="006940AD" w:rsidRPr="00FF19E6" w:rsidRDefault="006940AD" w:rsidP="00432612">
            <w:pPr>
              <w:jc w:val="center"/>
            </w:pPr>
            <w:r w:rsidRPr="00FF19E6">
              <w:t>Total</w:t>
            </w:r>
          </w:p>
        </w:tc>
      </w:tr>
      <w:tr w:rsidR="006940AD" w:rsidRPr="00FF19E6">
        <w:trPr>
          <w:trHeight w:val="315"/>
        </w:trPr>
        <w:tc>
          <w:tcPr>
            <w:tcW w:w="1080" w:type="dxa"/>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Inside</w:t>
            </w:r>
          </w:p>
        </w:tc>
        <w:tc>
          <w:tcPr>
            <w:tcW w:w="1178" w:type="dxa"/>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Number Obs.</w:t>
            </w:r>
          </w:p>
        </w:tc>
        <w:tc>
          <w:tcPr>
            <w:tcW w:w="0" w:type="auto"/>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20</w:t>
            </w:r>
          </w:p>
        </w:tc>
        <w:tc>
          <w:tcPr>
            <w:tcW w:w="0" w:type="auto"/>
            <w:tcBorders>
              <w:top w:val="single" w:sz="4" w:space="0" w:color="000000"/>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20</w:t>
            </w:r>
          </w:p>
        </w:tc>
        <w:tc>
          <w:tcPr>
            <w:tcW w:w="0" w:type="auto"/>
            <w:tcBorders>
              <w:top w:val="single" w:sz="4" w:space="0" w:color="000000"/>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20</w:t>
            </w:r>
          </w:p>
        </w:tc>
        <w:tc>
          <w:tcPr>
            <w:tcW w:w="0" w:type="auto"/>
            <w:tcBorders>
              <w:top w:val="single" w:sz="4" w:space="0" w:color="000000"/>
              <w:left w:val="single" w:sz="4" w:space="0" w:color="000000"/>
              <w:bottom w:val="nil"/>
              <w:right w:val="single" w:sz="4" w:space="0" w:color="000000"/>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60</w:t>
            </w:r>
          </w:p>
        </w:tc>
      </w:tr>
      <w:tr w:rsidR="006940AD" w:rsidRPr="00FF19E6">
        <w:trPr>
          <w:trHeight w:val="315"/>
        </w:trPr>
        <w:tc>
          <w:tcPr>
            <w:tcW w:w="1080" w:type="dxa"/>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 </w:t>
            </w:r>
          </w:p>
        </w:tc>
        <w:tc>
          <w:tcPr>
            <w:tcW w:w="1178" w:type="dxa"/>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 xml:space="preserve">Average </w:t>
            </w:r>
          </w:p>
        </w:tc>
        <w:tc>
          <w:tcPr>
            <w:tcW w:w="0" w:type="auto"/>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55,031.35</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55,607.75</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57,422.45</w:t>
            </w:r>
          </w:p>
        </w:tc>
        <w:tc>
          <w:tcPr>
            <w:tcW w:w="0" w:type="auto"/>
            <w:tcBorders>
              <w:top w:val="nil"/>
              <w:left w:val="single" w:sz="4" w:space="0" w:color="000000"/>
              <w:bottom w:val="nil"/>
              <w:right w:val="single" w:sz="4" w:space="0" w:color="000000"/>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56,020.52</w:t>
            </w:r>
          </w:p>
        </w:tc>
      </w:tr>
      <w:tr w:rsidR="006940AD" w:rsidRPr="00FF19E6">
        <w:trPr>
          <w:trHeight w:val="315"/>
        </w:trPr>
        <w:tc>
          <w:tcPr>
            <w:tcW w:w="1080" w:type="dxa"/>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 </w:t>
            </w:r>
          </w:p>
        </w:tc>
        <w:tc>
          <w:tcPr>
            <w:tcW w:w="1178" w:type="dxa"/>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 xml:space="preserve">Std. Dev. </w:t>
            </w:r>
          </w:p>
        </w:tc>
        <w:tc>
          <w:tcPr>
            <w:tcW w:w="0" w:type="auto"/>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t>3</w:t>
            </w:r>
            <w:r w:rsidRPr="00FF19E6">
              <w:t>619.72</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t>3</w:t>
            </w:r>
            <w:r w:rsidRPr="00FF19E6">
              <w:t>544.74</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t>3</w:t>
            </w:r>
            <w:r w:rsidRPr="00FF19E6">
              <w:t>327.37</w:t>
            </w:r>
          </w:p>
        </w:tc>
        <w:tc>
          <w:tcPr>
            <w:tcW w:w="0" w:type="auto"/>
            <w:tcBorders>
              <w:top w:val="nil"/>
              <w:left w:val="single" w:sz="4" w:space="0" w:color="000000"/>
              <w:bottom w:val="nil"/>
              <w:right w:val="single" w:sz="4" w:space="0" w:color="000000"/>
            </w:tcBorders>
            <w:shd w:val="clear" w:color="auto" w:fill="auto"/>
            <w:noWrap/>
            <w:tcMar>
              <w:top w:w="10" w:type="dxa"/>
              <w:left w:w="10" w:type="dxa"/>
              <w:bottom w:w="0" w:type="dxa"/>
              <w:right w:w="10" w:type="dxa"/>
            </w:tcMar>
            <w:vAlign w:val="bottom"/>
          </w:tcPr>
          <w:p w:rsidR="006940AD" w:rsidRPr="00FF19E6" w:rsidRDefault="006940AD" w:rsidP="00432612">
            <w:pPr>
              <w:jc w:val="right"/>
            </w:pPr>
            <w:r>
              <w:t>3</w:t>
            </w:r>
            <w:r w:rsidRPr="00FF19E6">
              <w:t>589.83</w:t>
            </w:r>
          </w:p>
        </w:tc>
      </w:tr>
      <w:tr w:rsidR="006940AD" w:rsidRPr="00FF19E6">
        <w:trPr>
          <w:trHeight w:val="315"/>
        </w:trPr>
        <w:tc>
          <w:tcPr>
            <w:tcW w:w="1080" w:type="dxa"/>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Outside</w:t>
            </w:r>
          </w:p>
        </w:tc>
        <w:tc>
          <w:tcPr>
            <w:tcW w:w="1178" w:type="dxa"/>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Number Obs.</w:t>
            </w:r>
          </w:p>
        </w:tc>
        <w:tc>
          <w:tcPr>
            <w:tcW w:w="0" w:type="auto"/>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20</w:t>
            </w:r>
          </w:p>
        </w:tc>
        <w:tc>
          <w:tcPr>
            <w:tcW w:w="0" w:type="auto"/>
            <w:tcBorders>
              <w:top w:val="single" w:sz="4" w:space="0" w:color="000000"/>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20</w:t>
            </w:r>
          </w:p>
        </w:tc>
        <w:tc>
          <w:tcPr>
            <w:tcW w:w="0" w:type="auto"/>
            <w:tcBorders>
              <w:top w:val="single" w:sz="4" w:space="0" w:color="000000"/>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20</w:t>
            </w:r>
          </w:p>
        </w:tc>
        <w:tc>
          <w:tcPr>
            <w:tcW w:w="0" w:type="auto"/>
            <w:tcBorders>
              <w:top w:val="single" w:sz="4" w:space="0" w:color="000000"/>
              <w:left w:val="single" w:sz="4" w:space="0" w:color="000000"/>
              <w:bottom w:val="nil"/>
              <w:right w:val="single" w:sz="4" w:space="0" w:color="000000"/>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60</w:t>
            </w:r>
          </w:p>
        </w:tc>
      </w:tr>
      <w:tr w:rsidR="006940AD" w:rsidRPr="00FF19E6">
        <w:trPr>
          <w:trHeight w:val="315"/>
        </w:trPr>
        <w:tc>
          <w:tcPr>
            <w:tcW w:w="1080" w:type="dxa"/>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 </w:t>
            </w:r>
          </w:p>
        </w:tc>
        <w:tc>
          <w:tcPr>
            <w:tcW w:w="1178" w:type="dxa"/>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 xml:space="preserve">Average </w:t>
            </w:r>
          </w:p>
        </w:tc>
        <w:tc>
          <w:tcPr>
            <w:tcW w:w="0" w:type="auto"/>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64,607.90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81,628.50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75,254.90</w:t>
            </w:r>
          </w:p>
        </w:tc>
        <w:tc>
          <w:tcPr>
            <w:tcW w:w="0" w:type="auto"/>
            <w:tcBorders>
              <w:top w:val="nil"/>
              <w:left w:val="single" w:sz="4" w:space="0" w:color="000000"/>
              <w:bottom w:val="nil"/>
              <w:right w:val="single" w:sz="4" w:space="0" w:color="000000"/>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73,830.43</w:t>
            </w:r>
          </w:p>
        </w:tc>
      </w:tr>
      <w:tr w:rsidR="006940AD" w:rsidRPr="00FF19E6">
        <w:trPr>
          <w:trHeight w:val="315"/>
        </w:trPr>
        <w:tc>
          <w:tcPr>
            <w:tcW w:w="1080" w:type="dxa"/>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 </w:t>
            </w:r>
          </w:p>
        </w:tc>
        <w:tc>
          <w:tcPr>
            <w:tcW w:w="1178" w:type="dxa"/>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 xml:space="preserve">Std. Dev. </w:t>
            </w:r>
          </w:p>
        </w:tc>
        <w:tc>
          <w:tcPr>
            <w:tcW w:w="0" w:type="auto"/>
            <w:tcBorders>
              <w:top w:val="nil"/>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t>3</w:t>
            </w:r>
            <w:r w:rsidRPr="00FF19E6">
              <w:t>556.46</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t>3</w:t>
            </w:r>
            <w:r w:rsidRPr="00FF19E6">
              <w:t>453.47</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t>3</w:t>
            </w:r>
            <w:r w:rsidRPr="00FF19E6">
              <w:t>830.77</w:t>
            </w:r>
          </w:p>
        </w:tc>
        <w:tc>
          <w:tcPr>
            <w:tcW w:w="0" w:type="auto"/>
            <w:tcBorders>
              <w:top w:val="nil"/>
              <w:left w:val="single" w:sz="4" w:space="0" w:color="000000"/>
              <w:bottom w:val="nil"/>
              <w:right w:val="single" w:sz="4" w:space="0" w:color="000000"/>
            </w:tcBorders>
            <w:shd w:val="clear" w:color="auto" w:fill="auto"/>
            <w:noWrap/>
            <w:tcMar>
              <w:top w:w="10" w:type="dxa"/>
              <w:left w:w="10" w:type="dxa"/>
              <w:bottom w:w="0" w:type="dxa"/>
              <w:right w:w="10" w:type="dxa"/>
            </w:tcMar>
            <w:vAlign w:val="bottom"/>
          </w:tcPr>
          <w:p w:rsidR="006940AD" w:rsidRPr="00FF19E6" w:rsidRDefault="006940AD" w:rsidP="00432612">
            <w:pPr>
              <w:jc w:val="right"/>
            </w:pPr>
            <w:r>
              <w:t>7</w:t>
            </w:r>
            <w:r w:rsidRPr="00FF19E6">
              <w:t>922.96</w:t>
            </w:r>
          </w:p>
        </w:tc>
      </w:tr>
      <w:tr w:rsidR="006940AD" w:rsidRPr="00FF19E6">
        <w:trPr>
          <w:trHeight w:val="315"/>
        </w:trPr>
        <w:tc>
          <w:tcPr>
            <w:tcW w:w="2258" w:type="dxa"/>
            <w:gridSpan w:val="2"/>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Total Number Obs.</w:t>
            </w:r>
          </w:p>
        </w:tc>
        <w:tc>
          <w:tcPr>
            <w:tcW w:w="0" w:type="auto"/>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40</w:t>
            </w:r>
          </w:p>
        </w:tc>
        <w:tc>
          <w:tcPr>
            <w:tcW w:w="0" w:type="auto"/>
            <w:tcBorders>
              <w:top w:val="single" w:sz="4" w:space="0" w:color="000000"/>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40</w:t>
            </w:r>
          </w:p>
        </w:tc>
        <w:tc>
          <w:tcPr>
            <w:tcW w:w="0" w:type="auto"/>
            <w:tcBorders>
              <w:top w:val="single" w:sz="4" w:space="0" w:color="000000"/>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40</w:t>
            </w:r>
          </w:p>
        </w:tc>
        <w:tc>
          <w:tcPr>
            <w:tcW w:w="0" w:type="auto"/>
            <w:tcBorders>
              <w:top w:val="single" w:sz="4" w:space="0" w:color="000000"/>
              <w:left w:val="single" w:sz="4" w:space="0" w:color="000000"/>
              <w:bottom w:val="nil"/>
              <w:right w:val="single" w:sz="4" w:space="0" w:color="000000"/>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120</w:t>
            </w:r>
          </w:p>
        </w:tc>
      </w:tr>
      <w:tr w:rsidR="006940AD" w:rsidRPr="00FF19E6">
        <w:trPr>
          <w:trHeight w:val="315"/>
        </w:trPr>
        <w:tc>
          <w:tcPr>
            <w:tcW w:w="2258" w:type="dxa"/>
            <w:gridSpan w:val="2"/>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Total Average</w:t>
            </w:r>
          </w:p>
        </w:tc>
        <w:tc>
          <w:tcPr>
            <w:tcW w:w="0" w:type="auto"/>
            <w:tcBorders>
              <w:top w:val="single" w:sz="4" w:space="0" w:color="000000"/>
              <w:left w:val="single" w:sz="4" w:space="0" w:color="000000"/>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59,819.63</w:t>
            </w:r>
          </w:p>
        </w:tc>
        <w:tc>
          <w:tcPr>
            <w:tcW w:w="0" w:type="auto"/>
            <w:tcBorders>
              <w:top w:val="single" w:sz="4" w:space="0" w:color="000000"/>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68,618.13</w:t>
            </w:r>
          </w:p>
        </w:tc>
        <w:tc>
          <w:tcPr>
            <w:tcW w:w="0" w:type="auto"/>
            <w:tcBorders>
              <w:top w:val="single" w:sz="4" w:space="0" w:color="000000"/>
              <w:left w:val="nil"/>
              <w:bottom w:val="nil"/>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66,338.68</w:t>
            </w:r>
          </w:p>
        </w:tc>
        <w:tc>
          <w:tcPr>
            <w:tcW w:w="0" w:type="auto"/>
            <w:tcBorders>
              <w:top w:val="single" w:sz="4" w:space="0" w:color="000000"/>
              <w:left w:val="single" w:sz="4" w:space="0" w:color="000000"/>
              <w:bottom w:val="nil"/>
              <w:right w:val="single" w:sz="4" w:space="0" w:color="000000"/>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64,925.48</w:t>
            </w:r>
          </w:p>
        </w:tc>
      </w:tr>
      <w:tr w:rsidR="006940AD" w:rsidRPr="00FF19E6">
        <w:trPr>
          <w:trHeight w:val="315"/>
        </w:trPr>
        <w:tc>
          <w:tcPr>
            <w:tcW w:w="2258" w:type="dxa"/>
            <w:gridSpan w:val="2"/>
            <w:tcBorders>
              <w:top w:val="single" w:sz="4" w:space="0" w:color="000000"/>
              <w:left w:val="single" w:sz="4" w:space="0" w:color="000000"/>
              <w:bottom w:val="single" w:sz="4" w:space="0" w:color="000000"/>
              <w:right w:val="nil"/>
            </w:tcBorders>
            <w:shd w:val="clear" w:color="auto" w:fill="auto"/>
            <w:noWrap/>
            <w:tcMar>
              <w:top w:w="10" w:type="dxa"/>
              <w:left w:w="10" w:type="dxa"/>
              <w:bottom w:w="0" w:type="dxa"/>
              <w:right w:w="10" w:type="dxa"/>
            </w:tcMar>
            <w:vAlign w:val="bottom"/>
          </w:tcPr>
          <w:p w:rsidR="006940AD" w:rsidRPr="00FF19E6" w:rsidRDefault="006940AD" w:rsidP="00432612">
            <w:r w:rsidRPr="00FF19E6">
              <w:t xml:space="preserve">Total Std. Dev. </w:t>
            </w:r>
          </w:p>
        </w:tc>
        <w:tc>
          <w:tcPr>
            <w:tcW w:w="0" w:type="auto"/>
            <w:tcBorders>
              <w:top w:val="single" w:sz="4" w:space="0" w:color="000000"/>
              <w:left w:val="single" w:sz="4" w:space="0" w:color="000000"/>
              <w:bottom w:val="single" w:sz="4" w:space="0" w:color="000000"/>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t>6</w:t>
            </w:r>
            <w:r w:rsidRPr="00FF19E6">
              <w:t>005.06</w:t>
            </w:r>
          </w:p>
        </w:tc>
        <w:tc>
          <w:tcPr>
            <w:tcW w:w="0" w:type="auto"/>
            <w:tcBorders>
              <w:top w:val="single" w:sz="4" w:space="0" w:color="000000"/>
              <w:left w:val="nil"/>
              <w:bottom w:val="single" w:sz="4" w:space="0" w:color="000000"/>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13,621.38</w:t>
            </w:r>
          </w:p>
        </w:tc>
        <w:tc>
          <w:tcPr>
            <w:tcW w:w="0" w:type="auto"/>
            <w:tcBorders>
              <w:top w:val="single" w:sz="4" w:space="0" w:color="000000"/>
              <w:left w:val="nil"/>
              <w:bottom w:val="single" w:sz="4" w:space="0" w:color="000000"/>
              <w:right w:val="nil"/>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,699.51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bottom w:w="0" w:type="dxa"/>
              <w:right w:w="10" w:type="dxa"/>
            </w:tcMar>
            <w:vAlign w:val="bottom"/>
          </w:tcPr>
          <w:p w:rsidR="006940AD" w:rsidRPr="00FF19E6" w:rsidRDefault="006940AD" w:rsidP="00432612">
            <w:pPr>
              <w:jc w:val="right"/>
            </w:pPr>
            <w:r w:rsidRPr="00FF19E6">
              <w:t>10,838.67</w:t>
            </w:r>
          </w:p>
        </w:tc>
      </w:tr>
    </w:tbl>
    <w:p w:rsidR="006940AD" w:rsidRPr="00FF19E6"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sidRPr="00FF19E6">
        <w:rPr>
          <w:color w:val="000000"/>
        </w:rPr>
        <w:t xml:space="preserve"> </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sidRPr="00FF19E6">
        <w:rPr>
          <w:color w:val="000000"/>
        </w:rPr>
        <w:t xml:space="preserve">2. </w:t>
      </w:r>
      <w:r w:rsidRPr="00FF19E6">
        <w:rPr>
          <w:color w:val="000000"/>
        </w:rPr>
        <w:tab/>
      </w:r>
      <w:r>
        <w:rPr>
          <w:color w:val="000000"/>
        </w:rPr>
        <w:t xml:space="preserve">All sales positons: </w:t>
      </w:r>
      <w:r w:rsidRPr="00FF19E6">
        <w:rPr>
          <w:color w:val="000000"/>
          <w:position w:val="-6"/>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3.15pt" o:ole="">
            <v:imagedata r:id="rId8" o:title=""/>
          </v:shape>
          <o:OLEObject Type="Embed" ProgID="Equation.DSMT4" ShapeID="_x0000_i1025" DrawAspect="Content" ObjectID="_1410526682" r:id="rId9"/>
        </w:object>
      </w:r>
      <w:r>
        <w:rPr>
          <w:color w:val="000000"/>
        </w:rPr>
        <w:t xml:space="preserve">= </w:t>
      </w:r>
      <w:r w:rsidRPr="00FF19E6">
        <w:rPr>
          <w:color w:val="000000"/>
        </w:rPr>
        <w:t>$64,925.48</w:t>
      </w:r>
      <w:r>
        <w:rPr>
          <w:color w:val="000000"/>
        </w:rPr>
        <w:t xml:space="preserve">     </w:t>
      </w:r>
      <w:r w:rsidRPr="00FF19E6">
        <w:rPr>
          <w:i/>
          <w:color w:val="000000"/>
        </w:rPr>
        <w:t>n</w:t>
      </w:r>
      <w:r>
        <w:rPr>
          <w:color w:val="000000"/>
        </w:rPr>
        <w:t xml:space="preserve"> = 120     </w:t>
      </w:r>
      <w:r w:rsidRPr="00FF19E6">
        <w:rPr>
          <w:color w:val="000000"/>
          <w:position w:val="-12"/>
        </w:rPr>
        <w:object w:dxaOrig="380" w:dyaOrig="360">
          <v:shape id="_x0000_i1026" type="#_x0000_t75" style="width:18.8pt;height:18.15pt" o:ole="">
            <v:imagedata r:id="rId10" o:title=""/>
          </v:shape>
          <o:OLEObject Type="Embed" ProgID="Equation.DSMT4" ShapeID="_x0000_i1026" DrawAspect="Content" ObjectID="_1410526683" r:id="rId11"/>
        </w:object>
      </w:r>
      <w:r>
        <w:rPr>
          <w:color w:val="000000"/>
        </w:rPr>
        <w:t>= 1.980 (119 degrees of freedom)</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Pr>
          <w:color w:val="000000"/>
        </w:rPr>
        <w:tab/>
      </w:r>
      <w:r w:rsidRPr="00FF19E6">
        <w:rPr>
          <w:color w:val="000000"/>
          <w:position w:val="-24"/>
        </w:rPr>
        <w:object w:dxaOrig="3440" w:dyaOrig="580">
          <v:shape id="_x0000_i1027" type="#_x0000_t75" style="width:172.15pt;height:28.8pt" o:ole="">
            <v:imagedata r:id="rId12" o:title=""/>
          </v:shape>
          <o:OLEObject Type="Embed" ProgID="Equation.DSMT4" ShapeID="_x0000_i1027" DrawAspect="Content" ObjectID="_1410526684" r:id="rId13"/>
        </w:object>
      </w:r>
      <w:r>
        <w:rPr>
          <w:color w:val="000000"/>
        </w:rPr>
        <w:t xml:space="preserve">= </w:t>
      </w:r>
      <w:r w:rsidRPr="00FF19E6">
        <w:rPr>
          <w:color w:val="000000"/>
        </w:rPr>
        <w:t xml:space="preserve">$64,925.48 </w:t>
      </w:r>
      <w:r w:rsidRPr="00FF19E6">
        <w:rPr>
          <w:color w:val="000000"/>
          <w:position w:val="-4"/>
        </w:rPr>
        <w:object w:dxaOrig="220" w:dyaOrig="240">
          <v:shape id="_x0000_i1028" type="#_x0000_t75" style="width:11.25pt;height:11.9pt" o:ole="">
            <v:imagedata r:id="rId14" o:title=""/>
          </v:shape>
          <o:OLEObject Type="Embed" ProgID="Equation.DSMT4" ShapeID="_x0000_i1028" DrawAspect="Content" ObjectID="_1410526685" r:id="rId15"/>
        </w:object>
      </w:r>
      <w:r>
        <w:rPr>
          <w:color w:val="000000"/>
        </w:rPr>
        <w:t>1959.07</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Pr>
          <w:color w:val="000000"/>
        </w:rPr>
        <w:t>3</w:t>
      </w:r>
      <w:r w:rsidRPr="00FF19E6">
        <w:rPr>
          <w:color w:val="000000"/>
        </w:rPr>
        <w:t xml:space="preserve">. </w:t>
      </w:r>
      <w:r w:rsidRPr="00FF19E6">
        <w:rPr>
          <w:color w:val="000000"/>
        </w:rPr>
        <w:tab/>
      </w:r>
      <w:r>
        <w:rPr>
          <w:color w:val="000000"/>
        </w:rPr>
        <w:t xml:space="preserve">Inside sales positions: </w:t>
      </w:r>
      <w:r w:rsidRPr="00FF19E6">
        <w:rPr>
          <w:color w:val="000000"/>
          <w:position w:val="-6"/>
        </w:rPr>
        <w:object w:dxaOrig="220" w:dyaOrig="260">
          <v:shape id="_x0000_i1029" type="#_x0000_t75" style="width:11.25pt;height:13.15pt" o:ole="">
            <v:imagedata r:id="rId8" o:title=""/>
          </v:shape>
          <o:OLEObject Type="Embed" ProgID="Equation.DSMT4" ShapeID="_x0000_i1029" DrawAspect="Content" ObjectID="_1410526686" r:id="rId16"/>
        </w:object>
      </w:r>
      <w:r>
        <w:rPr>
          <w:color w:val="000000"/>
        </w:rPr>
        <w:t xml:space="preserve">= </w:t>
      </w:r>
      <w:r w:rsidRPr="00FF19E6">
        <w:rPr>
          <w:color w:val="000000"/>
        </w:rPr>
        <w:t>$</w:t>
      </w:r>
      <w:r w:rsidRPr="00FF19E6">
        <w:t>56,020.52</w:t>
      </w:r>
      <w:r>
        <w:rPr>
          <w:color w:val="000000"/>
        </w:rPr>
        <w:t xml:space="preserve">     </w:t>
      </w:r>
      <w:r w:rsidRPr="00FF19E6">
        <w:rPr>
          <w:i/>
          <w:color w:val="000000"/>
        </w:rPr>
        <w:t>n</w:t>
      </w:r>
      <w:r>
        <w:rPr>
          <w:color w:val="000000"/>
        </w:rPr>
        <w:t xml:space="preserve"> = 60     </w:t>
      </w:r>
      <w:r w:rsidRPr="00FF19E6">
        <w:rPr>
          <w:color w:val="000000"/>
          <w:position w:val="-12"/>
        </w:rPr>
        <w:object w:dxaOrig="380" w:dyaOrig="360">
          <v:shape id="_x0000_i1030" type="#_x0000_t75" style="width:18.8pt;height:18.15pt" o:ole="">
            <v:imagedata r:id="rId10" o:title=""/>
          </v:shape>
          <o:OLEObject Type="Embed" ProgID="Equation.DSMT4" ShapeID="_x0000_i1030" DrawAspect="Content" ObjectID="_1410526687" r:id="rId17"/>
        </w:object>
      </w:r>
      <w:r>
        <w:rPr>
          <w:color w:val="000000"/>
        </w:rPr>
        <w:t>= 2.001 (59 degrees of freedom)</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Pr="00FF19E6"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Pr>
          <w:color w:val="000000"/>
        </w:rPr>
        <w:tab/>
      </w:r>
      <w:r w:rsidRPr="00FF19E6">
        <w:rPr>
          <w:color w:val="000000"/>
          <w:position w:val="-24"/>
        </w:rPr>
        <w:object w:dxaOrig="3280" w:dyaOrig="580">
          <v:shape id="_x0000_i1031" type="#_x0000_t75" style="width:164.05pt;height:28.8pt" o:ole="">
            <v:imagedata r:id="rId18" o:title=""/>
          </v:shape>
          <o:OLEObject Type="Embed" ProgID="Equation.DSMT4" ShapeID="_x0000_i1031" DrawAspect="Content" ObjectID="_1410526688" r:id="rId19"/>
        </w:object>
      </w:r>
      <w:r>
        <w:rPr>
          <w:color w:val="000000"/>
        </w:rPr>
        <w:t xml:space="preserve">= </w:t>
      </w:r>
      <w:r w:rsidRPr="00FF19E6">
        <w:rPr>
          <w:color w:val="000000"/>
        </w:rPr>
        <w:t>$</w:t>
      </w:r>
      <w:r w:rsidRPr="00FF19E6">
        <w:t>56,020.52</w:t>
      </w:r>
      <w:r>
        <w:t xml:space="preserve"> </w:t>
      </w:r>
      <w:r w:rsidRPr="00FF19E6">
        <w:rPr>
          <w:color w:val="000000"/>
          <w:position w:val="-4"/>
        </w:rPr>
        <w:object w:dxaOrig="220" w:dyaOrig="240">
          <v:shape id="_x0000_i1032" type="#_x0000_t75" style="width:11.25pt;height:11.9pt" o:ole="">
            <v:imagedata r:id="rId14" o:title=""/>
          </v:shape>
          <o:OLEObject Type="Embed" ProgID="Equation.DSMT4" ShapeID="_x0000_i1032" DrawAspect="Content" ObjectID="_1410526689" r:id="rId20"/>
        </w:object>
      </w:r>
      <w:r w:rsidRPr="00FF19E6">
        <w:rPr>
          <w:color w:val="000000"/>
        </w:rPr>
        <w:t xml:space="preserve"> </w:t>
      </w:r>
      <w:r>
        <w:rPr>
          <w:color w:val="000000"/>
        </w:rPr>
        <w:t>927.35</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Pr>
          <w:color w:val="000000"/>
        </w:rPr>
        <w:t>4</w:t>
      </w:r>
      <w:r w:rsidRPr="00FF19E6">
        <w:rPr>
          <w:color w:val="000000"/>
        </w:rPr>
        <w:t xml:space="preserve">. </w:t>
      </w:r>
      <w:r w:rsidRPr="00FF19E6">
        <w:rPr>
          <w:color w:val="000000"/>
        </w:rPr>
        <w:tab/>
      </w:r>
      <w:r>
        <w:rPr>
          <w:color w:val="000000"/>
        </w:rPr>
        <w:t xml:space="preserve">Outside sales positions: </w:t>
      </w:r>
      <w:r w:rsidRPr="00FF19E6">
        <w:rPr>
          <w:color w:val="000000"/>
          <w:position w:val="-6"/>
        </w:rPr>
        <w:object w:dxaOrig="220" w:dyaOrig="260">
          <v:shape id="_x0000_i1033" type="#_x0000_t75" style="width:11.25pt;height:13.15pt" o:ole="">
            <v:imagedata r:id="rId8" o:title=""/>
          </v:shape>
          <o:OLEObject Type="Embed" ProgID="Equation.DSMT4" ShapeID="_x0000_i1033" DrawAspect="Content" ObjectID="_1410526690" r:id="rId21"/>
        </w:object>
      </w:r>
      <w:r>
        <w:rPr>
          <w:color w:val="000000"/>
        </w:rPr>
        <w:t xml:space="preserve">= </w:t>
      </w:r>
      <w:r w:rsidRPr="00FF19E6">
        <w:rPr>
          <w:color w:val="000000"/>
        </w:rPr>
        <w:t>$</w:t>
      </w:r>
      <w:r w:rsidRPr="00FF19E6">
        <w:t>73,830.43</w:t>
      </w:r>
      <w:r>
        <w:rPr>
          <w:color w:val="000000"/>
        </w:rPr>
        <w:t xml:space="preserve">     </w:t>
      </w:r>
      <w:r w:rsidRPr="00FF19E6">
        <w:rPr>
          <w:i/>
          <w:color w:val="000000"/>
        </w:rPr>
        <w:t>n</w:t>
      </w:r>
      <w:r>
        <w:rPr>
          <w:color w:val="000000"/>
        </w:rPr>
        <w:t xml:space="preserve"> = 60     </w:t>
      </w:r>
      <w:r w:rsidRPr="00FF19E6">
        <w:rPr>
          <w:color w:val="000000"/>
          <w:position w:val="-12"/>
        </w:rPr>
        <w:object w:dxaOrig="380" w:dyaOrig="360">
          <v:shape id="_x0000_i1034" type="#_x0000_t75" style="width:18.8pt;height:18.15pt" o:ole="">
            <v:imagedata r:id="rId10" o:title=""/>
          </v:shape>
          <o:OLEObject Type="Embed" ProgID="Equation.DSMT4" ShapeID="_x0000_i1034" DrawAspect="Content" ObjectID="_1410526691" r:id="rId22"/>
        </w:object>
      </w:r>
      <w:r>
        <w:rPr>
          <w:color w:val="000000"/>
        </w:rPr>
        <w:t>= 2.001 (59 degrees of freedom)</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Pr="00FF19E6"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Pr>
          <w:color w:val="000000"/>
        </w:rPr>
        <w:tab/>
      </w:r>
      <w:r w:rsidRPr="00FF19E6">
        <w:rPr>
          <w:color w:val="000000"/>
          <w:position w:val="-24"/>
        </w:rPr>
        <w:object w:dxaOrig="3280" w:dyaOrig="580">
          <v:shape id="_x0000_i1035" type="#_x0000_t75" style="width:164.05pt;height:28.8pt" o:ole="">
            <v:imagedata r:id="rId23" o:title=""/>
          </v:shape>
          <o:OLEObject Type="Embed" ProgID="Equation.DSMT4" ShapeID="_x0000_i1035" DrawAspect="Content" ObjectID="_1410526692" r:id="rId24"/>
        </w:object>
      </w:r>
      <w:r>
        <w:rPr>
          <w:color w:val="000000"/>
        </w:rPr>
        <w:t xml:space="preserve">= </w:t>
      </w:r>
      <w:r w:rsidRPr="00FF19E6">
        <w:rPr>
          <w:color w:val="000000"/>
        </w:rPr>
        <w:t>$</w:t>
      </w:r>
      <w:r w:rsidRPr="00FF19E6">
        <w:t>73,830.43</w:t>
      </w:r>
      <w:r>
        <w:t xml:space="preserve"> </w:t>
      </w:r>
      <w:r w:rsidRPr="00FF19E6">
        <w:rPr>
          <w:color w:val="000000"/>
          <w:position w:val="-4"/>
        </w:rPr>
        <w:object w:dxaOrig="220" w:dyaOrig="240">
          <v:shape id="_x0000_i1036" type="#_x0000_t75" style="width:11.25pt;height:11.9pt" o:ole="">
            <v:imagedata r:id="rId14" o:title=""/>
          </v:shape>
          <o:OLEObject Type="Embed" ProgID="Equation.DSMT4" ShapeID="_x0000_i1036" DrawAspect="Content" ObjectID="_1410526693" r:id="rId25"/>
        </w:object>
      </w:r>
      <w:r w:rsidRPr="00FF19E6">
        <w:rPr>
          <w:color w:val="000000"/>
        </w:rPr>
        <w:t xml:space="preserve"> 20</w:t>
      </w:r>
      <w:r>
        <w:rPr>
          <w:color w:val="000000"/>
        </w:rPr>
        <w:t>46</w:t>
      </w:r>
      <w:r w:rsidRPr="00FF19E6">
        <w:rPr>
          <w:color w:val="000000"/>
        </w:rPr>
        <w:t>.</w:t>
      </w:r>
      <w:r>
        <w:rPr>
          <w:color w:val="000000"/>
        </w:rPr>
        <w:t>72</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Pr>
          <w:color w:val="000000"/>
        </w:rPr>
        <w:lastRenderedPageBreak/>
        <w:t>5</w:t>
      </w:r>
      <w:r w:rsidRPr="00FF19E6">
        <w:rPr>
          <w:color w:val="000000"/>
        </w:rPr>
        <w:t xml:space="preserve">.  </w:t>
      </w:r>
      <w:r w:rsidRPr="00FF19E6">
        <w:rPr>
          <w:color w:val="000000"/>
        </w:rPr>
        <w:tab/>
      </w:r>
      <w:r>
        <w:rPr>
          <w:color w:val="000000"/>
        </w:rPr>
        <w:t>The output using Minitab’s One-way ANOVA tool for Position is shown below:</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Source   DF           SS          MS       F      P</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Factor    1   9515793950  9515793950  251.54  0.000</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Error   118   4463949042    37830077</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Total   119  13979742992</w:t>
      </w: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S = 6151   R-Sq = 68.07%   R-Sq(adj) = 67.80%</w:t>
      </w: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Individual 95% CIs For Mean Based on</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Pooled StDev</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Level     N   Mean  StDev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Inside   60  56021   3590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Outside  60  73830   7923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60000     66000     72000     78000</w:t>
      </w: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Pooled StDev = 6151</w:t>
      </w:r>
    </w:p>
    <w:p w:rsidR="006805E3" w:rsidRDefault="006805E3"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Pr="00FF19E6"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Pr>
          <w:color w:val="000000"/>
        </w:rPr>
        <w:tab/>
      </w:r>
      <w:r w:rsidRPr="00FF19E6">
        <w:rPr>
          <w:color w:val="000000"/>
        </w:rPr>
        <w:t xml:space="preserve">The </w:t>
      </w:r>
      <w:r w:rsidRPr="00FF19E6">
        <w:rPr>
          <w:i/>
          <w:color w:val="000000"/>
        </w:rPr>
        <w:t>p</w:t>
      </w:r>
      <w:r w:rsidRPr="00FF19E6">
        <w:rPr>
          <w:color w:val="000000"/>
        </w:rPr>
        <w:t xml:space="preserve">-value for </w:t>
      </w:r>
      <w:r>
        <w:rPr>
          <w:color w:val="000000"/>
        </w:rPr>
        <w:t>Position</w:t>
      </w:r>
      <w:r w:rsidRPr="00FF19E6">
        <w:rPr>
          <w:color w:val="000000"/>
        </w:rPr>
        <w:t xml:space="preserve"> is .00</w:t>
      </w:r>
      <w:r>
        <w:rPr>
          <w:color w:val="000000"/>
        </w:rPr>
        <w:t>0</w:t>
      </w:r>
      <w:r w:rsidRPr="00FF19E6">
        <w:rPr>
          <w:color w:val="000000"/>
        </w:rPr>
        <w:t xml:space="preserve">.  </w:t>
      </w:r>
      <w:r>
        <w:rPr>
          <w:color w:val="000000"/>
        </w:rPr>
        <w:t>Because</w:t>
      </w:r>
      <w:r w:rsidRPr="00FF19E6">
        <w:rPr>
          <w:color w:val="000000"/>
        </w:rPr>
        <w:t xml:space="preserve"> the </w:t>
      </w:r>
      <w:r w:rsidRPr="00FF19E6">
        <w:rPr>
          <w:i/>
          <w:color w:val="000000"/>
        </w:rPr>
        <w:t>p</w:t>
      </w:r>
      <w:r w:rsidRPr="00FF19E6">
        <w:rPr>
          <w:color w:val="000000"/>
        </w:rPr>
        <w:t xml:space="preserve">-value is less than the level of significance, .05, </w:t>
      </w:r>
      <w:r>
        <w:rPr>
          <w:color w:val="000000"/>
        </w:rPr>
        <w:t>Position</w:t>
      </w:r>
      <w:r w:rsidRPr="00FF19E6">
        <w:rPr>
          <w:color w:val="000000"/>
        </w:rPr>
        <w:t xml:space="preserve"> is significant.  </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Pr>
          <w:color w:val="000000"/>
        </w:rPr>
        <w:t>6</w:t>
      </w:r>
      <w:r w:rsidRPr="00FF19E6">
        <w:rPr>
          <w:color w:val="000000"/>
        </w:rPr>
        <w:t xml:space="preserve">.  </w:t>
      </w:r>
      <w:r w:rsidRPr="00FF19E6">
        <w:rPr>
          <w:color w:val="000000"/>
        </w:rPr>
        <w:tab/>
      </w:r>
      <w:r>
        <w:rPr>
          <w:color w:val="000000"/>
        </w:rPr>
        <w:t>The output using Minitab’s One-way ANOVA tool for Experience is shown below:</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Source   DF           SS         MS     F      P</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Factor    2   1668100099  834050050  7.93  0.001</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Error   117  12311642893  105227717</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Total   119  13979742992</w:t>
      </w: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S = 10258   R-Sq = 11.93%   R-Sq(adj) = 10.43%</w:t>
      </w: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Individual 95% CIs For Mean Based on</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Pooled StDev</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Level    N   Mean  StDev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Low     40  59820   6005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Medium  40  68618  13621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High    40  66339   9700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60000     64000     68000     72000</w:t>
      </w: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Pooled StDev = 10258</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Pr="00FF19E6"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Pr>
          <w:color w:val="000000"/>
        </w:rPr>
        <w:tab/>
      </w:r>
      <w:r w:rsidRPr="00FF19E6">
        <w:rPr>
          <w:color w:val="000000"/>
        </w:rPr>
        <w:t xml:space="preserve">The </w:t>
      </w:r>
      <w:r w:rsidRPr="00FF19E6">
        <w:rPr>
          <w:i/>
          <w:color w:val="000000"/>
        </w:rPr>
        <w:t>p</w:t>
      </w:r>
      <w:r w:rsidRPr="00FF19E6">
        <w:rPr>
          <w:color w:val="000000"/>
        </w:rPr>
        <w:t xml:space="preserve">-value for </w:t>
      </w:r>
      <w:r>
        <w:rPr>
          <w:color w:val="000000"/>
        </w:rPr>
        <w:t>Experience</w:t>
      </w:r>
      <w:r w:rsidRPr="00FF19E6">
        <w:rPr>
          <w:color w:val="000000"/>
        </w:rPr>
        <w:t xml:space="preserve"> is .00</w:t>
      </w:r>
      <w:r>
        <w:rPr>
          <w:color w:val="000000"/>
        </w:rPr>
        <w:t>1</w:t>
      </w:r>
      <w:r w:rsidRPr="00FF19E6">
        <w:rPr>
          <w:color w:val="000000"/>
        </w:rPr>
        <w:t xml:space="preserve">.  </w:t>
      </w:r>
      <w:r>
        <w:rPr>
          <w:color w:val="000000"/>
        </w:rPr>
        <w:t>Because</w:t>
      </w:r>
      <w:r w:rsidRPr="00FF19E6">
        <w:rPr>
          <w:color w:val="000000"/>
        </w:rPr>
        <w:t xml:space="preserve"> the </w:t>
      </w:r>
      <w:r w:rsidRPr="00FF19E6">
        <w:rPr>
          <w:i/>
          <w:color w:val="000000"/>
        </w:rPr>
        <w:t>p</w:t>
      </w:r>
      <w:r w:rsidRPr="00FF19E6">
        <w:rPr>
          <w:color w:val="000000"/>
        </w:rPr>
        <w:t xml:space="preserve">-value is less than the level of significance, .05, </w:t>
      </w:r>
      <w:r>
        <w:rPr>
          <w:color w:val="000000"/>
        </w:rPr>
        <w:t>Experience</w:t>
      </w:r>
      <w:r w:rsidRPr="00FF19E6">
        <w:rPr>
          <w:color w:val="000000"/>
        </w:rPr>
        <w:t xml:space="preserve"> is significant.  </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r w:rsidRPr="00FF19E6">
        <w:rPr>
          <w:color w:val="000000"/>
        </w:rPr>
        <w:t xml:space="preserve">7.  </w:t>
      </w:r>
      <w:r w:rsidRPr="00FF19E6">
        <w:rPr>
          <w:color w:val="000000"/>
        </w:rPr>
        <w:tab/>
      </w:r>
      <w:r>
        <w:rPr>
          <w:color w:val="000000"/>
        </w:rPr>
        <w:t>The output using Minitab’s Two-way ANOVA tool follows:</w:t>
      </w: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Source     </w:t>
      </w:r>
      <w:r w:rsidR="00BA4903">
        <w:rPr>
          <w:rFonts w:ascii="Courier New" w:hAnsi="Courier New" w:cs="Courier New"/>
          <w:sz w:val="18"/>
          <w:szCs w:val="18"/>
        </w:rPr>
        <w:t xml:space="preserve"> </w:t>
      </w:r>
      <w:r>
        <w:rPr>
          <w:rFonts w:ascii="Courier New" w:hAnsi="Courier New" w:cs="Courier New"/>
          <w:sz w:val="18"/>
          <w:szCs w:val="18"/>
        </w:rPr>
        <w:t xml:space="preserve">   DF  </w:t>
      </w:r>
      <w:r w:rsidR="00BA4903">
        <w:rPr>
          <w:rFonts w:ascii="Courier New" w:hAnsi="Courier New" w:cs="Courier New"/>
          <w:sz w:val="18"/>
          <w:szCs w:val="18"/>
        </w:rPr>
        <w:t xml:space="preserve"> </w:t>
      </w:r>
      <w:r>
        <w:rPr>
          <w:rFonts w:ascii="Courier New" w:hAnsi="Courier New" w:cs="Courier New"/>
          <w:sz w:val="18"/>
          <w:szCs w:val="18"/>
        </w:rPr>
        <w:t xml:space="preserve">         SS </w:t>
      </w:r>
      <w:r w:rsidR="00BA4903">
        <w:rPr>
          <w:rFonts w:ascii="Courier New" w:hAnsi="Courier New" w:cs="Courier New"/>
          <w:sz w:val="18"/>
          <w:szCs w:val="18"/>
        </w:rPr>
        <w:t xml:space="preserve"> </w:t>
      </w:r>
      <w:r>
        <w:rPr>
          <w:rFonts w:ascii="Courier New" w:hAnsi="Courier New" w:cs="Courier New"/>
          <w:sz w:val="18"/>
          <w:szCs w:val="18"/>
        </w:rPr>
        <w:t xml:space="preserve">         MS </w:t>
      </w:r>
      <w:r w:rsidR="00BA4903">
        <w:rPr>
          <w:rFonts w:ascii="Courier New" w:hAnsi="Courier New" w:cs="Courier New"/>
          <w:sz w:val="18"/>
          <w:szCs w:val="18"/>
        </w:rPr>
        <w:t xml:space="preserve"> </w:t>
      </w:r>
      <w:r>
        <w:rPr>
          <w:rFonts w:ascii="Courier New" w:hAnsi="Courier New" w:cs="Courier New"/>
          <w:sz w:val="18"/>
          <w:szCs w:val="18"/>
        </w:rPr>
        <w:t xml:space="preserve">      F </w:t>
      </w:r>
      <w:r w:rsidR="00BA4903">
        <w:rPr>
          <w:rFonts w:ascii="Courier New" w:hAnsi="Courier New" w:cs="Courier New"/>
          <w:sz w:val="18"/>
          <w:szCs w:val="18"/>
        </w:rPr>
        <w:t xml:space="preserve"> </w:t>
      </w:r>
      <w:r>
        <w:rPr>
          <w:rFonts w:ascii="Courier New" w:hAnsi="Courier New" w:cs="Courier New"/>
          <w:sz w:val="18"/>
          <w:szCs w:val="18"/>
        </w:rPr>
        <w:t xml:space="preserve">     P</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Position   </w:t>
      </w:r>
      <w:r w:rsidR="00BA4903">
        <w:rPr>
          <w:rFonts w:ascii="Courier New" w:hAnsi="Courier New" w:cs="Courier New"/>
          <w:sz w:val="18"/>
          <w:szCs w:val="18"/>
        </w:rPr>
        <w:t xml:space="preserve"> </w:t>
      </w:r>
      <w:r>
        <w:rPr>
          <w:rFonts w:ascii="Courier New" w:hAnsi="Courier New" w:cs="Courier New"/>
          <w:sz w:val="18"/>
          <w:szCs w:val="18"/>
        </w:rPr>
        <w:t xml:space="preserve">    1  </w:t>
      </w:r>
      <w:r w:rsidR="00BA4903">
        <w:rPr>
          <w:rFonts w:ascii="Courier New" w:hAnsi="Courier New" w:cs="Courier New"/>
          <w:sz w:val="18"/>
          <w:szCs w:val="18"/>
        </w:rPr>
        <w:t xml:space="preserve"> </w:t>
      </w:r>
      <w:r>
        <w:rPr>
          <w:rFonts w:ascii="Courier New" w:hAnsi="Courier New" w:cs="Courier New"/>
          <w:sz w:val="18"/>
          <w:szCs w:val="18"/>
        </w:rPr>
        <w:t xml:space="preserve">9.51579E+09 </w:t>
      </w:r>
      <w:r w:rsidR="00BA4903">
        <w:rPr>
          <w:rFonts w:ascii="Courier New" w:hAnsi="Courier New" w:cs="Courier New"/>
          <w:sz w:val="18"/>
          <w:szCs w:val="18"/>
        </w:rPr>
        <w:t xml:space="preserve"> </w:t>
      </w:r>
      <w:r>
        <w:rPr>
          <w:rFonts w:ascii="Courier New" w:hAnsi="Courier New" w:cs="Courier New"/>
          <w:sz w:val="18"/>
          <w:szCs w:val="18"/>
        </w:rPr>
        <w:t xml:space="preserve"> 9515793950 </w:t>
      </w:r>
      <w:r w:rsidR="00BA4903">
        <w:rPr>
          <w:rFonts w:ascii="Courier New" w:hAnsi="Courier New" w:cs="Courier New"/>
          <w:sz w:val="18"/>
          <w:szCs w:val="18"/>
        </w:rPr>
        <w:t xml:space="preserve"> </w:t>
      </w:r>
      <w:r>
        <w:rPr>
          <w:rFonts w:ascii="Courier New" w:hAnsi="Courier New" w:cs="Courier New"/>
          <w:sz w:val="18"/>
          <w:szCs w:val="18"/>
        </w:rPr>
        <w:t xml:space="preserve"> 751.36 </w:t>
      </w:r>
      <w:r w:rsidR="00BA4903">
        <w:rPr>
          <w:rFonts w:ascii="Courier New" w:hAnsi="Courier New" w:cs="Courier New"/>
          <w:sz w:val="18"/>
          <w:szCs w:val="18"/>
        </w:rPr>
        <w:t xml:space="preserve"> </w:t>
      </w:r>
      <w:r>
        <w:rPr>
          <w:rFonts w:ascii="Courier New" w:hAnsi="Courier New" w:cs="Courier New"/>
          <w:sz w:val="18"/>
          <w:szCs w:val="18"/>
        </w:rPr>
        <w:t xml:space="preserve"> 0.000</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Experience </w:t>
      </w:r>
      <w:r w:rsidR="00BA4903">
        <w:rPr>
          <w:rFonts w:ascii="Courier New" w:hAnsi="Courier New" w:cs="Courier New"/>
          <w:sz w:val="18"/>
          <w:szCs w:val="18"/>
        </w:rPr>
        <w:t xml:space="preserve"> </w:t>
      </w:r>
      <w:r>
        <w:rPr>
          <w:rFonts w:ascii="Courier New" w:hAnsi="Courier New" w:cs="Courier New"/>
          <w:sz w:val="18"/>
          <w:szCs w:val="18"/>
        </w:rPr>
        <w:t xml:space="preserve">    2  </w:t>
      </w:r>
      <w:r w:rsidR="00BA4903">
        <w:rPr>
          <w:rFonts w:ascii="Courier New" w:hAnsi="Courier New" w:cs="Courier New"/>
          <w:sz w:val="18"/>
          <w:szCs w:val="18"/>
        </w:rPr>
        <w:t xml:space="preserve"> </w:t>
      </w:r>
      <w:r>
        <w:rPr>
          <w:rFonts w:ascii="Courier New" w:hAnsi="Courier New" w:cs="Courier New"/>
          <w:sz w:val="18"/>
          <w:szCs w:val="18"/>
        </w:rPr>
        <w:t xml:space="preserve">1.66810E+09 </w:t>
      </w:r>
      <w:r w:rsidR="00BA4903">
        <w:rPr>
          <w:rFonts w:ascii="Courier New" w:hAnsi="Courier New" w:cs="Courier New"/>
          <w:sz w:val="18"/>
          <w:szCs w:val="18"/>
        </w:rPr>
        <w:t xml:space="preserve"> </w:t>
      </w:r>
      <w:r>
        <w:rPr>
          <w:rFonts w:ascii="Courier New" w:hAnsi="Courier New" w:cs="Courier New"/>
          <w:sz w:val="18"/>
          <w:szCs w:val="18"/>
        </w:rPr>
        <w:t xml:space="preserve">  834050050 </w:t>
      </w:r>
      <w:r w:rsidR="00BA4903">
        <w:rPr>
          <w:rFonts w:ascii="Courier New" w:hAnsi="Courier New" w:cs="Courier New"/>
          <w:sz w:val="18"/>
          <w:szCs w:val="18"/>
        </w:rPr>
        <w:t xml:space="preserve"> </w:t>
      </w:r>
      <w:r>
        <w:rPr>
          <w:rFonts w:ascii="Courier New" w:hAnsi="Courier New" w:cs="Courier New"/>
          <w:sz w:val="18"/>
          <w:szCs w:val="18"/>
        </w:rPr>
        <w:t xml:space="preserve">  65.86 </w:t>
      </w:r>
      <w:r w:rsidR="00BA4903">
        <w:rPr>
          <w:rFonts w:ascii="Courier New" w:hAnsi="Courier New" w:cs="Courier New"/>
          <w:sz w:val="18"/>
          <w:szCs w:val="18"/>
        </w:rPr>
        <w:t xml:space="preserve"> </w:t>
      </w:r>
      <w:r>
        <w:rPr>
          <w:rFonts w:ascii="Courier New" w:hAnsi="Courier New" w:cs="Courier New"/>
          <w:sz w:val="18"/>
          <w:szCs w:val="18"/>
        </w:rPr>
        <w:t xml:space="preserve"> 0.000</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Interaction</w:t>
      </w:r>
      <w:r w:rsidR="00BA4903">
        <w:rPr>
          <w:rFonts w:ascii="Courier New" w:hAnsi="Courier New" w:cs="Courier New"/>
          <w:sz w:val="18"/>
          <w:szCs w:val="18"/>
        </w:rPr>
        <w:t xml:space="preserve"> </w:t>
      </w:r>
      <w:r>
        <w:rPr>
          <w:rFonts w:ascii="Courier New" w:hAnsi="Courier New" w:cs="Courier New"/>
          <w:sz w:val="18"/>
          <w:szCs w:val="18"/>
        </w:rPr>
        <w:t xml:space="preserve">    2  </w:t>
      </w:r>
      <w:r w:rsidR="00BA4903">
        <w:rPr>
          <w:rFonts w:ascii="Courier New" w:hAnsi="Courier New" w:cs="Courier New"/>
          <w:sz w:val="18"/>
          <w:szCs w:val="18"/>
        </w:rPr>
        <w:t xml:space="preserve"> </w:t>
      </w:r>
      <w:r>
        <w:rPr>
          <w:rFonts w:ascii="Courier New" w:hAnsi="Courier New" w:cs="Courier New"/>
          <w:sz w:val="18"/>
          <w:szCs w:val="18"/>
        </w:rPr>
        <w:t xml:space="preserve">1.35207E+09 </w:t>
      </w:r>
      <w:r w:rsidR="00BA4903">
        <w:rPr>
          <w:rFonts w:ascii="Courier New" w:hAnsi="Courier New" w:cs="Courier New"/>
          <w:sz w:val="18"/>
          <w:szCs w:val="18"/>
        </w:rPr>
        <w:t xml:space="preserve"> </w:t>
      </w:r>
      <w:r>
        <w:rPr>
          <w:rFonts w:ascii="Courier New" w:hAnsi="Courier New" w:cs="Courier New"/>
          <w:sz w:val="18"/>
          <w:szCs w:val="18"/>
        </w:rPr>
        <w:t xml:space="preserve">  676033092 </w:t>
      </w:r>
      <w:r w:rsidR="00BA4903">
        <w:rPr>
          <w:rFonts w:ascii="Courier New" w:hAnsi="Courier New" w:cs="Courier New"/>
          <w:sz w:val="18"/>
          <w:szCs w:val="18"/>
        </w:rPr>
        <w:t xml:space="preserve"> </w:t>
      </w:r>
      <w:r>
        <w:rPr>
          <w:rFonts w:ascii="Courier New" w:hAnsi="Courier New" w:cs="Courier New"/>
          <w:sz w:val="18"/>
          <w:szCs w:val="18"/>
        </w:rPr>
        <w:t xml:space="preserve">  53.38 </w:t>
      </w:r>
      <w:r w:rsidR="00BA4903">
        <w:rPr>
          <w:rFonts w:ascii="Courier New" w:hAnsi="Courier New" w:cs="Courier New"/>
          <w:sz w:val="18"/>
          <w:szCs w:val="18"/>
        </w:rPr>
        <w:t xml:space="preserve"> </w:t>
      </w:r>
      <w:bookmarkStart w:id="0" w:name="_GoBack"/>
      <w:bookmarkEnd w:id="0"/>
      <w:r>
        <w:rPr>
          <w:rFonts w:ascii="Courier New" w:hAnsi="Courier New" w:cs="Courier New"/>
          <w:sz w:val="18"/>
          <w:szCs w:val="18"/>
        </w:rPr>
        <w:t xml:space="preserve"> 0.000</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Error      </w:t>
      </w:r>
      <w:r w:rsidR="00BA4903">
        <w:rPr>
          <w:rFonts w:ascii="Courier New" w:hAnsi="Courier New" w:cs="Courier New"/>
          <w:sz w:val="18"/>
          <w:szCs w:val="18"/>
        </w:rPr>
        <w:t xml:space="preserve"> </w:t>
      </w:r>
      <w:r>
        <w:rPr>
          <w:rFonts w:ascii="Courier New" w:hAnsi="Courier New" w:cs="Courier New"/>
          <w:sz w:val="18"/>
          <w:szCs w:val="18"/>
        </w:rPr>
        <w:t xml:space="preserve">  114  </w:t>
      </w:r>
      <w:r w:rsidR="00BA4903">
        <w:rPr>
          <w:rFonts w:ascii="Courier New" w:hAnsi="Courier New" w:cs="Courier New"/>
          <w:sz w:val="18"/>
          <w:szCs w:val="18"/>
        </w:rPr>
        <w:t xml:space="preserve"> </w:t>
      </w:r>
      <w:r>
        <w:rPr>
          <w:rFonts w:ascii="Courier New" w:hAnsi="Courier New" w:cs="Courier New"/>
          <w:sz w:val="18"/>
          <w:szCs w:val="18"/>
        </w:rPr>
        <w:t xml:space="preserve">1.44378E+09 </w:t>
      </w:r>
      <w:r w:rsidR="00BA4903">
        <w:rPr>
          <w:rFonts w:ascii="Courier New" w:hAnsi="Courier New" w:cs="Courier New"/>
          <w:sz w:val="18"/>
          <w:szCs w:val="18"/>
        </w:rPr>
        <w:t xml:space="preserve"> </w:t>
      </w:r>
      <w:r>
        <w:rPr>
          <w:rFonts w:ascii="Courier New" w:hAnsi="Courier New" w:cs="Courier New"/>
          <w:sz w:val="18"/>
          <w:szCs w:val="18"/>
        </w:rPr>
        <w:t xml:space="preserve">   12664761</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Total      </w:t>
      </w:r>
      <w:r w:rsidR="00BA4903">
        <w:rPr>
          <w:rFonts w:ascii="Courier New" w:hAnsi="Courier New" w:cs="Courier New"/>
          <w:sz w:val="18"/>
          <w:szCs w:val="18"/>
        </w:rPr>
        <w:t xml:space="preserve"> </w:t>
      </w:r>
      <w:r>
        <w:rPr>
          <w:rFonts w:ascii="Courier New" w:hAnsi="Courier New" w:cs="Courier New"/>
          <w:sz w:val="18"/>
          <w:szCs w:val="18"/>
        </w:rPr>
        <w:t xml:space="preserve">  119  </w:t>
      </w:r>
      <w:r w:rsidR="00BA4903">
        <w:rPr>
          <w:rFonts w:ascii="Courier New" w:hAnsi="Courier New" w:cs="Courier New"/>
          <w:sz w:val="18"/>
          <w:szCs w:val="18"/>
        </w:rPr>
        <w:t xml:space="preserve"> </w:t>
      </w:r>
      <w:r>
        <w:rPr>
          <w:rFonts w:ascii="Courier New" w:hAnsi="Courier New" w:cs="Courier New"/>
          <w:sz w:val="18"/>
          <w:szCs w:val="18"/>
        </w:rPr>
        <w:t>1.39797E+10</w:t>
      </w: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S = 3559   R-Sq = 89.67%   R-Sq(adj) = 89.22%</w:t>
      </w: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Individual 95% CIs For Mean Based on Pooled StDev</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Position     Mean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Inside    56020.5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Outside   73830.4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55000     60000     65000     70000</w:t>
      </w: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Individual 95% CIs For Mean Based on</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Pooled StDev</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Experience     Mean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High        66338.7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Low         59819.6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Medium      68618.1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w:t>
      </w:r>
    </w:p>
    <w:p w:rsidR="006940AD" w:rsidRDefault="006940AD" w:rsidP="006940AD">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60000     63000     66000     69000</w:t>
      </w:r>
    </w:p>
    <w:p w:rsidR="006940AD" w:rsidRDefault="006940AD" w:rsidP="006940AD">
      <w:pPr>
        <w:autoSpaceDE w:val="0"/>
        <w:autoSpaceDN w:val="0"/>
        <w:adjustRightInd w:val="0"/>
        <w:rPr>
          <w:rFonts w:ascii="Courier New" w:hAnsi="Courier New" w:cs="Courier New"/>
          <w:sz w:val="18"/>
          <w:szCs w:val="18"/>
        </w:rPr>
      </w:pPr>
    </w:p>
    <w:p w:rsidR="006940AD"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color w:val="000000"/>
        </w:rPr>
      </w:pPr>
    </w:p>
    <w:p w:rsidR="006940AD" w:rsidRPr="00FF19E6" w:rsidRDefault="006940AD"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pPr>
      <w:r>
        <w:rPr>
          <w:color w:val="000000"/>
        </w:rPr>
        <w:tab/>
        <w:t xml:space="preserve">The </w:t>
      </w:r>
      <w:r w:rsidRPr="00FF19E6">
        <w:rPr>
          <w:i/>
          <w:color w:val="000000"/>
        </w:rPr>
        <w:t>p</w:t>
      </w:r>
      <w:r w:rsidRPr="00FF19E6">
        <w:rPr>
          <w:color w:val="000000"/>
        </w:rPr>
        <w:t>-value</w:t>
      </w:r>
      <w:r>
        <w:rPr>
          <w:color w:val="000000"/>
        </w:rPr>
        <w:t>s</w:t>
      </w:r>
      <w:r w:rsidRPr="00FF19E6">
        <w:rPr>
          <w:color w:val="000000"/>
        </w:rPr>
        <w:t xml:space="preserve"> for </w:t>
      </w:r>
      <w:r>
        <w:rPr>
          <w:color w:val="000000"/>
        </w:rPr>
        <w:t xml:space="preserve">Position, Experience, and Interaction are all </w:t>
      </w:r>
      <w:r w:rsidRPr="00FF19E6">
        <w:rPr>
          <w:color w:val="000000"/>
        </w:rPr>
        <w:t>.00</w:t>
      </w:r>
      <w:r>
        <w:rPr>
          <w:color w:val="000000"/>
        </w:rPr>
        <w:t>0</w:t>
      </w:r>
      <w:r w:rsidRPr="00FF19E6">
        <w:rPr>
          <w:color w:val="000000"/>
        </w:rPr>
        <w:t xml:space="preserve">.  </w:t>
      </w:r>
      <w:r>
        <w:rPr>
          <w:color w:val="000000"/>
        </w:rPr>
        <w:t>Because</w:t>
      </w:r>
      <w:r w:rsidRPr="00FF19E6">
        <w:rPr>
          <w:color w:val="000000"/>
        </w:rPr>
        <w:t xml:space="preserve"> the </w:t>
      </w:r>
      <w:r w:rsidRPr="00FF19E6">
        <w:rPr>
          <w:i/>
          <w:color w:val="000000"/>
        </w:rPr>
        <w:t>p</w:t>
      </w:r>
      <w:r w:rsidRPr="00FF19E6">
        <w:rPr>
          <w:color w:val="000000"/>
        </w:rPr>
        <w:t>-value</w:t>
      </w:r>
      <w:r>
        <w:rPr>
          <w:color w:val="000000"/>
        </w:rPr>
        <w:t>s</w:t>
      </w:r>
      <w:r w:rsidRPr="00FF19E6">
        <w:rPr>
          <w:color w:val="000000"/>
        </w:rPr>
        <w:t xml:space="preserve"> </w:t>
      </w:r>
      <w:r>
        <w:rPr>
          <w:color w:val="000000"/>
        </w:rPr>
        <w:t>are</w:t>
      </w:r>
      <w:r w:rsidRPr="00FF19E6">
        <w:rPr>
          <w:color w:val="000000"/>
        </w:rPr>
        <w:t xml:space="preserve"> less than the level of significance, .05, </w:t>
      </w:r>
      <w:r>
        <w:rPr>
          <w:color w:val="000000"/>
        </w:rPr>
        <w:t>b</w:t>
      </w:r>
      <w:r w:rsidRPr="00FF19E6">
        <w:rPr>
          <w:color w:val="000000"/>
        </w:rPr>
        <w:t xml:space="preserve">oth factors and interaction are significant. </w:t>
      </w:r>
    </w:p>
    <w:p w:rsidR="006940AD" w:rsidRPr="00FF19E6" w:rsidRDefault="006940AD" w:rsidP="006940AD">
      <w:r w:rsidRPr="00FF19E6">
        <w:t xml:space="preserve"> </w:t>
      </w:r>
    </w:p>
    <w:p w:rsidR="0077798F" w:rsidRDefault="0077798F" w:rsidP="006940AD">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pPr>
    </w:p>
    <w:sectPr w:rsidR="0077798F" w:rsidSect="00BA4903">
      <w:headerReference w:type="even" r:id="rId26"/>
      <w:headerReference w:type="default" r:id="rId27"/>
      <w:footerReference w:type="even" r:id="rId28"/>
      <w:footerReference w:type="default" r:id="rId29"/>
      <w:pgSz w:w="12240" w:h="15840"/>
      <w:pgMar w:top="1440" w:right="1800" w:bottom="1440" w:left="1800" w:header="720" w:footer="720" w:gutter="0"/>
      <w:pgNumType w:start="4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DA0" w:rsidRDefault="00CA5DA0">
      <w:r>
        <w:separator/>
      </w:r>
    </w:p>
  </w:endnote>
  <w:endnote w:type="continuationSeparator" w:id="0">
    <w:p w:rsidR="00CA5DA0" w:rsidRDefault="00CA5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98F" w:rsidRDefault="0077798F">
    <w:pPr>
      <w:pStyle w:val="Foote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504"/>
      <w:jc w:val="center"/>
      <w:rPr>
        <w:rFonts w:ascii="Times" w:hAnsi="Times"/>
        <w:sz w:val="24"/>
      </w:rPr>
    </w:pPr>
    <w:r>
      <w:rPr>
        <w:rFonts w:ascii="Times" w:hAnsi="Times"/>
        <w:sz w:val="24"/>
      </w:rPr>
      <w:t xml:space="preserve">CP - </w:t>
    </w:r>
    <w:r>
      <w:rPr>
        <w:rFonts w:ascii="Times" w:hAnsi="Times"/>
        <w:sz w:val="24"/>
      </w:rPr>
      <w:fldChar w:fldCharType="begin"/>
    </w:r>
    <w:r>
      <w:rPr>
        <w:rFonts w:ascii="Times" w:hAnsi="Times"/>
        <w:sz w:val="24"/>
      </w:rPr>
      <w:instrText xml:space="preserve">PAGE  </w:instrText>
    </w:r>
    <w:r>
      <w:rPr>
        <w:rFonts w:ascii="Times" w:hAnsi="Times"/>
        <w:sz w:val="24"/>
      </w:rPr>
      <w:fldChar w:fldCharType="separate"/>
    </w:r>
    <w:r>
      <w:rPr>
        <w:rFonts w:ascii="Times" w:hAnsi="Times"/>
        <w:noProof/>
        <w:sz w:val="24"/>
      </w:rPr>
      <w:t>34</w:t>
    </w:r>
    <w:r>
      <w:rPr>
        <w:rFonts w:ascii="Times" w:hAnsi="Times"/>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018" w:rsidRDefault="0077798F" w:rsidP="00362018">
    <w:pPr>
      <w:pStyle w:val="Footer"/>
      <w:spacing w:line="240" w:lineRule="auto"/>
      <w:jc w:val="center"/>
      <w:rPr>
        <w:rStyle w:val="PageNumber"/>
        <w:rFonts w:ascii="Times New Roman" w:hAnsi="Times New Roman"/>
      </w:rPr>
    </w:pPr>
    <w:r>
      <w:rPr>
        <w:rFonts w:ascii="Times New Roman" w:hAnsi="Times New Roman"/>
      </w:rPr>
      <w:t xml:space="preserve">CP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BA4903">
      <w:rPr>
        <w:rStyle w:val="PageNumber"/>
        <w:rFonts w:ascii="Times New Roman" w:hAnsi="Times New Roman"/>
        <w:noProof/>
      </w:rPr>
      <w:t>47</w:t>
    </w:r>
    <w:r>
      <w:rPr>
        <w:rStyle w:val="PageNumber"/>
        <w:rFonts w:ascii="Times New Roman" w:hAnsi="Times New Roman"/>
      </w:rPr>
      <w:fldChar w:fldCharType="end"/>
    </w:r>
  </w:p>
  <w:p w:rsidR="00362018" w:rsidRPr="003C63A3" w:rsidRDefault="00362018" w:rsidP="00362018">
    <w:pPr>
      <w:jc w:val="center"/>
      <w:rPr>
        <w:bCs/>
        <w:sz w:val="16"/>
        <w:szCs w:val="16"/>
      </w:rPr>
    </w:pPr>
    <w:r w:rsidRPr="003C63A3">
      <w:rPr>
        <w:bCs/>
        <w:sz w:val="16"/>
        <w:szCs w:val="16"/>
      </w:rPr>
      <w:t>© 201</w:t>
    </w:r>
    <w:r w:rsidR="00934E3B">
      <w:rPr>
        <w:bCs/>
        <w:sz w:val="16"/>
        <w:szCs w:val="16"/>
      </w:rPr>
      <w:t>3</w:t>
    </w:r>
    <w:r w:rsidRPr="003C63A3">
      <w:rPr>
        <w:bCs/>
        <w:sz w:val="16"/>
        <w:szCs w:val="16"/>
      </w:rPr>
      <w:t xml:space="preserve"> Cengage Learning. All Rights Reserved.</w:t>
    </w:r>
  </w:p>
  <w:p w:rsidR="0077798F" w:rsidRPr="00362018" w:rsidRDefault="00362018" w:rsidP="00362018">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DA0" w:rsidRDefault="00CA5DA0">
      <w:r>
        <w:separator/>
      </w:r>
    </w:p>
  </w:footnote>
  <w:footnote w:type="continuationSeparator" w:id="0">
    <w:p w:rsidR="00CA5DA0" w:rsidRDefault="00CA5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98F" w:rsidRDefault="0077798F">
    <w:pPr>
      <w:pStyle w:val="Header"/>
      <w:spacing w:line="240" w:lineRule="auto"/>
      <w:rPr>
        <w:rFonts w:ascii="Times" w:hAnsi="Times"/>
        <w:b/>
        <w:sz w:val="24"/>
      </w:rPr>
    </w:pPr>
    <w:r>
      <w:rPr>
        <w:rFonts w:ascii="Times" w:hAnsi="Times"/>
        <w:b/>
        <w:sz w:val="24"/>
      </w:rPr>
      <w:t>Chapter 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98F" w:rsidRDefault="0077798F">
    <w:pPr>
      <w:pStyle w:val="Header"/>
      <w:spacing w:line="240" w:lineRule="auto"/>
      <w:ind w:hanging="504"/>
      <w:rPr>
        <w:rFonts w:ascii="Times" w:hAnsi="Times"/>
      </w:rPr>
    </w:pPr>
    <w:r>
      <w:rPr>
        <w:rFonts w:ascii="Times" w:hAnsi="Times"/>
      </w:rPr>
      <w:t xml:space="preserve">Chapter 13 </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Experimental Design</w:t>
    </w:r>
    <w:r w:rsidR="006805E3">
      <w:rPr>
        <w:rFonts w:ascii="Times" w:hAnsi="Times"/>
      </w:rPr>
      <w:t xml:space="preserve"> and Analysis of Variance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975"/>
    <w:multiLevelType w:val="multilevel"/>
    <w:tmpl w:val="D902B36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5CD1749"/>
    <w:multiLevelType w:val="multilevel"/>
    <w:tmpl w:val="A68AA41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5E347B9"/>
    <w:multiLevelType w:val="multilevel"/>
    <w:tmpl w:val="2642FCC0"/>
    <w:lvl w:ilvl="0">
      <w:start w:val="12"/>
      <w:numFmt w:val="lowerLetter"/>
      <w:lvlText w:val="%1."/>
      <w:lvlJc w:val="left"/>
      <w:pPr>
        <w:tabs>
          <w:tab w:val="num" w:pos="860"/>
        </w:tabs>
        <w:ind w:left="860" w:hanging="360"/>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3">
    <w:nsid w:val="23FD697C"/>
    <w:multiLevelType w:val="multilevel"/>
    <w:tmpl w:val="30907E5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5B8F502B"/>
    <w:multiLevelType w:val="multilevel"/>
    <w:tmpl w:val="B2F6047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66F05955"/>
    <w:multiLevelType w:val="singleLevel"/>
    <w:tmpl w:val="959C0432"/>
    <w:lvl w:ilvl="0">
      <w:start w:val="6"/>
      <w:numFmt w:val="lowerLetter"/>
      <w:lvlText w:val="%1."/>
      <w:lvlJc w:val="left"/>
      <w:pPr>
        <w:tabs>
          <w:tab w:val="num" w:pos="360"/>
        </w:tabs>
        <w:ind w:left="360" w:hanging="360"/>
      </w:pPr>
      <w:rPr>
        <w:rFonts w:hint="default"/>
      </w:rPr>
    </w:lvl>
  </w:abstractNum>
  <w:abstractNum w:abstractNumId="6">
    <w:nsid w:val="6DC20907"/>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7BB21CE2"/>
    <w:multiLevelType w:val="multilevel"/>
    <w:tmpl w:val="7A3E230E"/>
    <w:lvl w:ilvl="0">
      <w:start w:val="8"/>
      <w:numFmt w:val="lowerLetter"/>
      <w:lvlText w:val="%1."/>
      <w:lvlJc w:val="left"/>
      <w:pPr>
        <w:tabs>
          <w:tab w:val="num" w:pos="905"/>
        </w:tabs>
        <w:ind w:left="905" w:hanging="405"/>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num w:numId="1">
    <w:abstractNumId w:val="6"/>
  </w:num>
  <w:num w:numId="2">
    <w:abstractNumId w:val="1"/>
  </w:num>
  <w:num w:numId="3">
    <w:abstractNumId w:val="2"/>
  </w:num>
  <w:num w:numId="4">
    <w:abstractNumId w:val="7"/>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F3"/>
    <w:rsid w:val="000F638D"/>
    <w:rsid w:val="001C1EDA"/>
    <w:rsid w:val="00362018"/>
    <w:rsid w:val="003B0719"/>
    <w:rsid w:val="00432612"/>
    <w:rsid w:val="0047486C"/>
    <w:rsid w:val="00540EF3"/>
    <w:rsid w:val="006805E3"/>
    <w:rsid w:val="006940AD"/>
    <w:rsid w:val="0077798F"/>
    <w:rsid w:val="0086356F"/>
    <w:rsid w:val="00934E3B"/>
    <w:rsid w:val="00A927D9"/>
    <w:rsid w:val="00BA4903"/>
    <w:rsid w:val="00C424E4"/>
    <w:rsid w:val="00CA5DA0"/>
    <w:rsid w:val="00D605D8"/>
    <w:rsid w:val="00D6438E"/>
    <w:rsid w:val="00ED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6.wmf"/><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10.bin"/><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Chapter 13</vt:lpstr>
    </vt:vector>
  </TitlesOfParts>
  <Company>Brown Dog</Company>
  <LinksUpToDate>false</LinksUpToDate>
  <CharactersWithSpaces>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dc:title>
  <dc:creator>Preferred Customer</dc:creator>
  <cp:lastModifiedBy>Cathy</cp:lastModifiedBy>
  <cp:revision>2</cp:revision>
  <cp:lastPrinted>2012-09-16T23:20:00Z</cp:lastPrinted>
  <dcterms:created xsi:type="dcterms:W3CDTF">2012-09-30T19:22:00Z</dcterms:created>
  <dcterms:modified xsi:type="dcterms:W3CDTF">2012-09-30T19:22:00Z</dcterms:modified>
</cp:coreProperties>
</file>