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bookmarkStart w:id="22" w:name="access-and-setup"/>
    <w:p>
      <w:pPr>
        <w:pStyle w:val="Heading1"/>
      </w:pPr>
      <w:r>
        <w:t xml:space="preserve">Access and Setup</w:t>
      </w:r>
    </w:p>
    <w:p>
      <w:pPr>
        <w:pStyle w:val="FirstParagraph"/>
      </w:pPr>
      <w:r>
        <w:t xml:space="preserve">I confirmed that the</w:t>
      </w:r>
      <w:r>
        <w:t xml:space="preserve"> </w:t>
      </w:r>
      <w:r>
        <w:rPr>
          <w:b/>
          <w:bCs/>
        </w:rPr>
        <w:t xml:space="preserve">Vizual X Admin Control Plane</w:t>
      </w:r>
      <w:r>
        <w:t xml:space="preserve"> </w:t>
      </w:r>
      <w:r>
        <w:t xml:space="preserve">repository is publicly accessible. For example, its README explicitly shows it is an AI Studio app with instructions to run locally</w:t>
      </w:r>
      <w:hyperlink r:id="rId21">
        <w:r>
          <w:rPr>
            <w:rStyle w:val="Hyperlink"/>
          </w:rPr>
          <w:t xml:space="preserve">[1]</w:t>
        </w:r>
      </w:hyperlink>
      <w:r>
        <w:t xml:space="preserve">. We can therefore proceed to use this system as the foundation for the admin control plane.</w:t>
      </w:r>
    </w:p>
    <w:bookmarkEnd w:id="22"/>
    <w:bookmarkStart w:id="24" w:name="google-ai-studio-system-prompt"/>
    <w:p>
      <w:pPr>
        <w:pStyle w:val="Heading1"/>
      </w:pPr>
      <w:r>
        <w:t xml:space="preserve">Google AI Studio System Prompt</w:t>
      </w:r>
    </w:p>
    <w:p>
      <w:pPr>
        <w:pStyle w:val="FirstParagraph"/>
      </w:pPr>
      <w:r>
        <w:t xml:space="preserve">The core of the setup is the</w:t>
      </w:r>
      <w:r>
        <w:t xml:space="preserve"> </w:t>
      </w:r>
      <w:r>
        <w:rPr>
          <w:i/>
          <w:iCs/>
        </w:rPr>
        <w:t xml:space="preserve">Vizual X – Master Compiler Prompt</w:t>
      </w:r>
      <w:r>
        <w:t xml:space="preserve"> </w:t>
      </w:r>
      <w:r>
        <w:t xml:space="preserve">which is intended to be pasted</w:t>
      </w:r>
      <w:r>
        <w:t xml:space="preserve"> </w:t>
      </w:r>
      <w:r>
        <w:rPr>
          <w:b/>
          <w:bCs/>
        </w:rPr>
        <w:t xml:space="preserve">directly into Google AI Studio as the PRIMARY SYSTEM PROMPT</w:t>
      </w:r>
      <w:hyperlink r:id="rId23">
        <w:r>
          <w:rPr>
            <w:rStyle w:val="Hyperlink"/>
          </w:rPr>
          <w:t xml:space="preserve">[2]</w:t>
        </w:r>
      </w:hyperlink>
      <w:r>
        <w:t xml:space="preserve">. This prompt instructs the AI to act as a “Frontend Architect, Backend Systems Engineer, AI Orchestration Engineer, and Product Compiler” and to generate a complete production-grade system with zero manual iteration</w:t>
      </w:r>
      <w:hyperlink r:id="rId23">
        <w:r>
          <w:rPr>
            <w:rStyle w:val="Hyperlink"/>
          </w:rPr>
          <w:t xml:space="preserve">[3]</w:t>
        </w:r>
      </w:hyperlink>
      <w:hyperlink r:id="rId23">
        <w:r>
          <w:rPr>
            <w:rStyle w:val="Hyperlink"/>
          </w:rPr>
          <w:t xml:space="preserve">[4]</w:t>
        </w:r>
      </w:hyperlink>
      <w:r>
        <w:t xml:space="preserve">. Key non-negotiable requirements from the prompt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Code Only:</w:t>
      </w:r>
      <w:r>
        <w:t xml:space="preserve"> </w:t>
      </w:r>
      <w:r>
        <w:t xml:space="preserve">Output a single monorepo with</w:t>
      </w:r>
      <w:r>
        <w:t xml:space="preserve"> </w:t>
      </w:r>
      <w:r>
        <w:rPr>
          <w:i/>
          <w:iCs/>
        </w:rPr>
        <w:t xml:space="preserve">complete file tree</w:t>
      </w:r>
      <w:r>
        <w:t xml:space="preserve"> </w:t>
      </w:r>
      <w:r>
        <w:t xml:space="preserve">and full content for every file, with no placeholders or “TODOs”</w:t>
      </w:r>
      <w:hyperlink r:id="rId23">
        <w:r>
          <w:rPr>
            <w:rStyle w:val="Hyperlink"/>
          </w:rPr>
          <w:t xml:space="preserve">[5]</w:t>
        </w:r>
      </w:hyperlink>
      <w:hyperlink r:id="rId23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Built-in Quality:</w:t>
      </w:r>
      <w:r>
        <w:t xml:space="preserve"> </w:t>
      </w:r>
      <w:r>
        <w:t xml:space="preserve">The system must include all testing (unit + E2E), linting, type-checks, CI/CD, security headers, audit logs, rate limits, health/performance monitoring, seed data, and self-check endpoints</w:t>
      </w:r>
      <w:hyperlink r:id="rId23">
        <w:r>
          <w:rPr>
            <w:rStyle w:val="Hyperlink"/>
          </w:rPr>
          <w:t xml:space="preserve">[7]</w:t>
        </w:r>
      </w:hyperlink>
      <w:hyperlink r:id="rId23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First-Shot Correctness:</w:t>
      </w:r>
      <w:r>
        <w:t xml:space="preserve"> </w:t>
      </w:r>
      <w:r>
        <w:t xml:space="preserve">The first output must be fully correct; no partial iteration is allowed</w:t>
      </w:r>
      <w:hyperlink r:id="rId23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FirstParagraph"/>
      </w:pPr>
      <w:r>
        <w:t xml:space="preserve">In short, we feed this comprehensive system prompt to Google AI Studio, which will then “compile intent → contract → system → validation → deployment” automatically</w:t>
      </w:r>
      <w:hyperlink r:id="rId23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24"/>
    <w:bookmarkStart w:id="25" w:name="core-system-architecture"/>
    <w:p>
      <w:pPr>
        <w:pStyle w:val="Heading1"/>
      </w:pPr>
      <w:r>
        <w:t xml:space="preserve">Core System Architecture</w:t>
      </w:r>
    </w:p>
    <w:p>
      <w:pPr>
        <w:pStyle w:val="FirstParagraph"/>
      </w:pPr>
      <w:r>
        <w:t xml:space="preserve">According to the prompt, Vizual X is a</w:t>
      </w:r>
      <w:r>
        <w:t xml:space="preserve"> </w:t>
      </w:r>
      <w:r>
        <w:rPr>
          <w:b/>
          <w:bCs/>
        </w:rPr>
        <w:t xml:space="preserve">chat-first, outcome-driven builder</w:t>
      </w:r>
      <w:r>
        <w:t xml:space="preserve"> </w:t>
      </w:r>
      <w:r>
        <w:t xml:space="preserve">for complete applications. It replaces traditional frontend builders, backend scaffolding, template systems, CI/CD glue, infra scripts, admin dashboards, agent builders, etc., with one coherent system</w:t>
      </w:r>
      <w:hyperlink r:id="rId23">
        <w:r>
          <w:rPr>
            <w:rStyle w:val="Hyperlink"/>
          </w:rPr>
          <w:t xml:space="preserve">[11]</w:t>
        </w:r>
      </w:hyperlink>
      <w:r>
        <w:t xml:space="preserve">. Key design mandates include a “reverse-Apple” dark UI (black background, minimal accents, no visual noise)</w:t>
      </w:r>
      <w:hyperlink r:id="rId23">
        <w:r>
          <w:rPr>
            <w:rStyle w:val="Hyperlink"/>
          </w:rPr>
          <w:t xml:space="preserve">[12]</w:t>
        </w:r>
      </w:hyperlink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chat-based interface</w:t>
      </w:r>
      <w:r>
        <w:t xml:space="preserve"> </w:t>
      </w:r>
      <w:r>
        <w:t xml:space="preserve">with a fixed left sidebar (new chat, search, tools, projects, settings) and a right-hand chat workspace</w:t>
      </w:r>
      <w:hyperlink r:id="rId23">
        <w:r>
          <w:rPr>
            <w:rStyle w:val="Hyperlink"/>
          </w:rPr>
          <w:t xml:space="preserve">[14]</w:t>
        </w:r>
      </w:hyperlink>
      <w:hyperlink r:id="rId23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BodyText"/>
      </w:pPr>
      <w:r>
        <w:t xml:space="preserve">The system must support</w:t>
      </w:r>
      <w:r>
        <w:t xml:space="preserve"> </w:t>
      </w:r>
      <w:r>
        <w:rPr>
          <w:b/>
          <w:bCs/>
        </w:rPr>
        <w:t xml:space="preserve">three automation modes</w:t>
      </w:r>
      <w:r>
        <w:t xml:space="preserve">: FULL AUTO (fully autonomous multi-agent execution), HYBRID (agents with guardrails requiring approval for destructive/high-risk actions), and MANUAL (suggest-only)</w:t>
      </w:r>
      <w:hyperlink r:id="rId23">
        <w:r>
          <w:rPr>
            <w:rStyle w:val="Hyperlink"/>
          </w:rPr>
          <w:t xml:space="preserve">[16]</w:t>
        </w:r>
      </w:hyperlink>
      <w:hyperlink r:id="rId23">
        <w:r>
          <w:rPr>
            <w:rStyle w:val="Hyperlink"/>
          </w:rPr>
          <w:t xml:space="preserve">[17]</w:t>
        </w:r>
      </w:hyperlink>
      <w:r>
        <w:t xml:space="preserve">. Automation actually controls permissions, tool access, routing decisions, deployment authority, and vault access, not just UI toggles</w:t>
      </w:r>
      <w:hyperlink r:id="rId23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25"/>
    <w:bookmarkStart w:id="26" w:name="outcome-contracts-and-templates"/>
    <w:p>
      <w:pPr>
        <w:pStyle w:val="Heading1"/>
      </w:pPr>
      <w:r>
        <w:t xml:space="preserve">Outcome Contracts and Templates</w:t>
      </w:r>
    </w:p>
    <w:p>
      <w:pPr>
        <w:pStyle w:val="FirstParagraph"/>
      </w:pPr>
      <w:r>
        <w:t xml:space="preserve">Every feature or “outcome” in the system is</w:t>
      </w:r>
      <w:r>
        <w:t xml:space="preserve"> </w:t>
      </w:r>
      <w:r>
        <w:rPr>
          <w:b/>
          <w:bCs/>
        </w:rPr>
        <w:t xml:space="preserve">contract-first</w:t>
      </w:r>
      <w:r>
        <w:t xml:space="preserve">: before generating code, Vizual X must produce an “Outcome Contract Pack” that includes functional/non-functional requirements, data models/migrations, OpenAPI specs, UI routes/state, auth/RBAC design, test plans, observability plans, deployment/rollback plans, etc. – and no development proceeds without this contract</w:t>
      </w:r>
      <w:hyperlink r:id="rId23">
        <w:r>
          <w:rPr>
            <w:rStyle w:val="Hyperlink"/>
          </w:rPr>
          <w:t xml:space="preserve">[19]</w:t>
        </w:r>
      </w:hyperlink>
      <w:hyperlink r:id="rId23">
        <w:r>
          <w:rPr>
            <w:rStyle w:val="Hyperlink"/>
          </w:rPr>
          <w:t xml:space="preserve">[20]</w:t>
        </w:r>
      </w:hyperlink>
      <w:r>
        <w:t xml:space="preserve">. A complete MVC (Monorepo with Versioned Contracts) approach is enforced: the system must generate all documentation, contracts, pipelines, UI, and backend logic without comments, just raw code</w:t>
      </w:r>
      <w:hyperlink r:id="rId23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Template Genome Engine</w:t>
      </w:r>
      <w:r>
        <w:t xml:space="preserve"> </w:t>
      </w:r>
      <w:r>
        <w:t xml:space="preserve">(code-named</w:t>
      </w:r>
      <w:r>
        <w:t xml:space="preserve"> </w:t>
      </w:r>
      <w:r>
        <w:rPr>
          <w:i/>
          <w:iCs/>
        </w:rPr>
        <w:t xml:space="preserve">Helix</w:t>
      </w:r>
      <w:r>
        <w:t xml:space="preserve">) drives all templates. Templates must be parametric, composable, upgradeable without overwriting custom code, and support diff-mergeability</w:t>
      </w:r>
      <w:hyperlink r:id="rId23">
        <w:r>
          <w:rPr>
            <w:rStyle w:val="Hyperlink"/>
          </w:rPr>
          <w:t xml:space="preserve">[21]</w:t>
        </w:r>
      </w:hyperlink>
      <w:r>
        <w:t xml:space="preserve">. They include scoring for performance, security, accessibility, and maintainability</w:t>
      </w:r>
      <w:hyperlink r:id="rId23">
        <w:r>
          <w:rPr>
            <w:rStyle w:val="Hyperlink"/>
          </w:rPr>
          <w:t xml:space="preserve">[22]</w:t>
        </w:r>
      </w:hyperlink>
      <w:r>
        <w:t xml:space="preserve">.</w:t>
      </w:r>
    </w:p>
    <w:bookmarkEnd w:id="26"/>
    <w:bookmarkStart w:id="27" w:name="connectors-and-integrations"/>
    <w:p>
      <w:pPr>
        <w:pStyle w:val="Heading1"/>
      </w:pPr>
      <w:r>
        <w:t xml:space="preserve">Connectors and Integrations</w:t>
      </w:r>
    </w:p>
    <w:p>
      <w:pPr>
        <w:pStyle w:val="FirstParagraph"/>
      </w:pPr>
      <w:r>
        <w:t xml:space="preserve">The system must integrate with</w:t>
      </w:r>
      <w:r>
        <w:t xml:space="preserve"> </w:t>
      </w:r>
      <w:r>
        <w:rPr>
          <w:b/>
          <w:bCs/>
        </w:rPr>
        <w:t xml:space="preserve">all required external tools and platforms</w:t>
      </w:r>
      <w:r>
        <w:t xml:space="preserve"> </w:t>
      </w:r>
      <w:r>
        <w:t xml:space="preserve">via connectors. In particular, it lists mandatory connectors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GitHub integration, with persistent sync and multi-account support</w:t>
      </w:r>
      <w:hyperlink r:id="rId23">
        <w:r>
          <w:rPr>
            <w:rStyle w:val="Hyperlink"/>
          </w:rPr>
          <w:t xml:space="preserve">[23]</w:t>
        </w:r>
      </w:hyperlink>
      <w:hyperlink r:id="rId23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Services:</w:t>
      </w:r>
      <w:r>
        <w:t xml:space="preserve"> </w:t>
      </w:r>
      <w:r>
        <w:t xml:space="preserve">Google Cloud and Google Workspace</w:t>
      </w:r>
      <w:hyperlink r:id="rId23">
        <w:r>
          <w:rPr>
            <w:rStyle w:val="Hyperlink"/>
          </w:rPr>
          <w:t xml:space="preserve">[23]</w:t>
        </w:r>
      </w:hyperlink>
      <w:r>
        <w:t xml:space="preserve">. This covers services like Cloud Run, BigQuery, Cloud SQL, AutoML, etc., as indicated in the “Smart Router” sync targets</w:t>
      </w:r>
      <w:hyperlink r:id="rId23">
        <w:r>
          <w:rPr>
            <w:rStyle w:val="Hyperlink"/>
          </w:rPr>
          <w:t xml:space="preserve">[25]</w:t>
        </w:r>
      </w:hyperlink>
      <w:hyperlink r:id="rId23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Development:</w:t>
      </w:r>
      <w:r>
        <w:t xml:space="preserve"> </w:t>
      </w:r>
      <w:r>
        <w:t xml:space="preserve">VS Code (via Multi-Cloud Platform API or extension), Docker (local containers), and any existing local tunnels/gateways</w:t>
      </w:r>
      <w:hyperlink r:id="rId23">
        <w:r>
          <w:rPr>
            <w:rStyle w:val="Hyperlink"/>
          </w:rPr>
          <w:t xml:space="preserve">[27]</w:t>
        </w:r>
      </w:hyperlink>
      <w:hyperlink r:id="rId23">
        <w:r>
          <w:rPr>
            <w:rStyle w:val="Hyperlink"/>
          </w:rPr>
          <w:t xml:space="preserve">[28]</w:t>
        </w:r>
      </w:hyperlink>
      <w:r>
        <w:t xml:space="preserve">. The system prefers local resources when available and routes seamlessly to cloud otherwise (via the</w:t>
      </w:r>
      <w:r>
        <w:t xml:space="preserve"> </w:t>
      </w:r>
      <w:r>
        <w:rPr>
          <w:i/>
          <w:iCs/>
        </w:rPr>
        <w:t xml:space="preserve">Atlas</w:t>
      </w:r>
      <w:r>
        <w:t xml:space="preserve"> </w:t>
      </w:r>
      <w:r>
        <w:t xml:space="preserve">Smart Router)</w:t>
      </w:r>
      <w:hyperlink r:id="rId23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Services:</w:t>
      </w:r>
      <w:r>
        <w:t xml:space="preserve"> </w:t>
      </w:r>
      <w:r>
        <w:t xml:space="preserve">Integration adapters for Google Gen AI App and Vertex AI</w:t>
      </w:r>
      <w:hyperlink r:id="rId23">
        <w:r>
          <w:rPr>
            <w:rStyle w:val="Hyperlink"/>
          </w:rPr>
          <w:t xml:space="preserve">[30]</w:t>
        </w:r>
      </w:hyperlink>
      <w:r>
        <w:t xml:space="preserve">. The system should auto-refresh model catalogs, support per-project/model selection, cost-aware routing, safety filters, and streaming outputs</w:t>
      </w:r>
      <w:hyperlink r:id="rId23">
        <w:r>
          <w:rPr>
            <w:rStyle w:val="Hyperlink"/>
          </w:rPr>
          <w:t xml:space="preserve">[31]</w:t>
        </w:r>
      </w:hyperlink>
      <w:hyperlink r:id="rId23">
        <w:r>
          <w:rPr>
            <w:rStyle w:val="Hyperlink"/>
          </w:rPr>
          <w:t xml:space="preserve">[32]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Orchestration:</w:t>
      </w:r>
      <w:r>
        <w:t xml:space="preserve"> </w:t>
      </w:r>
      <w:r>
        <w:t xml:space="preserve">“Manus-style” AI agent orchestration is explicitly required</w:t>
      </w:r>
      <w:hyperlink r:id="rId2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(e.g. implementing parallel multi-agent workflows). Key AI tools include chat, voice/video creation, UI generation, research visualization, CRUD schema builders, and a no-code agent builder</w:t>
      </w:r>
      <w:hyperlink r:id="rId23">
        <w:r>
          <w:rPr>
            <w:rStyle w:val="Hyperlink"/>
          </w:rPr>
          <w:t xml:space="preserve">[33]</w:t>
        </w:r>
      </w:hyperlink>
      <w:r>
        <w:t xml:space="preserve">.</w:t>
      </w:r>
    </w:p>
    <w:p>
      <w:pPr>
        <w:pStyle w:val="FirstParagraph"/>
      </w:pPr>
      <w:r>
        <w:t xml:space="preserve">All connectors must be user-friendly, supporting click-to-sign-in OAuth flows, multiple accounts, and permission scopes with full audit logging</w:t>
      </w:r>
      <w:hyperlink r:id="rId23">
        <w:r>
          <w:rPr>
            <w:rStyle w:val="Hyperlink"/>
          </w:rPr>
          <w:t xml:space="preserve">[34]</w:t>
        </w:r>
      </w:hyperlink>
      <w:hyperlink r:id="rId23">
        <w:r>
          <w:rPr>
            <w:rStyle w:val="Hyperlink"/>
          </w:rPr>
          <w:t xml:space="preserve">[35]</w:t>
        </w:r>
      </w:hyperlink>
      <w:r>
        <w:t xml:space="preserve">. For example, Vault-X (the secrets vault) will securely store API keys/tokens (UI never re-displays them) and enable scoped access with audit trails</w:t>
      </w:r>
      <w:hyperlink r:id="rId23">
        <w:r>
          <w:rPr>
            <w:rStyle w:val="Hyperlink"/>
          </w:rPr>
          <w:t xml:space="preserve">[36]</w:t>
        </w:r>
      </w:hyperlink>
      <w:hyperlink r:id="rId23">
        <w:r>
          <w:rPr>
            <w:rStyle w:val="Hyperlink"/>
          </w:rPr>
          <w:t xml:space="preserve">[37]</w:t>
        </w:r>
      </w:hyperlink>
      <w:r>
        <w:t xml:space="preserve">.</w:t>
      </w:r>
    </w:p>
    <w:bookmarkEnd w:id="27"/>
    <w:bookmarkStart w:id="28" w:name="security-governance-and-monitoring"/>
    <w:p>
      <w:pPr>
        <w:pStyle w:val="Heading1"/>
      </w:pPr>
      <w:r>
        <w:t xml:space="preserve">Security, Governance, and Monitoring</w:t>
      </w:r>
    </w:p>
    <w:p>
      <w:pPr>
        <w:pStyle w:val="FirstParagraph"/>
      </w:pPr>
      <w:r>
        <w:t xml:space="preserve">Security is built-in from the start. The vault (Vault-X) holds secrets and even a paper-trading portfolio, with rules so that the UI never re-displays secrets and only scoped backend handles can use them</w:t>
      </w:r>
      <w:hyperlink r:id="rId23">
        <w:r>
          <w:rPr>
            <w:rStyle w:val="Hyperlink"/>
          </w:rPr>
          <w:t xml:space="preserve">[36]</w:t>
        </w:r>
      </w:hyperlink>
      <w:hyperlink r:id="rId23">
        <w:r>
          <w:rPr>
            <w:rStyle w:val="Hyperlink"/>
          </w:rPr>
          <w:t xml:space="preserve">[38]</w:t>
        </w:r>
      </w:hyperlink>
      <w:r>
        <w:t xml:space="preserve">. All actions through connectors and agents are logged (full audit logs)</w:t>
      </w:r>
      <w:hyperlink r:id="rId23">
        <w:r>
          <w:rPr>
            <w:rStyle w:val="Hyperlink"/>
          </w:rPr>
          <w:t xml:space="preserve">[39]</w:t>
        </w:r>
      </w:hyperlink>
      <w:r>
        <w:t xml:space="preserve">. Guardrails in hybrid mode require approvals for dangerous operations</w:t>
      </w:r>
      <w:hyperlink r:id="rId23">
        <w:r>
          <w:rPr>
            <w:rStyle w:val="Hyperlink"/>
          </w:rPr>
          <w:t xml:space="preserve">[17]</w:t>
        </w:r>
      </w:hyperlink>
      <w:r>
        <w:t xml:space="preserve">. Every project adheres to an enterprise-grade security posture and execution guarantees of deterministic, contract-first pipelines with zero iteration bias</w:t>
      </w:r>
      <w:hyperlink r:id="rId23">
        <w:r>
          <w:rPr>
            <w:rStyle w:val="Hyperlink"/>
          </w:rPr>
          <w:t xml:space="preserve">[40]</w:t>
        </w:r>
      </w:hyperlink>
      <w:r>
        <w:t xml:space="preserve">.</w:t>
      </w:r>
    </w:p>
    <w:p>
      <w:pPr>
        <w:pStyle w:val="BodyText"/>
      </w:pPr>
      <w:r>
        <w:t xml:space="preserve">A built-in health and performance dashboard (</w:t>
      </w:r>
      <w:r>
        <w:rPr>
          <w:i/>
          <w:iCs/>
        </w:rPr>
        <w:t xml:space="preserve">Sentinel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Flux</w:t>
      </w:r>
      <w:r>
        <w:t xml:space="preserve">) continuously monitors all components – frontend, backend, storage, queues, connectors, and models – with green/yellow/red status indicators and AI-driven auto-fix recommendations</w:t>
      </w:r>
      <w:hyperlink r:id="rId23">
        <w:r>
          <w:rPr>
            <w:rStyle w:val="Hyperlink"/>
          </w:rPr>
          <w:t xml:space="preserve">[41]</w:t>
        </w:r>
      </w:hyperlink>
      <w:hyperlink r:id="rId23">
        <w:r>
          <w:rPr>
            <w:rStyle w:val="Hyperlink"/>
          </w:rPr>
          <w:t xml:space="preserve">[42]</w:t>
        </w:r>
      </w:hyperlink>
      <w:r>
        <w:t xml:space="preserve">. Performance metrics (web vitals, latency, bundle size, cache efficiency) are tracked and one-click fixes can be applied (with validation)</w:t>
      </w:r>
      <w:hyperlink r:id="rId23">
        <w:r>
          <w:rPr>
            <w:rStyle w:val="Hyperlink"/>
          </w:rPr>
          <w:t xml:space="preserve">[43]</w:t>
        </w:r>
      </w:hyperlink>
      <w:r>
        <w:t xml:space="preserve">.</w:t>
      </w:r>
    </w:p>
    <w:bookmarkEnd w:id="28"/>
    <w:bookmarkStart w:id="29" w:name="deployment-and-automation"/>
    <w:p>
      <w:pPr>
        <w:pStyle w:val="Heading1"/>
      </w:pPr>
      <w:r>
        <w:t xml:space="preserve">Deployment and Automation</w:t>
      </w:r>
    </w:p>
    <w:p>
      <w:pPr>
        <w:pStyle w:val="FirstParagraph"/>
      </w:pPr>
      <w:r>
        <w:t xml:space="preserve">The system includes a fully automated CI/CD pipeline. It uses GitHub Actions for builds/testing</w:t>
      </w:r>
      <w:hyperlink r:id="rId23">
        <w:r>
          <w:rPr>
            <w:rStyle w:val="Hyperlink"/>
          </w:rPr>
          <w:t xml:space="preserve">[44]</w:t>
        </w:r>
      </w:hyperlink>
      <w:r>
        <w:t xml:space="preserve">, supports dev/stage/prod and preview environments, rollbacks, canary deployments, and even cost-estimation and “evidence packs” for audits</w:t>
      </w:r>
      <w:hyperlink r:id="rId23">
        <w:r>
          <w:rPr>
            <w:rStyle w:val="Hyperlink"/>
          </w:rPr>
          <w:t xml:space="preserve">[45]</w:t>
        </w:r>
      </w:hyperlink>
      <w:r>
        <w:t xml:space="preserve">. Cron jobs, GitHub workflows, projects, and agents are all orchestrated by Vizual X as part of the</w:t>
      </w:r>
      <w:r>
        <w:t xml:space="preserve"> </w:t>
      </w:r>
      <w:r>
        <w:rPr>
          <w:i/>
          <w:iCs/>
        </w:rPr>
        <w:t xml:space="preserve">Pulse</w:t>
      </w:r>
      <w:r>
        <w:t xml:space="preserve"> </w:t>
      </w:r>
      <w:r>
        <w:t xml:space="preserve">MAPP engine for parallel execution</w:t>
      </w:r>
      <w:hyperlink r:id="rId23">
        <w:r>
          <w:rPr>
            <w:rStyle w:val="Hyperlink"/>
          </w:rPr>
          <w:t xml:space="preserve">[46]</w:t>
        </w:r>
      </w:hyperlink>
      <w:hyperlink r:id="rId23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9"/>
    <w:bookmarkStart w:id="30" w:name="required-tech-stack"/>
    <w:p>
      <w:pPr>
        <w:pStyle w:val="Heading1"/>
      </w:pPr>
      <w:r>
        <w:t xml:space="preserve">Required Tech Stack</w:t>
      </w:r>
    </w:p>
    <w:p>
      <w:pPr>
        <w:pStyle w:val="FirstParagraph"/>
      </w:pPr>
      <w:r>
        <w:t xml:space="preserve">Per the prompt, the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is Next.js (App Router) with TypeScript and tokenized Tailwind (dark theme) for a PWA</w:t>
      </w:r>
      <w:hyperlink r:id="rId23">
        <w:r>
          <w:rPr>
            <w:rStyle w:val="Hyperlink"/>
          </w:rPr>
          <w:t xml:space="preserve">[47]</w:t>
        </w:r>
      </w:hyperlink>
      <w:r>
        <w:t xml:space="preserve">. 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is Node.js/TypeScript with a SQL adapter (SQLite→Postgres) and job queue layer</w:t>
      </w:r>
      <w:hyperlink r:id="rId23">
        <w:r>
          <w:rPr>
            <w:rStyle w:val="Hyperlink"/>
          </w:rPr>
          <w:t xml:space="preserve">[48]</w:t>
        </w:r>
      </w:hyperlink>
      <w:r>
        <w:t xml:space="preserve">. Everything runs in Docker containers</w:t>
      </w:r>
      <w:hyperlink r:id="rId23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with CSP/security headers. Full local &amp; cloud debug tooling (e.g. VS Code extension, local loggers) should be included.</w:t>
      </w:r>
    </w:p>
    <w:bookmarkEnd w:id="30"/>
    <w:bookmarkStart w:id="31" w:name="generated-documentation-and-handoff"/>
    <w:p>
      <w:pPr>
        <w:pStyle w:val="Heading1"/>
      </w:pPr>
      <w:r>
        <w:t xml:space="preserve">Generated Documentation and Handoff</w:t>
      </w:r>
    </w:p>
    <w:p>
      <w:pPr>
        <w:pStyle w:val="FirstParagraph"/>
      </w:pPr>
      <w:r>
        <w:t xml:space="preserve">The prompt’s “FAANG-level Handoff Pack” specifies many deliverables. The AI must generate precise, implementation-aligned documents such as: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– overall system design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FRONTEND_SYSTEM.md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BACKEND_SYSTEM.md</w:t>
      </w:r>
      <w:r>
        <w:t xml:space="preserve"> </w:t>
      </w:r>
      <w:r>
        <w:t xml:space="preserve">– tech details of each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AI_ORCHESTRATION.md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AUTOMATION_MODES.md</w:t>
      </w:r>
      <w:r>
        <w:t xml:space="preserve"> </w:t>
      </w:r>
      <w:r>
        <w:t xml:space="preserve">– how agents and modes work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OUTCOME_COMPILER.md</w:t>
      </w:r>
      <w:r>
        <w:t xml:space="preserve"> </w:t>
      </w:r>
      <w:r>
        <w:t xml:space="preserve">– contract/outcome logic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TEMPLATE_GENOME.md</w:t>
      </w:r>
      <w:r>
        <w:t xml:space="preserve"> </w:t>
      </w:r>
      <w:r>
        <w:t xml:space="preserve">– template engine design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TOOLS_SDK.md</w:t>
      </w:r>
      <w:r>
        <w:t xml:space="preserve"> </w:t>
      </w:r>
      <w:r>
        <w:t xml:space="preserve">– list and usage of built-in tools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SMART_ROUTER.md</w:t>
      </w:r>
      <w:r>
        <w:t xml:space="preserve"> </w:t>
      </w:r>
      <w:r>
        <w:t xml:space="preserve">– connector routing logic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VAULT_SECURITY.md</w:t>
      </w:r>
      <w:r>
        <w:t xml:space="preserve"> </w:t>
      </w:r>
      <w:r>
        <w:t xml:space="preserve">– secrets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CONNECTORS.md</w:t>
      </w:r>
      <w:r>
        <w:t xml:space="preserve"> </w:t>
      </w:r>
      <w:r>
        <w:t xml:space="preserve">– details on GitHub/Cloud/VSCode/Docker integration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HEALTH_MONITORING.md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PERFORMANCE_AUTOMATION.md</w:t>
      </w:r>
      <w:r>
        <w:t xml:space="preserve"> </w:t>
      </w:r>
      <w:r>
        <w:t xml:space="preserve">– ops monitoring and auto-remediation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DEPLOYMENT_PIPELINE.md</w:t>
      </w:r>
      <w:r>
        <w:t xml:space="preserve"> </w:t>
      </w:r>
      <w:r>
        <w:t xml:space="preserve">– CI/CD and environment strategy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RUNBOOK.md</w:t>
      </w:r>
      <w:r>
        <w:t xml:space="preserve"> </w:t>
      </w:r>
      <w:r>
        <w:t xml:space="preserve">– daily operation and incident response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SECURITY.md</w:t>
      </w:r>
      <w:r>
        <w:t xml:space="preserve"> </w:t>
      </w:r>
      <w:r>
        <w:t xml:space="preserve">– security policies and compliance details</w:t>
      </w:r>
    </w:p>
    <w:p>
      <w:pPr>
        <w:pStyle w:val="FirstParagraph"/>
      </w:pPr>
      <w:r>
        <w:t xml:space="preserve">Each document is minimal but fully specific to the implementation</w:t>
      </w:r>
      <w:hyperlink r:id="rId23">
        <w:r>
          <w:rPr>
            <w:rStyle w:val="Hyperlink"/>
          </w:rPr>
          <w:t xml:space="preserve">[50]</w:t>
        </w:r>
      </w:hyperlink>
      <w:hyperlink r:id="rId23">
        <w:r>
          <w:rPr>
            <w:rStyle w:val="Hyperlink"/>
          </w:rPr>
          <w:t xml:space="preserve">[51]</w:t>
        </w:r>
      </w:hyperlink>
      <w:r>
        <w:t xml:space="preserve">.</w:t>
      </w:r>
    </w:p>
    <w:bookmarkEnd w:id="31"/>
    <w:bookmarkStart w:id="32" w:name="execution-guarantees"/>
    <w:p>
      <w:pPr>
        <w:pStyle w:val="Heading1"/>
      </w:pPr>
      <w:r>
        <w:t xml:space="preserve">Execution Guarantees</w:t>
      </w:r>
    </w:p>
    <w:p>
      <w:pPr>
        <w:pStyle w:val="FirstParagraph"/>
      </w:pPr>
      <w:r>
        <w:t xml:space="preserve">All code and docs must be generated deterministically and correctly on the first try</w:t>
      </w:r>
      <w:hyperlink r:id="rId23">
        <w:r>
          <w:rPr>
            <w:rStyle w:val="Hyperlink"/>
          </w:rPr>
          <w:t xml:space="preserve">[52]</w:t>
        </w:r>
      </w:hyperlink>
      <w:r>
        <w:t xml:space="preserve">. No manual tweaks or missing steps are allowed. The AI-generated system will follow the exact standards of GitHub (including Actions, Workflows, Projects, and Actions Agents) and Google (Vertex AI, Cloud Run, etc.) to ensure compliance with those platforms.</w:t>
      </w:r>
    </w:p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Feed the Vizual X Master Compiler Prompt from [4] into Google AI Studio. This instructs the AI to scaffold a fully integrated admin system using manus.im-style AI orchestration plus connectors for GitHub, Google Cloud/Workspace, VS Code, Docker, Cloudflare, etc. It will produce raw, production-ready code, documentation, pipelines, and governance controls for everything mentioned</w:t>
      </w:r>
      <w:hyperlink r:id="rId23">
        <w:r>
          <w:rPr>
            <w:rStyle w:val="Hyperlink"/>
          </w:rPr>
          <w:t xml:space="preserve">[5]</w:t>
        </w:r>
      </w:hyperlink>
      <w:hyperlink r:id="rId23">
        <w:r>
          <w:rPr>
            <w:rStyle w:val="Hyperlink"/>
          </w:rPr>
          <w:t xml:space="preserve">[6]</w:t>
        </w:r>
      </w:hyperlink>
      <w:r>
        <w:t xml:space="preserve">. All aspects (auth, CI/CD, observability, guardrails, taxonomy, templates, memory) are covered by the prompt’s requirements (as cited above), ensuring a 24/7 autonomous enterprise system.</w:t>
      </w:r>
    </w:p>
    <w:bookmarkEnd w:id="32"/>
    <w:bookmarkEnd w:id="33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https://github.com/InfinityXOneSystems/vizual-x-admin-control-plane/blob/5bd190f67b6ecfcfa3fb1788e41b0e4036edcb6f/README.md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hyperlink r:id="rId23">
        <w:r>
          <w:rPr>
            <w:rStyle w:val="Hyperlink"/>
          </w:rPr>
          <w:t xml:space="preserve">[25]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t xml:space="preserve"> </w:t>
      </w:r>
      <w:hyperlink r:id="rId23">
        <w:r>
          <w:rPr>
            <w:rStyle w:val="Hyperlink"/>
          </w:rPr>
          <w:t xml:space="preserve">[46]</w:t>
        </w:r>
      </w:hyperlink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t xml:space="preserve"> </w:t>
      </w:r>
      <w:hyperlink r:id="rId23">
        <w:r>
          <w:rPr>
            <w:rStyle w:val="Hyperlink"/>
          </w:rPr>
          <w:t xml:space="preserve">[48]</w:t>
        </w:r>
      </w:hyperlink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  <w:r>
        <w:t xml:space="preserve"> </w:t>
      </w:r>
      <w:hyperlink r:id="rId23">
        <w:r>
          <w:rPr>
            <w:rStyle w:val="Hyperlink"/>
          </w:rPr>
          <w:t xml:space="preserve">[51]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cOMPILER PROMPT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https://docs.google.com/document/d/1Iylo0gUcFUOzG4P5tqnrIhTnNck5_gTsRWOMw95Gw1w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ocs.google.com/document/d/1Iylo0gUcFUOzG4P5tqnrIhTnNck5_gTsRWOMw95Gw1w" TargetMode="External" /><Relationship Type="http://schemas.openxmlformats.org/officeDocument/2006/relationships/hyperlink" Id="rId34" Target="https://github.com/InfinityXOneSystems/vizual-x-admin-control-plane/blob/5bd190f67b6ecfcfa3fb1788e41b0e4036edcb6f/README.md" TargetMode="External" /><Relationship Type="http://schemas.openxmlformats.org/officeDocument/2006/relationships/hyperlink" Id="rId21" Target="https://github.com/InfinityXOneSystems/vizual-x-admin-control-plane/blob/5bd190f67b6ecfcfa3fb1788e41b0e4036edcb6f/README.md#L13-L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cs.google.com/document/d/1Iylo0gUcFUOzG4P5tqnrIhTnNck5_gTsRWOMw95Gw1w" TargetMode="External" /><Relationship Type="http://schemas.openxmlformats.org/officeDocument/2006/relationships/hyperlink" Id="rId34" Target="https://github.com/InfinityXOneSystems/vizual-x-admin-control-plane/blob/5bd190f67b6ecfcfa3fb1788e41b0e4036edcb6f/README.md" TargetMode="External" /><Relationship Type="http://schemas.openxmlformats.org/officeDocument/2006/relationships/hyperlink" Id="rId21" Target="https://github.com/InfinityXOneSystems/vizual-x-admin-control-plane/blob/5bd190f67b6ecfcfa3fb1788e41b0e4036edcb6f/README.md#L13-L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2026-02-15T00:58:39Z</dcterms:created>
  <dcterms:modified xsi:type="dcterms:W3CDTF">2026-02-15T00:58:39Z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