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center"/>
      </w:pPr>
      <w:r>
        <w:rPr>
          <w:b/>
          <w:bCs/>
          <w:color w:val="2E75B6"/>
          <w:spacing w:val="20"/>
          <w:sz w:val="22"/>
          <w:szCs w:val="22"/>
        </w:rPr>
        <w:t xml:space="preserve">AGENTIC AI TRAVEL PLATFORM</w:t>
      </w:r>
    </w:p>
    <w:p>
      <w:pPr>
        <w:spacing w:after="120"/>
        <w:jc w:val="center"/>
      </w:pPr>
      <w:r>
        <w:rPr>
          <w:b/>
          <w:bCs/>
          <w:color w:val="1F3864"/>
          <w:sz w:val="56"/>
          <w:szCs w:val="56"/>
        </w:rPr>
        <w:t xml:space="preserve">R&amp;D Founding Brief</w:t>
      </w:r>
    </w:p>
    <w:p>
      <w:pPr>
        <w:spacing w:after="600"/>
        <w:jc w:val="center"/>
      </w:pPr>
      <w:r>
        <w:rPr>
          <w:i/>
          <w:iCs/>
          <w:color w:val="595959"/>
          <w:sz w:val="26"/>
          <w:szCs w:val="26"/>
        </w:rPr>
        <w:t xml:space="preserve">AI-Personalized, One-Click, End-to-End Trip Booking — India &amp; Asia First</w:t>
      </w:r>
    </w:p>
    <w:p>
      <w:pPr>
        <w:pBdr>
          <w:top w:val="single" w:color="2E75B6" w:sz="6" w:space="8"/>
        </w:pBdr>
        <w:spacing w:after="80"/>
        <w:jc w:val="center"/>
      </w:pPr>
    </w:p>
    <w:p>
      <w:pPr>
        <w:spacing w:after="40" w:before="3600"/>
        <w:jc w:val="center"/>
      </w:pPr>
      <w:r>
        <w:rPr>
          <w:color w:val="808080"/>
          <w:sz w:val="20"/>
          <w:szCs w:val="20"/>
        </w:rPr>
        <w:t xml:space="preserve">Prepared as a consolidated R&amp;D working document</w:t>
      </w:r>
    </w:p>
    <w:p>
      <w:pPr>
        <w:spacing w:after="40"/>
        <w:jc w:val="center"/>
      </w:pPr>
      <w:r>
        <w:rPr>
          <w:color w:val="808080"/>
          <w:sz w:val="20"/>
          <w:szCs w:val="20"/>
        </w:rPr>
        <w:t xml:space="preserve">June 2026</w:t>
      </w:r>
    </w:p>
    <w:p>
      <w:pPr>
        <w:spacing w:after="0"/>
        <w:jc w:val="center"/>
      </w:pPr>
      <w:r>
        <w:rPr>
          <w:i/>
          <w:iCs/>
          <w:color w:val="A6A6A6"/>
          <w:sz w:val="18"/>
          <w:szCs w:val="18"/>
        </w:rPr>
        <w:t xml:space="preserve">Status: Pre-build research &amp; strategy synthesis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line="276"/>
      </w:pPr>
      <w:r>
        <w:t xml:space="preserve">This document consolidates an R&amp;D exploration into a proposed travel platform that uses AI to deeply understand a traveler (or travel group), construct a complete end-to-end itinerary spanning flights, hotels, and experiences, and execute the entire booking as a single, one-click transaction. The product is intended to launch first in India, then expand across Asia.</w:t>
      </w:r>
    </w:p>
    <w:p>
      <w:pPr>
        <w:spacing w:after="160" w:line="276"/>
      </w:pPr>
      <w:r>
        <w:t xml:space="preserve">This brief has been revised following a detailed review of India's online travel market and its incumbents (MakeMyTrip, Ixigo, Cleartrip, and others), who in the months immediately preceding this revision shipped AI capabilities materially closer to this product's original vision than initially assessed. That review is incorporated in full in Section 3.4. As a direct result, the core differentiating thesis of this document has been sharpened and partly revised: the durable, hardest-to-replicate differentiator is not conversational AI booking or one-click checkout alone — both are now partially matched by incumbents or are economically/structurally within their reach — but a verified, hallucination-resistant, granular day-by-day itinerary engine, which no current player, including dedicated AI trip planners, has solved. This is detailed in Section 5.8 and Section 10.</w:t>
      </w:r>
    </w:p>
    <w:p>
      <w:pPr>
        <w:spacing w:after="80"/>
      </w:pPr>
    </w:p>
    <w:p>
      <w:pPr>
        <w:pStyle w:val="Heading2"/>
      </w:pPr>
      <w:r>
        <w:t xml:space="preserve">1.1 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Research Area</w:t>
            </w:r>
          </w:p>
        </w:tc>
        <w:tc>
          <w:tcPr>
            <w:tcW w:type="dxa" w:w="69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Headline Finding</w:t>
            </w:r>
          </w:p>
        </w:tc>
      </w:tr>
      <w:tr>
        <w:tc>
          <w:tcPr>
            <w:tcW w:type="dxa" w:w="2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Booking model</w:t>
            </w:r>
          </w:p>
        </w:tc>
        <w:tc>
          <w:tcPr>
            <w:tcW w:type="dxa" w:w="6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An “agentic via partners” model — licensing inventory and payment rails rather than becoming a GDS or full aggregator — remains the fastest, most capital-efficient path to market.</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India incumbent reality (revised)</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MakeMyTrip's Myra and Ixigo's TARA both shipped end-to-end conversational AI booking in May 2026, commanding a combined 60%+ of the market. Persona-aware conversational booking is no longer a differentiator — it is now table stakes this product must match, not lead with.</w:t>
            </w:r>
          </w:p>
        </w:tc>
      </w:tr>
      <w:tr>
        <w:tc>
          <w:tcPr>
            <w:tcW w:type="dxa" w:w="2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Market gap (revised)</w:t>
            </w:r>
          </w:p>
        </w:tc>
        <w:tc>
          <w:tcPr>
            <w:tcW w:type="dxa" w:w="6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True one-click checkout across flights + hotels + experiences as one atomic transaction remains unbuilt by any incumbent, but the gap is moderately, not permanently, durable — see Section 10. The sharper and more durable gap is itinerary accuracy: granular, verified, day-by-day experience planning at high accuracy is unsolved industry-wide, including by dedicated AI trip planners.</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India payments timing</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India's payment infrastructure (UPI Reserve Pay, Pine Labs P3P) became capable of agentic, consent-once checkout in 2026 — ahead of most global markets. This remains a genuine tailwind.</w:t>
            </w:r>
          </w:p>
        </w:tc>
      </w:tr>
      <w:tr>
        <w:tc>
          <w:tcPr>
            <w:tcW w:type="dxa" w:w="2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AI architecture</w:t>
            </w:r>
          </w:p>
        </w:tc>
        <w:tc>
          <w:tcPr>
            <w:tcW w:type="dxa" w:w="6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Pure LLM-based itinerary planning fails the large majority of the time (MIT-documented). The viable architecture pairs an LLM (for understanding and conversation) with classical retrieval, constraint-solving, and — critically — an explicit grounding and verification layer (Section 5.8) that no competitor has built.</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Checkout architecture</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Multi-vendor one-click booking is a distributed-systems problem, not an AI problem. It requires a Saga-pattern transaction orchestrator with compensating actions, idempotency, and a human escalation path.</w:t>
            </w:r>
          </w:p>
        </w:tc>
      </w:tr>
      <w:tr>
        <w:tc>
          <w:tcPr>
            <w:tcW w:type="dxa" w:w="2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Monetization</w:t>
            </w:r>
          </w:p>
        </w:tc>
        <w:tc>
          <w:tcPr>
            <w:tcW w:type="dxa" w:w="6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Commission alone will not sustain the business at scale. The credible path mirrors Hopper: commission to start, layering in fintech ancillaries and eventual B2B licensing of the AI engine itself.</w:t>
            </w:r>
          </w:p>
        </w:tc>
      </w:tr>
    </w:tbl>
    <w:p>
      <w:pPr>
        <w:spacing w:after="160"/>
      </w:pPr>
    </w:p>
    <w:p>
      <w:pPr>
        <w:pStyle w:val="Heading2"/>
      </w:pPr>
      <w:r>
        <w:t xml:space="preserve">1.2 How to Read This Document</w:t>
      </w:r>
    </w:p>
    <w:p>
      <w:pPr>
        <w:spacing w:after="160" w:line="276"/>
      </w:pPr>
      <w:r>
        <w:t xml:space="preserve">This brief follows the sequence in which the research was actually conducted, which doubles as a sensible build sequence: business model definition, competitive landscape (including a dedicated India incumbent review), booking-model decision, AI personalization and grounding architecture, transaction architecture, full technical stack, feature parity audit, monetization, and a closing competitive-durability analysis. Sections marked “(revised)” reflect material findings from the India market review that changed the original thesis; they are left visible rather than silently overwritten so the reasoning trail is auditable.</w:t>
      </w:r>
    </w:p>
    <w:p>
      <w:r>
        <w:br w:type="page"/>
      </w:r>
    </w:p>
    <w:p>
      <w:pPr>
        <w:pStyle w:val="Heading1"/>
      </w:pPr>
      <w:r>
        <w:t xml:space="preserve">2. Business Concept</w:t>
      </w:r>
    </w:p>
    <w:p>
      <w:pPr>
        <w:pStyle w:val="Heading2"/>
      </w:pPr>
      <w:r>
        <w:t xml:space="preserve">2.1 The Core Idea</w:t>
      </w:r>
    </w:p>
    <w:p>
      <w:pPr>
        <w:spacing w:after="160" w:line="276"/>
      </w:pPr>
      <w:r>
        <w:t xml:space="preserve">An AI-native travel app that builds a deep, persistent persona of the user — or of a group of travelers planning together — and uses that persona to generate a complete, ready-to-book itinerary across flights, hotels, and experiences. The defining interaction is a single checkout click that books the entire trip end to end, rather than the traveler manually confirming each component.</w:t>
      </w:r>
    </w:p>
    <w:p>
      <w:pPr>
        <w:spacing w:after="160" w:line="276"/>
      </w:pPr>
      <w:r>
        <w:t xml:space="preserve">The product must also deliver full feature parity with the standard capabilities travelers already expect from incumbent travel apps (search, filters, reviews, itinerary management, support, payments). Parity is the price of entry; it is not the differentiator.</w:t>
      </w:r>
    </w:p>
    <w:p>
      <w:pPr>
        <w:pStyle w:val="Heading2"/>
      </w:pPr>
      <w:r>
        <w:t xml:space="preserve">2.2 What Makes This Different From Existing AI Trip Planners</w:t>
      </w:r>
    </w:p>
    <w:p>
      <w:pPr>
        <w:spacing w:after="160" w:line="276"/>
      </w:pPr>
      <w:r>
        <w:t xml:space="preserve">A wave of AI trip planners (Layla, Mindtrip, Wonderplan, Stardrift, and others) already generate personalized day-by-day itineraries. The market has moved quickly: as of mid-2026, the strongest of these tools can also complete a flight purchase without leaving the chat interface. What none of them do yet is combine flights, hotels, and experiences into one atomic, one-click transaction with a persona engine driving every recommendation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60"/>
              <w:left w:type="dxa" w:w="200"/>
              <w:bottom w:type="dxa" w:w="160"/>
              <w:right w:type="dxa" w:w="200"/>
            </w:tcMar>
          </w:tcPr>
          <w:p>
            <w:pPr>
              <w:spacing w:after="80"/>
            </w:pPr>
            <w:r>
              <w:rPr>
                <w:b/>
                <w:bCs/>
                <w:color w:val="1F3864"/>
              </w:rPr>
              <w:t xml:space="preserve">Working definition of the unicorn feature</w:t>
            </w:r>
          </w:p>
          <w:p>
            <w:pPr>
              <w:spacing w:after="40"/>
            </w:pPr>
            <w:r>
              <w:rPr>
                <w:sz w:val="21"/>
                <w:szCs w:val="21"/>
              </w:rPr>
              <w:t xml:space="preserve">A traveler (or group) describes a trip in natural language once.</w:t>
            </w:r>
          </w:p>
          <w:p>
            <w:pPr>
              <w:spacing w:after="40"/>
            </w:pPr>
            <w:r>
              <w:rPr>
                <w:sz w:val="21"/>
                <w:szCs w:val="21"/>
              </w:rPr>
              <w:t xml:space="preserve">The AI already understands their taste, budget posture, and constraints from a persistent, continuously-updated persona model — not a one-time onboarding quiz.</w:t>
            </w:r>
          </w:p>
          <w:p>
            <w:pPr>
              <w:spacing w:after="40"/>
            </w:pPr>
            <w:r>
              <w:rPr>
                <w:sz w:val="21"/>
                <w:szCs w:val="21"/>
              </w:rPr>
              <w:t xml:space="preserve">The system proposes a complete itinerary — flights, hotel, experiences — with ranked alternatives behind every line item.</w:t>
            </w:r>
          </w:p>
          <w:p>
            <w:pPr>
              <w:spacing w:after="40"/>
            </w:pPr>
            <w:r>
              <w:rPr>
                <w:sz w:val="21"/>
                <w:szCs w:val="21"/>
              </w:rPr>
              <w:t xml:space="preserve">One click books all of it as a single transaction, with graceful, intelligent handling if any one component fails.</w:t>
            </w:r>
          </w:p>
        </w:tc>
      </w:tr>
    </w:tbl>
    <w:p>
      <w:pPr>
        <w:pStyle w:val="Heading2"/>
      </w:pPr>
      <w:r>
        <w:t xml:space="preserve">2.3 Geographic Sequencing</w:t>
      </w:r>
    </w:p>
    <w:p>
      <w:pPr>
        <w:spacing w:after="160" w:line="276"/>
      </w:pPr>
      <w:r>
        <w:t xml:space="preserve">The platform launches in India first, then expands across Asia. This sequencing is not incidental — it materially shapes the booking-model and payments decisions covered in Section 4, because India's payment infrastructure for agentic, AI-initiated transactions is, as of 2026, ahead of most global markets, including the US.</w:t>
      </w:r>
    </w:p>
    <w:p>
      <w:r>
        <w:br w:type="page"/>
      </w:r>
    </w:p>
    <w:p>
      <w:pPr>
        <w:pStyle w:val="Heading1"/>
      </w:pPr>
      <w:r>
        <w:t xml:space="preserve">3. Booking Model &amp; Competitive Landscape</w:t>
      </w:r>
    </w:p>
    <w:p>
      <w:pPr>
        <w:pStyle w:val="Heading2"/>
      </w:pPr>
      <w:r>
        <w:t xml:space="preserve">3.1 The Three Models Considered</w:t>
      </w:r>
    </w:p>
    <w:p>
      <w:pPr>
        <w:spacing w:after="160" w:line="276"/>
      </w:pPr>
      <w:r>
        <w:t xml:space="preserve">Three structural options were evaluated for how the platform actually executes a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200"/>
        <w:gridCol w:w="1100"/>
        <w:gridCol w:w="8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Model</w:t>
            </w:r>
          </w:p>
        </w:tc>
        <w:tc>
          <w:tcPr>
            <w:tcW w:type="dxa" w:w="4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Description</w:t>
            </w:r>
          </w:p>
        </w:tc>
        <w:tc>
          <w:tcPr>
            <w:tcW w:type="dxa" w:w="1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Time to MVP</w:t>
            </w:r>
          </w:p>
        </w:tc>
        <w:tc>
          <w:tcPr>
            <w:tcW w:type="dxa" w:w="11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Capital Needed</w:t>
            </w:r>
          </w:p>
        </w:tc>
        <w:tc>
          <w:tcPr>
            <w:tcW w:type="dxa" w:w="8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Defensibility</w:t>
            </w:r>
          </w:p>
        </w:tc>
      </w:tr>
      <w:tr>
        <w:tc>
          <w:tcPr>
            <w:tcW w:type="dxa" w:w="20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Handoff layer</w:t>
            </w:r>
          </w:p>
        </w:tc>
        <w:tc>
          <w:tcPr>
            <w:tcW w:type="dxa" w:w="4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AI plans the trip; user is redirected to airline/OTA sites to actually pay.</w:t>
            </w:r>
          </w:p>
        </w:tc>
        <w:tc>
          <w:tcPr>
            <w:tcW w:type="dxa" w:w="1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Fast</w:t>
            </w:r>
          </w:p>
        </w:tc>
        <w:tc>
          <w:tcPr>
            <w:tcW w:type="dxa" w:w="11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Low</w:t>
            </w:r>
          </w:p>
        </w:tc>
        <w:tc>
          <w:tcPr>
            <w:tcW w:type="dxa" w:w="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Low — commoditized, this is the bottom of the current market</w:t>
            </w:r>
          </w:p>
        </w:tc>
      </w:tr>
      <w:tr>
        <w:tc>
          <w:tcPr>
            <w:tcW w:type="dxa" w:w="20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Agentic via partners</w:t>
            </w:r>
          </w:p>
        </w:tc>
        <w:tc>
          <w:tcPr>
            <w:tcW w:type="dxa" w:w="4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AI plans and books through licensed APIs (GDS, hotel aggregators) and payment-orchestration partners, without building proprietary inventory relationships from scratch.</w:t>
            </w:r>
          </w:p>
        </w:tc>
        <w:tc>
          <w:tcPr>
            <w:tcW w:type="dxa" w:w="1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Medium</w:t>
            </w:r>
          </w:p>
        </w:tc>
        <w:tc>
          <w:tcPr>
            <w:tcW w:type="dxa" w:w="11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Medium</w:t>
            </w:r>
          </w:p>
        </w:tc>
        <w:tc>
          <w:tcPr>
            <w:tcW w:type="dxa" w:w="8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Medium — the open white space as of 2026</w:t>
            </w:r>
          </w:p>
        </w:tc>
      </w:tr>
      <w:tr>
        <w:tc>
          <w:tcPr>
            <w:tcW w:type="dxa" w:w="20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Full aggregator</w:t>
            </w:r>
          </w:p>
        </w:tc>
        <w:tc>
          <w:tcPr>
            <w:tcW w:type="dxa" w:w="4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Platform builds direct inventory relationships, IATA accreditation, and owns the merchant-of-record relationship, similar to a GDS or major OTA.</w:t>
            </w:r>
          </w:p>
        </w:tc>
        <w:tc>
          <w:tcPr>
            <w:tcW w:type="dxa" w:w="1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Slow</w:t>
            </w:r>
          </w:p>
        </w:tc>
        <w:tc>
          <w:tcPr>
            <w:tcW w:type="dxa" w:w="11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Very high</w:t>
            </w:r>
          </w:p>
        </w:tc>
        <w:tc>
          <w:tcPr>
            <w:tcW w:type="dxa" w:w="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High if achieved, but capital-intensive and directly competes with entrenched players</w:t>
            </w:r>
          </w:p>
        </w:tc>
      </w:tr>
    </w:tbl>
    <w:p>
      <w:pPr>
        <w:spacing w:after="160"/>
      </w:pPr>
    </w:p>
    <w:p>
      <w:pPr>
        <w:spacing w:after="160" w:line="276"/>
      </w:pPr>
      <w:r>
        <w:t xml:space="preserve">Decision: the platform proceeds with the agentic-via-partners model. This is the fastest path to validating the core AI differentiator without taking on GDS-level capital requirements or regulatory exposure, while still being structurally able to deliver true one-click multi-vendor checkout.</w:t>
      </w:r>
    </w:p>
    <w:p>
      <w:pPr>
        <w:pStyle w:val="Heading2"/>
      </w:pPr>
      <w:r>
        <w:t xml:space="preserve">3.2 Competitive Landscape Snapshot — Global / US-Centric View (as of mid-2026)</w:t>
      </w:r>
    </w:p>
    <w:p>
      <w:pPr>
        <w:spacing w:after="160" w:line="276"/>
      </w:pPr>
      <w:r>
        <w:t xml:space="preserve">The comparison below was the original basis for the booking-model decision. It is retained for completeness, but Section 3.4 below revises the conclusions drawn from it: this comparison set is dominated by US-centric, English-first products, and understates how far India-specific incumbents had already moved by the same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50"/>
        <w:gridCol w:w="341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Player</w:t>
            </w:r>
          </w:p>
        </w:tc>
        <w:tc>
          <w:tcPr>
            <w:tcW w:type="dxa" w:w="43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Position</w:t>
            </w:r>
          </w:p>
        </w:tc>
        <w:tc>
          <w:tcPr>
            <w:tcW w:type="dxa" w:w="341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Key Limitation</w:t>
            </w:r>
          </w:p>
        </w:tc>
      </w:tr>
      <w:tr>
        <w:tc>
          <w:tcPr>
            <w:tcW w:type="dxa" w:w="1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Mindtrip</w:t>
            </w:r>
          </w:p>
        </w:tc>
        <w:tc>
          <w:tcPr>
            <w:tcW w:type="dxa" w:w="43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Most advanced; in-chat conversational planning with collaborative/group features. Partnered with Sabre + PayPal to launch true in-chat, one-click flight booking in May 2026 — the first of its kind.</w:t>
            </w:r>
          </w:p>
        </w:tc>
        <w:tc>
          <w:tcPr>
            <w:tcW w:type="dxa" w:w="34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Hotel booking explicitly described by Sabre and Mindtrip executives as a future phase, not yet shipped. No multi-vendor atomic checkout.</w:t>
            </w:r>
          </w:p>
        </w:tc>
      </w:tr>
      <w:tr>
        <w:tc>
          <w:tcPr>
            <w:tcW w:type="dxa" w:w="1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Layla</w:t>
            </w:r>
          </w:p>
        </w:tc>
        <w:tc>
          <w:tcPr>
            <w:tcW w:type="dxa" w:w="43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Strong visual, map-forward itinerary generation with live pricing from Skyscanner and Booking.com.</w:t>
            </w:r>
          </w:p>
        </w:tc>
        <w:tc>
          <w:tcPr>
            <w:tcW w:type="dxa" w:w="34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Booking still redirects out to partner sites; no in-app checkout.</w:t>
            </w:r>
          </w:p>
        </w:tc>
      </w:tr>
      <w:tr>
        <w:tc>
          <w:tcPr>
            <w:tcW w:type="dxa" w:w="1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Wonderplan / Stardrift</w:t>
            </w:r>
          </w:p>
        </w:tc>
        <w:tc>
          <w:tcPr>
            <w:tcW w:type="dxa" w:w="43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Free, fast itinerary generation, no signup required.</w:t>
            </w:r>
          </w:p>
        </w:tc>
        <w:tc>
          <w:tcPr>
            <w:tcW w:type="dxa" w:w="34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Generator only — explicitly described as not booking flights or hotels.</w:t>
            </w:r>
          </w:p>
        </w:tc>
      </w:tr>
      <w:tr>
        <w:tc>
          <w:tcPr>
            <w:tcW w:type="dxa" w:w="1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Hopper</w:t>
            </w:r>
          </w:p>
        </w:tc>
        <w:tc>
          <w:tcPr>
            <w:tcW w:type="dxa" w:w="43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Deep airline/hotel relationships and a true B2B fintech business; roughly 65% of its ~$850M revenue comes from B2B licensing (Capital One Travel, AirAsia MOVE), not consumer subscriptions.</w:t>
            </w:r>
          </w:p>
        </w:tc>
        <w:tc>
          <w:tcPr>
            <w:tcW w:type="dxa" w:w="34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Consumer app is a price-prediction and booking tool, not an AI-persona-driven planner.</w:t>
            </w:r>
          </w:p>
        </w:tc>
      </w:tr>
      <w:tr>
        <w:tc>
          <w:tcPr>
            <w:tcW w:type="dxa" w:w="1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Google (in development)</w:t>
            </w:r>
          </w:p>
        </w:tc>
        <w:tc>
          <w:tcPr>
            <w:tcW w:type="dxa" w:w="43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Developing an agentic booking tool in partnership with major OTAs and hotel groups.</w:t>
            </w:r>
          </w:p>
        </w:tc>
        <w:tc>
          <w:tcPr>
            <w:tcW w:type="dxa" w:w="34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Explicitly stated it has no intention of becoming an OTA or merchant of record — a discovery layer, not a booking executor.</w:t>
            </w:r>
          </w:p>
        </w:tc>
      </w:tr>
      <w:tr>
        <w:tc>
          <w:tcPr>
            <w:tcW w:type="dxa" w:w="1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Kayak / Skyscanner (AI features)</w:t>
            </w:r>
          </w:p>
        </w:tc>
        <w:tc>
          <w:tcPr>
            <w:tcW w:type="dxa" w:w="43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AI chat layered onto existing search/booking infrastructure (e.g. Kayak Ask AI, Skyscanner on ChatGPT).</w:t>
            </w:r>
          </w:p>
        </w:tc>
        <w:tc>
          <w:tcPr>
            <w:tcW w:type="dxa" w:w="34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AI-enhanced search, not AI-native planning; no persona modeling.</w:t>
            </w:r>
          </w:p>
        </w:tc>
      </w:tr>
    </w:tbl>
    <w:p>
      <w:pPr>
        <w:spacing w:after="160"/>
      </w:pPr>
    </w:p>
    <w:p>
      <w:pPr>
        <w:pStyle w:val="Heading2"/>
      </w:pPr>
      <w:r>
        <w:t xml:space="preserve">3.3 The Strategic Opening — As Originally Assessed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60"/>
              <w:left w:type="dxa" w:w="200"/>
              <w:bottom w:type="dxa" w:w="160"/>
              <w:right w:type="dxa" w:w="200"/>
            </w:tcMar>
          </w:tcPr>
          <w:p>
            <w:pPr>
              <w:spacing w:after="80"/>
            </w:pPr>
            <w:r>
              <w:rPr>
                <w:b/>
                <w:bCs/>
                <w:color w:val="1F3864"/>
              </w:rPr>
              <w:t xml:space="preserve">Why this looked like a genuine market gap, based on the global comparison set alone</w:t>
            </w:r>
          </w:p>
          <w:p>
            <w:pPr>
              <w:spacing w:after="40"/>
            </w:pPr>
            <w:r>
              <w:rPr>
                <w:sz w:val="21"/>
                <w:szCs w:val="21"/>
              </w:rPr>
              <w:t xml:space="preserve">Even the best-funded, most technically advanced competitor in the global set (Mindtrip, backed by Sabre and PayPal) had solved one-click checkout for exactly one vertical: flights.</w:t>
            </w:r>
          </w:p>
          <w:p>
            <w:pPr>
              <w:spacing w:after="40"/>
            </w:pPr>
            <w:r>
              <w:rPr>
                <w:sz w:val="21"/>
                <w:szCs w:val="21"/>
              </w:rPr>
              <w:t xml:space="preserve">Group-trip preference reconciliation was acknowledged across multiple independent reviews as something “most tools in this space still ignore.”</w:t>
            </w:r>
          </w:p>
          <w:p>
            <w:pPr>
              <w:spacing w:after="40"/>
            </w:pPr>
            <w:r>
              <w:rPr>
                <w:sz w:val="21"/>
                <w:szCs w:val="21"/>
              </w:rPr>
              <w:t xml:space="preserve">India's agentic payment rails (Section 4) matured to the point of enabling consent-once, multi-merchant checkout only in the first half of 2026 — meaning a India-first entrant was not behind the global market on this dimension.</w:t>
            </w:r>
          </w:p>
        </w:tc>
      </w:tr>
    </w:tbl>
    <w:p>
      <w:pPr>
        <w:spacing w:after="160" w:line="276"/>
      </w:pPr>
      <w:r>
        <w:t xml:space="preserve">Section 3.4 revises this assessment materially once India-specific incumbents are reviewed directly, rather than inferred from the global comparison set.</w:t>
      </w:r>
    </w:p>
    <w:p>
      <w:pPr>
        <w:pStyle w:val="Heading2"/>
      </w:pPr>
      <w:r>
        <w:t xml:space="preserve">3.4 India Incumbent Reality Check (Revised Finding)</w:t>
      </w:r>
    </w:p>
    <w:p>
      <w:pPr>
        <w:spacing w:after="160" w:line="276"/>
      </w:pPr>
      <w:r>
        <w:t xml:space="preserve">A direct review of India's own market leaders — rather than the US-centric set above — found that the gap is narrower than Section 3.3 suggested, in one specific dimension: conversational, persona-aware, end-to-end AI booking is no longer a differentiator. It shipped, at scale, from both of India's top two OTA groups in the same month this research was conducted.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Incumbent</w:t>
            </w:r>
          </w:p>
        </w:tc>
        <w:tc>
          <w:tcPr>
            <w:tcW w:type="dxa" w:w="48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What shipped (May 2026)</w:t>
            </w:r>
          </w:p>
        </w:tc>
        <w:tc>
          <w:tcPr>
            <w:tcW w:type="dxa" w:w="23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Scale signal</w:t>
            </w:r>
          </w:p>
        </w:tc>
      </w:tr>
      <w:tr>
        <w:tc>
          <w:tcPr>
            <w:tcW w:type="dxa" w:w="2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MakeMyTrip — Myra 2.0</w:t>
            </w:r>
          </w:p>
        </w:tc>
        <w:tc>
          <w:tcPr>
            <w:tcW w:type="dxa" w:w="4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Full conversational flow from search through confirmed, paid booking, entirely by voice if desired, in 8 languages including Hindi, Bengali, Tamil, Telugu and others. Handles layered constraints (e.g. a hotel with vegetarian food, wheelchair access, and connecting rooms in one query) and international itinerary logic including transit visa questions.</w:t>
            </w:r>
          </w:p>
        </w:tc>
        <w:tc>
          <w:tcPr>
            <w:tcW w:type="dxa" w:w="23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3 million+ conversations per quarter; 45%+ of usage from Tier-2 and smaller cities; voice queries run ~40% longer and more complex than text, indicating real intent capture, not novelty use.</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Ixigo — TARA (AI-native app rebuild)</w:t>
            </w:r>
          </w:p>
        </w:tc>
        <w:tc>
          <w:tcPr>
            <w:tcW w:type="dxa" w:w="48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Entire app rebuilt around a multimodal assistant (voice/text/tap, English/Hindi/Hinglish) with “agentic travel flows” that act autonomously in the background — coordinating with hotels ahead of check-in, monitoring flights, managing refunds, and pushing boarding passes to WhatsApp/Apple Wallet/Google Wallet without the user prompting each step.</w:t>
            </w:r>
          </w:p>
        </w:tc>
        <w:tc>
          <w:tcPr>
            <w:tcW w:type="dxa" w:w="2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TARA resolved 3.81 million queries in Q3 FY26 (up from 2.11 million the prior quarter); 76% of voice calls fully resolved by AI with no human handoff.</w:t>
            </w:r>
          </w:p>
        </w:tc>
      </w:tr>
      <w:tr>
        <w:tc>
          <w:tcPr>
            <w:tcW w:type="dxa" w:w="2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Both</w:t>
            </w:r>
          </w:p>
        </w:tc>
        <w:tc>
          <w:tcPr>
            <w:tcW w:type="dxa" w:w="4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Both are training on, or partnering directly with, frontier model providers (OpenAI) to extend these capabilities further, and both describe the strategic direction explicitly as “agent-led” travel.</w:t>
            </w:r>
          </w:p>
        </w:tc>
        <w:tc>
          <w:tcPr>
            <w:tcW w:type="dxa" w:w="23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Group CEOs of both companies have publicly committed to this roadmap, not just shipped a single feature.</w:t>
            </w:r>
          </w:p>
        </w:tc>
      </w:tr>
    </w:tbl>
    <w:p>
      <w:pPr>
        <w:spacing w:after="160"/>
      </w:pPr>
    </w:p>
    <w:p>
      <w:pPr>
        <w:pStyle w:val="Heading3"/>
      </w:pPr>
      <w:r>
        <w:t xml:space="preserve">What this changes</w:t>
      </w:r>
    </w:p>
    <w:p>
      <w:pPr>
        <w:pStyle w:val="ListParagraph"/>
        <w:numPr>
          <w:ilvl w:val="0"/>
          <w:numId w:val="2"/>
        </w:numPr>
        <w:spacing w:after="100" w:line="276"/>
      </w:pPr>
      <w:r>
        <w:t xml:space="preserve">Conversational AI planning, persona-aware recommendations, voice-first vernacular interaction, and even autonomous post-booking agentic actions are no longer differentiators for an India launch — they are the new baseline this product must match to be taken seriously, not features that earn attention on their own.</w:t>
      </w:r>
    </w:p>
    <w:p>
      <w:pPr>
        <w:pStyle w:val="ListParagraph"/>
        <w:numPr>
          <w:ilvl w:val="0"/>
          <w:numId w:val="2"/>
        </w:numPr>
        <w:spacing w:after="100" w:line="276"/>
      </w:pPr>
      <w:r>
        <w:t xml:space="preserve">The original “unicorn feature” thesis (persona AI + one-click checkout) has had its first half — persona-aware conversational booking — partially commoditized by incumbents in the months immediately preceding this revision.</w:t>
      </w:r>
    </w:p>
    <w:p>
      <w:pPr>
        <w:pStyle w:val="Heading3"/>
      </w:pPr>
      <w:r>
        <w:t xml:space="preserve">What remains true and is, if anything, strengthened by this review</w:t>
      </w:r>
    </w:p>
    <w:p>
      <w:pPr>
        <w:pStyle w:val="ListParagraph"/>
        <w:numPr>
          <w:ilvl w:val="0"/>
          <w:numId w:val="2"/>
        </w:numPr>
        <w:spacing w:after="100" w:line="276"/>
      </w:pPr>
      <w:r>
        <w:t xml:space="preserve">No incumbent — Indian or global — claims true one-click checkout across flights, hotels, and experiences as a single atomic transaction. Bundled marketing pricing exists; an atomic multi-vendor cart-and-checkout transaction does not. This is examined in full, including why it is only moderately durable as a moat, in Section 10.</w:t>
      </w:r>
    </w:p>
    <w:p>
      <w:pPr>
        <w:pStyle w:val="ListParagraph"/>
        <w:numPr>
          <w:ilvl w:val="0"/>
          <w:numId w:val="2"/>
        </w:numPr>
        <w:spacing w:after="100" w:line="276"/>
      </w:pPr>
      <w:r>
        <w:t xml:space="preserve">Group-trip preference reconciliation (beyond voting/RSVP) remains unbuilt by every player reviewed, Indian or global.</w:t>
      </w:r>
    </w:p>
    <w:p>
      <w:pPr>
        <w:pStyle w:val="ListParagraph"/>
        <w:numPr>
          <w:ilvl w:val="0"/>
          <w:numId w:val="2"/>
        </w:numPr>
        <w:spacing w:after="100" w:line="276"/>
      </w:pPr>
      <w:r>
        <w:t xml:space="preserve">Most importantly, and the focus of this revision: granular, verified, day-by-day itinerary accuracy — correct restaurant names, correct hours, physically realistic pacing — is unsolved by every AI trip planner reviewed, dedicated or incumbent-built, including Myra and TARA. This is detailed in Section 5.8, and is now treated as this product's primary, sharpest differentiator, ahead of checkout convenience.</w:t>
      </w:r>
    </w:p>
    <w:p>
      <w:r>
        <w:br w:type="page"/>
      </w:r>
    </w:p>
    <w:p>
      <w:pPr>
        <w:pStyle w:val="Heading1"/>
      </w:pPr>
      <w:r>
        <w:t xml:space="preserve">4. India/Asia Infrastructure: Payments &amp; Supply</w:t>
      </w:r>
    </w:p>
    <w:p>
      <w:pPr>
        <w:pStyle w:val="Heading2"/>
      </w:pPr>
      <w:r>
        <w:t xml:space="preserve">4.1 Payments — Why This Is a Tailwind, Not a Blocker</w:t>
      </w:r>
    </w:p>
    <w:p>
      <w:pPr>
        <w:spacing w:after="160" w:line="276"/>
      </w:pPr>
      <w:r>
        <w:t xml:space="preserve">The single hardest unsolved problem in agentic commerce globally has been the mandatory human-authentication step at the point of payment. India closed this gap in 2026, ahead of most comparable markets, through a combination of NPCI-level infrastructure and fintech-layer protocols built on top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60"/>
        <w:gridCol w:w="210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Capability</w:t>
            </w:r>
          </w:p>
        </w:tc>
        <w:tc>
          <w:tcPr>
            <w:tcW w:type="dxa" w:w="48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What It Does</w:t>
            </w:r>
          </w:p>
        </w:tc>
        <w:tc>
          <w:tcPr>
            <w:tcW w:type="dxa" w:w="21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Status (mid-2026)</w:t>
            </w:r>
          </w:p>
        </w:tc>
      </w:tr>
      <w:tr>
        <w:tc>
          <w:tcPr>
            <w:tcW w:type="dxa" w:w="2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UPI Reserve Pay / UPI Circle (NPCI)</w:t>
            </w:r>
          </w:p>
        </w:tc>
        <w:tc>
          <w:tcPr>
            <w:tcW w:type="dxa" w:w="4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One-time, consent-based pre-authentication with a per-merchant spending limit, set up once and then usable by an AI agent without repeated OTP/PIN prompts.</w:t>
            </w:r>
          </w:p>
        </w:tc>
        <w:tc>
          <w:tcPr>
            <w:tcW w:type="dxa" w:w="21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Live; underpins Razorpay's agentic payments pilot with Claude (Feb 2026), used by Zomato, Swiggy, Zepto.</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Pine Labs Payment Protocol (P3P)</w:t>
            </w:r>
          </w:p>
        </w:tc>
        <w:tc>
          <w:tcPr>
            <w:tcW w:type="dxa" w:w="48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Packages UPI mandate rails (One-Time Mandates, Reserve Pay) with an identity/delegation layer (Grantex) and the HTTP 402 machine-readable payment standard, explicitly to let an AI agent complete a UPI payment without a human authentication step.</w:t>
            </w:r>
          </w:p>
        </w:tc>
        <w:tc>
          <w:tcPr>
            <w:tcW w:type="dxa" w:w="21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Launched June 11, 2026; live in production on UPI Reserve Pay.</w:t>
            </w:r>
          </w:p>
        </w:tc>
      </w:tr>
      <w:tr>
        <w:tc>
          <w:tcPr>
            <w:tcW w:type="dxa" w:w="2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Razorpay / Sarvam AI agentic demo</w:t>
            </w:r>
          </w:p>
        </w:tc>
        <w:tc>
          <w:tcPr>
            <w:tcW w:type="dxa" w:w="4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Demonstrates conversational commerce with a “Proceed to Pay” step replacing the PIN redirect; full autonomous delegation is supported by the stack but not shown by default in the public demo.</w:t>
            </w:r>
          </w:p>
        </w:tc>
        <w:tc>
          <w:tcPr>
            <w:tcW w:type="dxa" w:w="21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Live demo; full autonomous mode technically available, adoption still early.</w:t>
            </w:r>
          </w:p>
        </w:tc>
      </w:tr>
    </w:tbl>
    <w:p>
      <w:pPr>
        <w:spacing w:after="160"/>
      </w:pPr>
    </w:p>
    <w:p>
      <w:pPr>
        <w:spacing w:after="160" w:line="276"/>
      </w:pPr>
      <w:r>
        <w:t xml:space="preserve">Open items flagged by independent reporting that should be tracked as live regulatory risk rather than solved problems:</w:t>
      </w:r>
    </w:p>
    <w:p>
      <w:pPr>
        <w:pStyle w:val="ListParagraph"/>
        <w:numPr>
          <w:ilvl w:val="0"/>
          <w:numId w:val="2"/>
        </w:numPr>
        <w:spacing w:after="100" w:line="276"/>
      </w:pPr>
      <w:r>
        <w:t xml:space="preserve">Liability allocation if an autonomous agent executes an undesired transaction is not yet settled.</w:t>
      </w:r>
    </w:p>
    <w:p>
      <w:pPr>
        <w:pStyle w:val="ListParagraph"/>
        <w:numPr>
          <w:ilvl w:val="0"/>
          <w:numId w:val="2"/>
        </w:numPr>
        <w:spacing w:after="100" w:line="276"/>
      </w:pPr>
      <w:r>
        <w:t xml:space="preserve">How existing Reserve Bank of India (RBI) rules apply to agentic commerce specifically has not been fully clarified.</w:t>
      </w:r>
    </w:p>
    <w:p>
      <w:pPr>
        <w:pStyle w:val="ListParagraph"/>
        <w:numPr>
          <w:ilvl w:val="0"/>
          <w:numId w:val="2"/>
        </w:numPr>
        <w:spacing w:after="100" w:line="276"/>
      </w:pPr>
      <w:r>
        <w:t xml:space="preserve">Privacy and audit requirements for agent identity and transaction logs are still developing.</w:t>
      </w:r>
    </w:p>
    <w:p>
      <w:pPr>
        <w:spacing w:after="160" w:line="276"/>
      </w:pPr>
      <w:r>
        <w:rPr>
          <w:i w:val="false"/>
          <w:iCs w:val="false"/>
        </w:rPr>
        <w:t xml:space="preserve">Implication for product design: the one-click checkout flow should be built around a per-trip spending mandate the user explicitly sets (“authorize up to ₹X for this trip”) rather than a single all-purpose standing authorization. This is both the safer regulatory posture and the better UX — it mirrors how UPI Reserve Pay is designed to work natively.</w:t>
      </w:r>
    </w:p>
    <w:p>
      <w:pPr>
        <w:pStyle w:val="Heading2"/>
      </w:pPr>
      <w:r>
        <w:t xml:space="preserve">4.2 Supply-Side Integration — Inventory Partners</w:t>
      </w:r>
    </w:p>
    <w:p>
      <w:pPr>
        <w:spacing w:after="160" w:line="276"/>
      </w:pPr>
      <w:r>
        <w:t xml:space="preserve">US-centric precedents (Sabre + Mindtrip) do not have the regional depth required for an India/Asia-first launch on their own. A blended supplier strategy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Need</w:t>
            </w:r>
          </w:p>
        </w:tc>
        <w:tc>
          <w:tcPr>
            <w:tcW w:type="dxa" w:w="18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Recommended Partner</w:t>
            </w:r>
          </w:p>
        </w:tc>
        <w:tc>
          <w:tcPr>
            <w:tcW w:type="dxa" w:w="49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Why</w:t>
            </w:r>
          </w:p>
        </w:tc>
      </w:tr>
      <w:tr>
        <w:tc>
          <w:tcPr>
            <w:tcW w:type="dxa" w:w="2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Hotels — India / SE Asia / Gulf depth</w:t>
            </w:r>
          </w:p>
        </w:tc>
        <w:tc>
          <w:tcPr>
            <w:tcW w:type="dxa" w:w="1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TBO</w:t>
            </w:r>
          </w:p>
        </w:tc>
        <w:tc>
          <w:tcPr>
            <w:tcW w:type="dxa" w:w="4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500,000+ properties with deep coverage of India, Southeast Asia, Maldives, and Gulf markets; B2B net-rate model with credit-based settlement familiar to the regional travel trade; natively connects to MakeMyTrip and Traveloka.</w:t>
            </w:r>
          </w:p>
        </w:tc>
      </w:tr>
      <w:tr>
        <w:tc>
          <w:tcPr>
            <w:tcW w:type="dxa" w:w="2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Hotels — global backbone</w:t>
            </w:r>
          </w:p>
        </w:tc>
        <w:tc>
          <w:tcPr>
            <w:tcW w:type="dxa" w:w="18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Amadeus</w:t>
            </w:r>
          </w:p>
        </w:tc>
        <w:tc>
          <w:tcPr>
            <w:tcW w:type="dxa" w:w="4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750,000+ properties via Multi-Source Content; Self-Service tier offers up to 2,000 free live API calls/month, useful for controlling MVP-stage cost.</w:t>
            </w:r>
          </w:p>
        </w:tc>
      </w:tr>
      <w:tr>
        <w:tc>
          <w:tcPr>
            <w:tcW w:type="dxa" w:w="2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Flights — broad Asia coverage, wholesale fares</w:t>
            </w:r>
          </w:p>
        </w:tc>
        <w:tc>
          <w:tcPr>
            <w:tcW w:type="dxa" w:w="1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PKFARE</w:t>
            </w:r>
          </w:p>
        </w:tc>
        <w:tc>
          <w:tcPr>
            <w:tcW w:type="dxa" w:w="4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Aggregates 600+ airlines and 400,000+ hotel properties across 100+ countries with a wholesale/discounted fare model; strong on the low-cost-carrier coverage that matters for Indian domestic travel.</w:t>
            </w:r>
          </w:p>
        </w:tc>
      </w:tr>
      <w:tr>
        <w:tc>
          <w:tcPr>
            <w:tcW w:type="dxa" w:w="2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Flights — GDS-grade reliability, proven agentic precedent</w:t>
            </w:r>
          </w:p>
        </w:tc>
        <w:tc>
          <w:tcPr>
            <w:tcW w:type="dxa" w:w="18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Sabre or Amadeus</w:t>
            </w:r>
          </w:p>
        </w:tc>
        <w:tc>
          <w:tcPr>
            <w:tcW w:type="dxa" w:w="4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Sabre is the only GDS with a live, proven agentic one-click booking integration (via Mindtrip) as of this writing.</w:t>
            </w:r>
          </w:p>
        </w:tc>
      </w:tr>
      <w:tr>
        <w:tc>
          <w:tcPr>
            <w:tcW w:type="dxa" w:w="2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Hotel + transfer + activity bundling</w:t>
            </w:r>
          </w:p>
        </w:tc>
        <w:tc>
          <w:tcPr>
            <w:tcW w:type="dxa" w:w="1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Hotelbeds</w:t>
            </w:r>
          </w:p>
        </w:tc>
        <w:tc>
          <w:tcPr>
            <w:tcW w:type="dxa" w:w="4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Supports retrieving hotel, airport transfer, and local excursion in a single API call under one booking confirmation — useful for the experiences layer, though inventory strength skews European/Mediterranean, so likely a secondary rather than primary supplier.</w:t>
            </w:r>
          </w:p>
        </w:tc>
      </w:tr>
    </w:tbl>
    <w:p>
      <w:pPr>
        <w:spacing w:after="160"/>
      </w:pPr>
    </w:p>
    <w:p>
      <w:pPr>
        <w:spacing w:after="160" w:line="276"/>
      </w:pPr>
      <w:r>
        <w:t xml:space="preserve">Practical conclusion: no single vendor covers this market. The standard, well-precedented approach is to integrate TBO as the India/SE Asia backbone and a global GDS (Sabre or Amadeus) for flights and international fallback, unified behind a thin internal middleware layer so the booking orchestrator (Section 6) talks to one normalized schema rather than three different vendor APIs.</w:t>
      </w:r>
    </w:p>
    <w:p>
      <w:r>
        <w:br w:type="page"/>
      </w:r>
    </w:p>
    <w:p>
      <w:pPr>
        <w:pStyle w:val="Heading1"/>
      </w:pPr>
      <w:r>
        <w:t xml:space="preserve">5. The AI Personalization / Persona Layer</w:t>
      </w:r>
    </w:p>
    <w:p>
      <w:pPr>
        <w:spacing w:after="160" w:line="276"/>
      </w:pPr>
      <w:r>
        <w:t xml:space="preserve">This is the most important and most defensible section of the platform, and it is treated as such: nothing else in this document matters if this layer is generic. The architecture below is grounded in both current academic literature on AI-driven travel recommendation and in how the most advanced production systems (including Google's own travel AI work) are actually built.</w:t>
      </w:r>
    </w:p>
    <w:p>
      <w:pPr>
        <w:pStyle w:val="Heading2"/>
      </w:pPr>
      <w:r>
        <w:t xml:space="preserve">5.1 The Foundational Constraint: Pure LLM Planning Does Not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60"/>
              <w:left w:type="dxa" w:w="200"/>
              <w:bottom w:type="dxa" w:w="160"/>
              <w:right w:type="dxa" w:w="200"/>
            </w:tcMar>
          </w:tcPr>
          <w:p>
            <w:pPr>
              <w:spacing w:after="80"/>
            </w:pPr>
            <w:r>
              <w:rPr>
                <w:b/>
                <w:bCs/>
                <w:color w:val="1F3864"/>
              </w:rPr>
              <w:t xml:space="preserve">Load-bearing finding</w:t>
            </w:r>
          </w:p>
          <w:p>
            <w:pPr>
              <w:spacing w:after="40"/>
            </w:pPr>
            <w:r>
              <w:rPr>
                <w:sz w:val="21"/>
                <w:szCs w:val="21"/>
              </w:rPr>
              <w:t xml:space="preserve">MIT researchers found that standalone LLMs generate logistically viable trip itineraries only about 4% of the time.</w:t>
            </w:r>
          </w:p>
          <w:p>
            <w:pPr>
              <w:spacing w:after="40"/>
            </w:pPr>
            <w:r>
              <w:rPr>
                <w:sz w:val="21"/>
                <w:szCs w:val="21"/>
              </w:rPr>
              <w:t xml:space="preserve">Google's own production system pairs Gemini with a separate two-stage optimization algorithm rather than relying on the LLM alone.</w:t>
            </w:r>
          </w:p>
          <w:p>
            <w:pPr>
              <w:spacing w:after="40"/>
            </w:pPr>
            <w:r>
              <w:rPr>
                <w:sz w:val="21"/>
                <w:szCs w:val="21"/>
              </w:rPr>
              <w:t xml:space="preserve">Implication: the persona/planning engine cannot be “a well-prompted chatbot.” It must be a three-layer system in which the LLM handles understanding and conversation, and dedicated retrieval and optimization components handle the actual logistics.</w:t>
            </w:r>
          </w:p>
        </w:tc>
      </w:tr>
    </w:tbl>
    <w:p>
      <w:pPr>
        <w:pStyle w:val="Heading2"/>
      </w:pPr>
      <w:r>
        <w:t xml:space="preserve">5.2 The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50"/>
        <w:gridCol w:w="291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Layer</w:t>
            </w:r>
          </w:p>
        </w:tc>
        <w:tc>
          <w:tcPr>
            <w:tcW w:type="dxa" w:w="41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Function</w:t>
            </w:r>
          </w:p>
        </w:tc>
        <w:tc>
          <w:tcPr>
            <w:tcW w:type="dxa" w:w="291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Technology Pattern</w:t>
            </w:r>
          </w:p>
        </w:tc>
      </w:tr>
      <w:tr>
        <w:tc>
          <w:tcPr>
            <w:tcW w:type="dxa" w:w="23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1. Preference Encoder</w:t>
            </w:r>
          </w:p>
        </w:tc>
        <w:tc>
          <w:tcPr>
            <w:tcW w:type="dxa" w:w="41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Converts raw signal — what the user says, does, books, and rates — into a structured, persistent persona profile.</w:t>
            </w:r>
          </w:p>
        </w:tc>
        <w:tc>
          <w:tcPr>
            <w:tcW w:type="dxa" w:w="29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Big-Five-style trait vector + behavioral/contextual features; updated continuously, not just at onboarding.</w:t>
            </w:r>
          </w:p>
        </w:tc>
      </w:tr>
      <w:tr>
        <w:tc>
          <w:tcPr>
            <w:tcW w:type="dxa" w:w="23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2. Retrieval &amp; Ranking</w:t>
            </w:r>
          </w:p>
        </w:tc>
        <w:tc>
          <w:tcPr>
            <w:tcW w:type="dxa" w:w="41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Uses the persona vector to narrow real inventory (flights, hotels, experiences) down to a small set of relevant, rankable candidates before any LLM reasoning happens.</w:t>
            </w:r>
          </w:p>
        </w:tc>
        <w:tc>
          <w:tcPr>
            <w:tcW w:type="dxa" w:w="29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RAG-style architecture: persona vector as query embedding, pre-embedded inventory, nearest-neighbor retrieval.</w:t>
            </w:r>
          </w:p>
        </w:tc>
      </w:tr>
      <w:tr>
        <w:tc>
          <w:tcPr>
            <w:tcW w:type="dxa" w:w="23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3. Planning / Optimization</w:t>
            </w:r>
          </w:p>
        </w:tc>
        <w:tc>
          <w:tcPr>
            <w:tcW w:type="dxa" w:w="41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Takes the narrowed candidate set and solves the actual combinatorial logistics problem — timing, budget ceiling, non-overlap, route order.</w:t>
            </w:r>
          </w:p>
        </w:tc>
        <w:tc>
          <w:tcPr>
            <w:tcW w:type="dxa" w:w="29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Constraint / mixed-integer solver (e.g. SCIP), not the LLM.</w:t>
            </w:r>
          </w:p>
        </w:tc>
      </w:tr>
      <w:tr>
        <w:tc>
          <w:tcPr>
            <w:tcW w:type="dxa" w:w="23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4. LLM Orchestration (conversation layer)</w:t>
            </w:r>
          </w:p>
        </w:tc>
        <w:tc>
          <w:tcPr>
            <w:tcW w:type="dxa" w:w="41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Talks to the user, explains the plan, handles follow-up requests and edits in natural language.</w:t>
            </w:r>
          </w:p>
        </w:tc>
        <w:tc>
          <w:tcPr>
            <w:tcW w:type="dxa" w:w="29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LLM consumes the solver's structured output and narrates it; it does not compute the plan itself.</w:t>
            </w:r>
          </w:p>
        </w:tc>
      </w:tr>
    </w:tbl>
    <w:p>
      <w:pPr>
        <w:spacing w:after="160"/>
      </w:pPr>
    </w:p>
    <w:p>
      <w:pPr>
        <w:pStyle w:val="Heading2"/>
      </w:pPr>
      <w:r>
        <w:t xml:space="preserve">5.3 Building the Persona: Three Concurrent Signal Streams</w:t>
      </w:r>
    </w:p>
    <w:p>
      <w:pPr>
        <w:spacing w:after="160" w:line="276"/>
      </w:pPr>
      <w:r>
        <w:t xml:space="preserve">A one-time onboarding quiz produces a snapshot, not a living model, and personas are explicitly documented to degrade if not continuously refreshed. The persona engine should run on three concurrent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Signal Type</w:t>
            </w:r>
          </w:p>
        </w:tc>
        <w:tc>
          <w:tcPr>
            <w:tcW w:type="dxa" w:w="48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Examples</w:t>
            </w:r>
          </w:p>
        </w:tc>
        <w:tc>
          <w:tcPr>
            <w:tcW w:type="dxa" w:w="21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Update Frequency</w:t>
            </w:r>
          </w:p>
        </w:tc>
      </w:tr>
      <w:tr>
        <w:tc>
          <w:tcPr>
            <w:tcW w:type="dxa" w:w="2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Declared preferences</w:t>
            </w:r>
          </w:p>
        </w:tc>
        <w:tc>
          <w:tcPr>
            <w:tcW w:type="dxa" w:w="4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Onboarding quiz; conversational statements (“I hate early flights,” “I always want a window seat”)</w:t>
            </w:r>
          </w:p>
        </w:tc>
        <w:tc>
          <w:tcPr>
            <w:tcW w:type="dxa" w:w="21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At onboarding; refined per conversation</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Behavioral / implicit</w:t>
            </w:r>
          </w:p>
        </w:tc>
        <w:tc>
          <w:tcPr>
            <w:tcW w:type="dxa" w:w="48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Click patterns, dwell time, items swapped out of a draft itinerary, past bookings</w:t>
            </w:r>
          </w:p>
        </w:tc>
        <w:tc>
          <w:tcPr>
            <w:tcW w:type="dxa" w:w="2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Continuous</w:t>
            </w:r>
          </w:p>
        </w:tc>
      </w:tr>
      <w:tr>
        <w:tc>
          <w:tcPr>
            <w:tcW w:type="dxa" w:w="2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Contextual / situational</w:t>
            </w:r>
          </w:p>
        </w:tc>
        <w:tc>
          <w:tcPr>
            <w:tcW w:type="dxa" w:w="4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Who is traveling (solo / couple / family / friend group), trip purpose, season, this-trip budget band</w:t>
            </w:r>
          </w:p>
        </w:tc>
        <w:tc>
          <w:tcPr>
            <w:tcW w:type="dxa" w:w="21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Per trip</w:t>
            </w:r>
          </w:p>
        </w:tc>
      </w:tr>
    </w:tbl>
    <w:p>
      <w:pPr>
        <w:spacing w:after="160"/>
      </w:pPr>
    </w:p>
    <w:p>
      <w:pPr>
        <w:pStyle w:val="Heading2"/>
      </w:pPr>
      <w:r>
        <w:t xml:space="preserve">5.4 Personality Framework as Internal Schema</w:t>
      </w:r>
    </w:p>
    <w:p>
      <w:pPr>
        <w:spacing w:after="160" w:line="276"/>
      </w:pPr>
      <w:r>
        <w:t xml:space="preserve">The Big Five personality model is recommended over MBTI as the internal encoding schema — it is the more academically credible framework and maps directly onto observed travel behavior (for example, higher Openness correlating with preference for novel, adventurous experiences; higher Conscientiousness correlating with preference for structured, detail-oriented itineraries). Critically, this is used as an internal vector that the ranking layer reads — it is not necessarily surfaced to the user as a labeled personality score.</w:t>
      </w:r>
    </w:p>
    <w:p>
      <w:pPr>
        <w:pStyle w:val="Heading2"/>
      </w:pPr>
      <w:r>
        <w:t xml:space="preserve">5.5 Solving Cold Start: Microsegments Before Individual Models</w:t>
      </w:r>
    </w:p>
    <w:p>
      <w:pPr>
        <w:spacing w:after="160" w:line="276"/>
      </w:pPr>
      <w:r>
        <w:t xml:space="preserve">Airline revenue-management practice offers a directly transferable pattern: rather than building a unique model per individual user from scratch (which fails badly for new users with no history), travelers are organized into microsegments — groups sharing behavioral and contextual attributes — with both customer-side and supply-side features blended in.</w:t>
      </w:r>
    </w:p>
    <w:p>
      <w:pPr>
        <w:spacing w:after="160" w:line="276"/>
      </w:pPr>
      <w:r>
        <w:t xml:space="preserve">Applied to this product: a brand-new user is bucketed into a microsegment from a handful of onboarding signals, producing good-enough personalization from the first session, and the model drifts toward an individual-level profile as real behavioral data accumulates. Suggested seed microsegments for the India/Asia launch, chosen to match how the regional supply side (e.g. TBO's own commercial structure) already organizes around the market:</w:t>
      </w:r>
    </w:p>
    <w:p>
      <w:pPr>
        <w:pStyle w:val="ListParagraph"/>
        <w:numPr>
          <w:ilvl w:val="0"/>
          <w:numId w:val="2"/>
        </w:numPr>
        <w:spacing w:after="100" w:line="276"/>
      </w:pPr>
      <w:r>
        <w:t xml:space="preserve">Metro-based couple, weekend domestic leisure</w:t>
      </w:r>
    </w:p>
    <w:p>
      <w:pPr>
        <w:pStyle w:val="ListParagraph"/>
        <w:numPr>
          <w:ilvl w:val="0"/>
          <w:numId w:val="2"/>
        </w:numPr>
        <w:spacing w:after="100" w:line="276"/>
      </w:pPr>
      <w:r>
        <w:t xml:space="preserve">Joint/multi-generational family, religious or pilgrimage circuit travel</w:t>
      </w:r>
    </w:p>
    <w:p>
      <w:pPr>
        <w:pStyle w:val="ListParagraph"/>
        <w:numPr>
          <w:ilvl w:val="0"/>
          <w:numId w:val="2"/>
        </w:numPr>
        <w:spacing w:after="100" w:line="276"/>
      </w:pPr>
      <w:r>
        <w:t xml:space="preserve">Solo young professional, budget-conscious Southeast Asia travel</w:t>
      </w:r>
    </w:p>
    <w:p>
      <w:pPr>
        <w:pStyle w:val="ListParagraph"/>
        <w:numPr>
          <w:ilvl w:val="0"/>
          <w:numId w:val="2"/>
        </w:numPr>
        <w:spacing w:after="100" w:line="276"/>
      </w:pPr>
      <w:r>
        <w:t xml:space="preserve">Honeymoon / premium leisure</w:t>
      </w:r>
    </w:p>
    <w:p>
      <w:pPr>
        <w:pStyle w:val="Heading2"/>
      </w:pPr>
      <w:r>
        <w:t xml:space="preserve">5.6 Group-Trip Consensus Logic — A Genuine Differentiator</w:t>
      </w:r>
    </w:p>
    <w:p>
      <w:pPr>
        <w:spacing w:after="160" w:line="276"/>
      </w:pPr>
      <w:r>
        <w:t xml:space="preserve">Independent market reviews repeatedly flag that group trip planning is the weakest point across the entire current AI travel category — existing tools offer voting or comment threads at best, not real preference reconciliation. This is recommended as a deliberate area of investment rather than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60"/>
              <w:left w:type="dxa" w:w="200"/>
              <w:bottom w:type="dxa" w:w="160"/>
              <w:right w:type="dxa" w:w="200"/>
            </w:tcMar>
          </w:tcPr>
          <w:p>
            <w:pPr>
              <w:spacing w:after="80"/>
            </w:pPr>
            <w:r>
              <w:rPr>
                <w:b/>
                <w:bCs/>
                <w:color w:val="1F3864"/>
              </w:rPr>
              <w:t xml:space="preserve">Proposed group consensus mechanism</w:t>
            </w:r>
          </w:p>
          <w:p>
            <w:pPr>
              <w:spacing w:after="40"/>
            </w:pPr>
            <w:r>
              <w:rPr>
                <w:sz w:val="21"/>
                <w:szCs w:val="21"/>
              </w:rPr>
              <w:t xml:space="preserve">Each group member receives their own persona vector (same schema as the individual case).</w:t>
            </w:r>
          </w:p>
          <w:p>
            <w:pPr>
              <w:spacing w:after="40"/>
            </w:pPr>
            <w:r>
              <w:rPr>
                <w:sz w:val="21"/>
                <w:szCs w:val="21"/>
              </w:rPr>
              <w:t xml:space="preserve">A reconciliation function combines vectors — not by simple averaging, since one strong preference (e.g. high Openness) should not be diluted to mush by group averaging, and hard constraints like budget ceilings should act as floors/caps, not averages.</w:t>
            </w:r>
          </w:p>
          <w:p>
            <w:pPr>
              <w:spacing w:after="40"/>
            </w:pPr>
            <w:r>
              <w:rPr>
                <w:sz w:val="21"/>
                <w:szCs w:val="21"/>
              </w:rPr>
              <w:t xml:space="preserve">The output itinerary explicitly surfaces trade-offs made on the group's behalf (e.g. “Day 3's hike reflects 3 of 5 travelers' high adventure-preference; here is an alternate option for that afternoon”), rather than presenting a single silent compromise.</w:t>
            </w:r>
          </w:p>
        </w:tc>
      </w:tr>
    </w:tbl>
    <w:p>
      <w:pPr>
        <w:pStyle w:val="Heading2"/>
      </w:pPr>
      <w:r>
        <w:t xml:space="preserve">5.7 Regulatory Note — Flag for Later Dedicated Review</w:t>
      </w:r>
    </w:p>
    <w:p>
      <w:pPr>
        <w:spacing w:after="160" w:line="276"/>
      </w:pPr>
      <w:r>
        <w:rPr>
          <w:i w:val="false"/>
          <w:iCs w:val="false"/>
        </w:rPr>
        <w:t xml:space="preserve">Persona-building of this depth is precisely the kind of automated profiling that data-protection regimes regulate — India's Digital Personal Data Protection (DPDP) Act being the directly relevant one here, with GDPR as the international reference point. This should become its own dedicated R&amp;D and legal thread before the persona engine reaches production scale; it is flagged here so it is not forgotten, not because it has been resolved.</w:t>
      </w:r>
    </w:p>
    <w:p>
      <w:pPr>
        <w:pStyle w:val="Heading2"/>
      </w:pPr>
      <w:r>
        <w:t xml:space="preserve">5.8 The Grounding &amp; Verification Layer (Revised Primary Differentiator)</w:t>
      </w:r>
    </w:p>
    <w:p>
      <w:pPr>
        <w:spacing w:after="160" w:line="276"/>
      </w:pPr>
      <w:r>
        <w:t xml:space="preserve">Following a direct review of itinerary accuracy across both dedicated AI trip planners and India's incumbent AI assistants (Myra, TARA), this section is now treated as the sharpest and most durable differentiator available to this product — ahead of one-click checkout. The finding, stated plainly: no AI travel product reviewed, including purpose-built itinerary tools, reliably avoids recommending restaurants that have closed, attractions with wrong hours, or day plans that are not physically walkable in the time allotted. This is an industry-wide, unresolved failure mode, not a gap specific to any one competitor.</w:t>
      </w:r>
    </w:p>
    <w:p>
      <w:pPr>
        <w:pStyle w:val="Heading3"/>
      </w:pPr>
      <w:r>
        <w:t xml:space="preserve">5.8.1 Why This Happens</w:t>
      </w:r>
    </w:p>
    <w:p>
      <w:pPr>
        <w:spacing w:after="160" w:line="276"/>
      </w:pPr>
      <w:r>
        <w:t xml:space="preserve">An LLM asked to produce “what this person should do on day 3 in Jaipur” will generate plausible-sounding specifics — restaurant names, opening hours, walking distances — as statistically likely text completions, not verified facts. Even when a retrieval step is added in front of the LLM (standard RAG), this does not fully solve the problem: published evaluations of RAG systems report hallucination rates of 15–30%, or more than one unsupported claim per 100 output tokens, even with retrieval in place, because retrieval alone does not verify that the generated claim is actually entailed by what was retrieved. A dedicated verification stage — separate from both the retrieval step and the generation step — is required to close this gap.</w:t>
      </w:r>
    </w:p>
    <w:p>
      <w:pPr>
        <w:pStyle w:val="Heading3"/>
      </w:pPr>
      <w:r>
        <w:t xml:space="preserve">5.8.2 Three Distinct Failure Modes, Requiring Three Distinct Checks</w:t>
      </w:r>
    </w:p>
    <w:p>
      <w:pPr>
        <w:spacing w:after="160" w:line="276"/>
      </w:pPr>
      <w:r>
        <w:t xml:space="preserve">Industry evaluation frameworks for travel-planning agents treat the following as separate, independently-scored failure modes. This product's architecture treats them the same way — as three different checks, not one general-purpose accuracy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4400"/>
        <w:gridCol w:w="3110"/>
      </w:tblGrid>
      <w:tr>
        <w:trPr>
          <w:tblHeader/>
        </w:trPr>
        <w:tc>
          <w:tcPr>
            <w:tcW w:type="dxa" w:w="18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Failure mode</w:t>
            </w:r>
          </w:p>
        </w:tc>
        <w:tc>
          <w:tcPr>
            <w:tcW w:type="dxa" w:w="4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What it means concretely</w:t>
            </w:r>
          </w:p>
        </w:tc>
        <w:tc>
          <w:tcPr>
            <w:tcW w:type="dxa" w:w="311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How it is caught</w:t>
            </w:r>
          </w:p>
        </w:tc>
      </w:tr>
      <w:tr>
        <w:tc>
          <w:tcPr>
            <w:tcW w:type="dxa" w:w="18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Factual hallucination</w:t>
            </w:r>
          </w:p>
        </w:tc>
        <w:tc>
          <w:tcPr>
            <w:tcW w:type="dxa" w:w="4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The recommended restaurant, attraction, or venue does not exist, has closed, or the stated details (hours, price, address) are wrong.</w:t>
            </w:r>
          </w:p>
        </w:tc>
        <w:tc>
          <w:tcPr>
            <w:tcW w:type="dxa" w:w="31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NLI (natural language inference) entailment check: does the retrieved source document actually support the generated claim, word for word in meaning, not just topically?</w:t>
            </w:r>
          </w:p>
        </w:tc>
      </w:tr>
      <w:tr>
        <w:tc>
          <w:tcPr>
            <w:tcW w:type="dxa" w:w="18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Logistical infeasibility</w:t>
            </w:r>
          </w:p>
        </w:tc>
        <w:tc>
          <w:tcPr>
            <w:tcW w:type="dxa" w:w="4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The plan is technically grounded in real places, but is not physically achievable — walking distances are wrong, a museum is scheduled outside its open hours, or the day is overpacked with no buffer.</w:t>
            </w:r>
          </w:p>
        </w:tc>
        <w:tc>
          <w:tcPr>
            <w:tcW w:type="dxa" w:w="31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Feasibility checks against a routing/distance API and the POI's actual opening-hours data, run independently of the language model.</w:t>
            </w:r>
          </w:p>
        </w:tc>
      </w:tr>
      <w:tr>
        <w:tc>
          <w:tcPr>
            <w:tcW w:type="dxa" w:w="18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Personalization mismatch</w:t>
            </w:r>
          </w:p>
        </w:tc>
        <w:tc>
          <w:tcPr>
            <w:tcW w:type="dxa" w:w="4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The recommendation is real and feasible, but does not actually fit the traveler's modeled preferences (e.g. a loud nightlife suggestion for a low-extraversion, early-pacing persona).</w:t>
            </w:r>
          </w:p>
        </w:tc>
        <w:tc>
          <w:tcPr>
            <w:tcW w:type="dxa" w:w="31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Cross-check against the persona vector's fit score (Section 5.2–5.4), already part of the candidate ranking, but re-verified at the claim level rather than only at the candidate-selection level.</w:t>
            </w:r>
          </w:p>
        </w:tc>
      </w:tr>
    </w:tbl>
    <w:p>
      <w:pPr>
        <w:spacing w:after="160"/>
      </w:pPr>
    </w:p>
    <w:p>
      <w:pPr>
        <w:pStyle w:val="Heading3"/>
      </w:pPr>
      <w:r>
        <w:t xml:space="preserve">5.8.3 Architecture: Where Grounding Sits in the Pipeline</w:t>
      </w:r>
    </w:p>
    <w:p>
      <w:pPr>
        <w:spacing w:after="160" w:line="276"/>
      </w:pPr>
      <w:r>
        <w:t xml:space="preserve">The grounding and verification layer sits between the planning/solver output (Section 5.2, Layer 3) and the point where anything is shown to the user. It does not replace the constraint solver or the retrieval layer — it is a new, mandatory checkpoint after them. The flow is as follows:</w:t>
      </w:r>
    </w:p>
    <w:p>
      <w:pPr>
        <w:pStyle w:val="ListParagraph"/>
        <w:numPr>
          <w:ilvl w:val="0"/>
          <w:numId w:val="3"/>
        </w:numPr>
        <w:spacing w:after="100" w:line="276"/>
      </w:pPr>
      <w:r>
        <w:t xml:space="preserve">Data sources are ingested into a normalized, continuously-refreshed POI (point-of-interest) store — not relied upon from the LLM's parametric memory. For an India launch, this means restaurant and dining data from Zomato/Swiggy-class aggregators (including FSSAI license status and vegetarian/Jain dietary flags, which are first-class fields for Indian travelers), general POI and attraction data from Google Places or equivalent, and official sources for monument hours and festival calendars.</w:t>
      </w:r>
    </w:p>
    <w:p>
      <w:pPr>
        <w:pStyle w:val="ListParagraph"/>
        <w:numPr>
          <w:ilvl w:val="0"/>
          <w:numId w:val="3"/>
        </w:numPr>
        <w:spacing w:after="100" w:line="276"/>
      </w:pPr>
      <w:r>
        <w:t xml:space="preserve">A staleness detector continuously re-flags POIs that may have changed (closed, hours updated, ownership changed) so the store does not silently go stale between refreshes.</w:t>
      </w:r>
    </w:p>
    <w:p>
      <w:pPr>
        <w:pStyle w:val="ListParagraph"/>
        <w:numPr>
          <w:ilvl w:val="0"/>
          <w:numId w:val="3"/>
        </w:numPr>
        <w:spacing w:after="100" w:line="276"/>
      </w:pPr>
      <w:r>
        <w:t xml:space="preserve">The retrieval and constraint-solving layers (already described in Section 5.2) produce a draft itinerary as before — but every line item is now treated as a set of discrete, checkable claims, not as finished prose.</w:t>
      </w:r>
    </w:p>
    <w:p>
      <w:pPr>
        <w:pStyle w:val="ListParagraph"/>
        <w:numPr>
          <w:ilvl w:val="0"/>
          <w:numId w:val="3"/>
        </w:numPr>
        <w:spacing w:after="100" w:line="276"/>
      </w:pPr>
      <w:r>
        <w:t xml:space="preserve">Each claim is decomposed and run through the NLI entailment check against the actual retrieved POI source record, the feasibility check against routing/hours data, and the persona-fit re-check, producing a confidence score from 0.0 to 1.0 per claim.</w:t>
      </w:r>
    </w:p>
    <w:p>
      <w:pPr>
        <w:pStyle w:val="ListParagraph"/>
        <w:numPr>
          <w:ilvl w:val="0"/>
          <w:numId w:val="3"/>
        </w:numPr>
        <w:spacing w:after="100" w:line="276"/>
      </w:pPr>
      <w:r>
        <w:t xml:space="preserve">A gate routes each claim by confidence: high-confidence claims are shown normally; medium-confidence claims are silently auto-substituted from the same ranked candidate list the retrieval layer already produced (consistent with the substitution principle established in Section 6); low-confidence or unresolvable claims are queued for human review and, in the meantime, flagged to the user as uncertain rather than presented with false confidence.</w:t>
      </w:r>
    </w:p>
    <w:p>
      <w:pPr>
        <w:spacing w:after="160" w:line="276"/>
      </w:pPr>
      <w:r>
        <w:t xml:space="preserve">This last point is a deliberate design stance: the product should be willing to say “we're not fully confident about this one” rather than mimic the confident-but-wrong failure mode that independent reviews identify as the central trust problem across the entire AI travel category. A tool that never expresses uncertainty is, per the same research, a warning sign rather than a sign of quality.</w:t>
      </w:r>
    </w:p>
    <w:p>
      <w:pPr>
        <w:pStyle w:val="Heading3"/>
      </w:pPr>
      <w:r>
        <w:t xml:space="preserve">5.8.4 Why This Is a More Durable Differentiator Than Checkout Convenience</w:t>
      </w:r>
    </w:p>
    <w:p>
      <w:pPr>
        <w:spacing w:after="160" w:line="276"/>
      </w:pPr>
      <w:r>
        <w:t xml:space="preserve">One-click multi-vendor checkout (Section 6) is a hard but ultimately well-understood distributed-systems engineering problem — the saga pattern, compensations, and idempotency are established techniques. A motivated, well-funded incumbent could plausibly build it within several quarters if they prioritized it (see Section 10 for a detailed durability analysis). Grounding and verification at the level described here is different in kind: it requires getting LLM-architecture decisions right, not just engineering effort, and the entire AI travel industry — including companies whose sole product is itinerary generation — has not yet solved it as of this writing. Being demonstrably, measurably more accurate than every existing player, including the well-resourced Indian incumbents, is a harder target to hit, but a harder one for a competitor to casually retrofit as well.</w:t>
      </w:r>
    </w:p>
    <w:p>
      <w:r>
        <w:br w:type="page"/>
      </w:r>
    </w:p>
    <w:p>
      <w:pPr>
        <w:pStyle w:val="Heading1"/>
      </w:pPr>
      <w:r>
        <w:t xml:space="preserve">6. The One-Click Checkout: Multi-Vendor Transaction Architecture</w:t>
      </w:r>
    </w:p>
    <w:p>
      <w:pPr>
        <w:pStyle w:val="Heading2"/>
      </w:pPr>
      <w:r>
        <w:t xml:space="preserve">6.1 The Problem, Precisely Stated</w:t>
      </w:r>
    </w:p>
    <w:p>
      <w:pPr>
        <w:spacing w:after="160" w:line="276"/>
      </w:pPr>
      <w:r>
        <w:t xml:space="preserve">A single “book this trip” click touches at least four independent external systems the platform does not control: a flight GDS, a hotel API, an experiences API, and a payment rail. A conventional database transaction cannot guarantee atomicity across systems it does not own — there is no global ROLLBACK across service boundaries. This is a distributed-systems engineering problem, not an AI problem, and it is the part of the build most likely to determine whether the one-click promise earns user trust or breaks it.</w:t>
      </w:r>
    </w:p>
    <w:p>
      <w:pPr>
        <w:pStyle w:val="Heading2"/>
      </w:pPr>
      <w:r>
        <w:t xml:space="preserve">6.2 The Pattern: Saga, Orchestrated Not Choreographed</w:t>
      </w:r>
    </w:p>
    <w:p>
      <w:pPr>
        <w:spacing w:after="160" w:line="276"/>
      </w:pPr>
      <w:r>
        <w:t xml:space="preserve">The Saga pattern — breaking one long transaction into a sequence of local transactions, each with a defined compensating action if a later step fails — is the standard, well-precedented solution for exactly this class of problem (it is explicitly documented as the standard approach for travel booking systems combining flights, hotels, and car rentals).</w:t>
      </w:r>
    </w:p>
    <w:p>
      <w:pPr>
        <w:spacing w:after="160" w:line="276"/>
      </w:pPr>
      <w:r>
        <w:t xml:space="preserve">Orchestration is recommended over choreography for this product specifically. Choreography (each service reacting independently to the previous service's event, with no central coordinator) becomes unmanageable once the AI persona layer, group-trip logic, and intelligent partial-failure handling described below are added. Current best practice is explicit that hand-rolled choreography sagas rarely survive contact with a real on-call rotation, and that production teams should use a workflow engine (Temporal, AWS Step Functions, Camunda, or similar) rather than building the orchestrator from scratch — this is especially relevant for AI agent workflows, which are saga-shaped by nature.</w:t>
      </w:r>
    </w:p>
    <w:p>
      <w:pPr>
        <w:pStyle w:val="Heading2"/>
      </w:pPr>
      <w:r>
        <w:t xml:space="preserve">6.3 The Booking Sequence</w:t>
      </w:r>
    </w:p>
    <w:p>
      <w:pPr>
        <w:spacing w:after="160" w:line="276"/>
      </w:pPr>
      <w:r>
        <w:t xml:space="preserve">Items should be booked in order of price volatility and reversal difficulty — hardest-to-reverse and most time-sensitive first, easiest-to-substitute last:</w:t>
      </w:r>
    </w:p>
    <w:p>
      <w:pPr>
        <w:pStyle w:val="ListParagraph"/>
        <w:numPr>
          <w:ilvl w:val="0"/>
          <w:numId w:val="3"/>
        </w:numPr>
        <w:spacing w:after="100" w:line="276"/>
      </w:pPr>
      <w:r>
        <w:t xml:space="preserve">Price-lock all items. Obtain a fare hold from the flight GDS, a rate confirmation from the hotel API, and slot confirmation for the experience. No money moves yet. If any item fails here, the user sees this before anything is charged.</w:t>
      </w:r>
    </w:p>
    <w:p>
      <w:pPr>
        <w:pStyle w:val="ListParagraph"/>
        <w:numPr>
          <w:ilvl w:val="0"/>
          <w:numId w:val="3"/>
        </w:numPr>
        <w:spacing w:after="100" w:line="276"/>
      </w:pPr>
      <w:r>
        <w:t xml:space="preserve">Authorize payment via the pre-set UPI Reserve Pay mandate (Section 4.1). This is a hold, not multiple independent debits.</w:t>
      </w:r>
    </w:p>
    <w:p>
      <w:pPr>
        <w:pStyle w:val="ListParagraph"/>
        <w:numPr>
          <w:ilvl w:val="0"/>
          <w:numId w:val="3"/>
        </w:numPr>
        <w:spacing w:after="100" w:line="276"/>
      </w:pPr>
      <w:r>
        <w:t xml:space="preserve">Book the flight first — the most time- and price-sensitive, hardest-to-re-secure item. On failure: release the payment hold and stop; nothing else has been touched yet.</w:t>
      </w:r>
    </w:p>
    <w:p>
      <w:pPr>
        <w:pStyle w:val="ListParagraph"/>
        <w:numPr>
          <w:ilvl w:val="0"/>
          <w:numId w:val="3"/>
        </w:numPr>
        <w:spacing w:after="100" w:line="276"/>
      </w:pPr>
      <w:r>
        <w:t xml:space="preserve">Book the hotel. On failure: attempt compensation (cancel the flight if the fare is refundable) or, where the fare is non-refundable, offer the user an alternate hotel before giving up the booking entirely.</w:t>
      </w:r>
    </w:p>
    <w:p>
      <w:pPr>
        <w:pStyle w:val="ListParagraph"/>
        <w:numPr>
          <w:ilvl w:val="0"/>
          <w:numId w:val="3"/>
        </w:numPr>
        <w:spacing w:after="100" w:line="276"/>
      </w:pPr>
      <w:r>
        <w:t xml:space="preserve">Book the experience/activity — the cheapest and most substitutable item. On failure: rather than triggering full rollback, auto-substitute from the same persona-ranked candidate list the planning layer already produced (Section 5), and only fall back to full saga compensation if the user actively rejects the substitute.</w:t>
      </w:r>
    </w:p>
    <w:p>
      <w:pPr>
        <w:pStyle w:val="ListParagraph"/>
        <w:numPr>
          <w:ilvl w:val="0"/>
          <w:numId w:val="3"/>
        </w:numPr>
        <w:spacing w:after="100" w:line="276"/>
      </w:pPr>
      <w:r>
        <w:t xml:space="preserve">Issue a single combined itinerary and receipt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60"/>
              <w:left w:type="dxa" w:w="200"/>
              <w:bottom w:type="dxa" w:w="160"/>
              <w:right w:type="dxa" w:w="200"/>
            </w:tcMar>
          </w:tcPr>
          <w:p>
            <w:pPr>
              <w:spacing w:after="80"/>
            </w:pPr>
            <w:r>
              <w:rPr>
                <w:b/>
                <w:bCs/>
                <w:color w:val="1F3864"/>
              </w:rPr>
              <w:t xml:space="preserve">Design principle worth calling out explicitly</w:t>
            </w:r>
          </w:p>
          <w:p>
            <w:pPr>
              <w:spacing w:after="40"/>
            </w:pPr>
            <w:r>
              <w:rPr>
                <w:sz w:val="21"/>
                <w:szCs w:val="21"/>
              </w:rPr>
              <w:t xml:space="preserve">Not every failure should trigger a full-trip rollback. Because the persona/retrieval layer already produces a ranked shortlist behind every line item (not just a single best pick), a failed booking step can often be resolved by silently offering the next-best alternative rather than collapsing the entire transaction. This turns a technical failure into a personalization moment instead of an error screen, and it is a concrete interface contract between the persona layer and the checkout orchestrator: the AI layer's output is not “the itinerary,” it is “the itinerary plus a ranked shortlist behind every line item,” consumed by the orchestrator as its compensation menu.</w:t>
            </w:r>
          </w:p>
        </w:tc>
      </w:tr>
    </w:tbl>
    <w:p>
      <w:pPr>
        <w:pStyle w:val="Heading2"/>
      </w:pPr>
      <w:r>
        <w:t xml:space="preserve">6.4 Implementation Details That Cannot Be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Requirement</w:t>
            </w:r>
          </w:p>
        </w:tc>
        <w:tc>
          <w:tcPr>
            <w:tcW w:type="dxa" w:w="61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Why It Matters Here Specifically</w:t>
            </w:r>
          </w:p>
        </w:tc>
      </w:tr>
      <w:tr>
        <w:tc>
          <w:tcPr>
            <w:tcW w:type="dxa" w:w="3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Idempotency on every external call</w:t>
            </w:r>
          </w:p>
        </w:tc>
        <w:tc>
          <w:tcPr>
            <w:tcW w:type="dxa" w:w="61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Orchestrators retry on timeout. Without a client-generated idempotency key on every call to TBO, Sabre, or the payment processor, a retried call can double-book a room or double-charge a UPI mandate — an especially sensitive failure mode given how new India's autonomous-agent payment rails are.</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Compensations are real operations, not instant undos</w:t>
            </w:r>
          </w:p>
        </w:tc>
        <w:tc>
          <w:tcPr>
            <w:tcW w:type="dxa" w:w="6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A cancelled flight may still carry a penalty fee; a refund may show as “initiated” in the user's bank for several business days even though the platform's saga shows it as resolved. The UX must represent this honestly rather than implying instant reversal.</w:t>
            </w:r>
          </w:p>
        </w:tc>
      </w:tr>
      <w:tr>
        <w:tc>
          <w:tcPr>
            <w:tcW w:type="dxa" w:w="3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Design for visible intermediate state</w:t>
            </w:r>
          </w:p>
        </w:tc>
        <w:tc>
          <w:tcPr>
            <w:tcW w:type="dxa" w:w="61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Sagas do not provide global isolation — while a saga is mid-flight, another user can see a flight seat as reserved with no associated hotel booking yet. Two users racing for the last room at a property is a real scenario the compensation logic must handle gracefully and fast.</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A human escalation path, built before it is needed</w:t>
            </w:r>
          </w:p>
        </w:tc>
        <w:tc>
          <w:tcPr>
            <w:tcW w:type="dxa" w:w="6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Cards get declined, suppliers go down, hotels go bankrupt mid-transaction. There must be a runbook that lets a human operator mark a stuck compensation as resolved manually. For a one-click-trust product, this is the support team's most important tool, not an edge case to defer.</w:t>
            </w:r>
          </w:p>
        </w:tc>
      </w:tr>
    </w:tbl>
    <w:p>
      <w:r>
        <w:br w:type="page"/>
      </w:r>
    </w:p>
    <w:p>
      <w:pPr>
        <w:pStyle w:val="Heading1"/>
      </w:pPr>
      <w:r>
        <w:t xml:space="preserve">7. Technical Stack, End to End</w:t>
      </w:r>
    </w:p>
    <w:p>
      <w:pPr>
        <w:spacing w:after="160" w:line="276"/>
      </w:pPr>
      <w:r>
        <w:t xml:space="preserve">The stack below integrates the persona/retrieval architecture (Section 5) and the checkout saga architecture (Section 6) into a complete picture, layered from the client down to governance.</w:t>
      </w:r>
    </w:p>
    <w:p>
      <w:pPr>
        <w:pStyle w:val="Heading2"/>
      </w:pPr>
      <w:r>
        <w:t xml:space="preserve">7.1 Layer-by-Layer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50"/>
        <w:gridCol w:w="4010"/>
      </w:tblGrid>
      <w:tr>
        <w:trPr>
          <w:tblHeader/>
        </w:trPr>
        <w:tc>
          <w:tcPr>
            <w:tcW w:type="dxa" w:w="18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Layer</w:t>
            </w:r>
          </w:p>
        </w:tc>
        <w:tc>
          <w:tcPr>
            <w:tcW w:type="dxa" w:w="35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Purpose</w:t>
            </w:r>
          </w:p>
        </w:tc>
        <w:tc>
          <w:tcPr>
            <w:tcW w:type="dxa" w:w="401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Recommended Approach</w:t>
            </w:r>
          </w:p>
        </w:tc>
      </w:tr>
      <w:tr>
        <w:tc>
          <w:tcPr>
            <w:tcW w:type="dxa" w:w="1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Client</w:t>
            </w:r>
          </w:p>
        </w:tc>
        <w:tc>
          <w:tcPr>
            <w:tcW w:type="dxa" w:w="35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Mobile-first interaction surface for an India/Asia-first audience.</w:t>
            </w:r>
          </w:p>
        </w:tc>
        <w:tc>
          <w:tcPr>
            <w:tcW w:type="dxa" w:w="40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React Native or Flutter for MVP-stage cross-platform speed; conversational UI as the primary interaction mode rather than a traditional search-and-filter UI, matching how the regional audience is already adopting AI interfaces.</w:t>
            </w:r>
          </w:p>
        </w:tc>
      </w:tr>
      <w:tr>
        <w:tc>
          <w:tcPr>
            <w:tcW w:type="dxa" w:w="18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Agent / orchestration</w:t>
            </w:r>
          </w:p>
        </w:tc>
        <w:tc>
          <w:tcPr>
            <w:tcW w:type="dxa" w:w="35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Coordinates intent understanding, persona retrieval, itinerary optimization, and booking execution as separate, independently upgradeable capabilities.</w:t>
            </w:r>
          </w:p>
        </w:tc>
        <w:tc>
          <w:tcPr>
            <w:tcW w:type="dxa" w:w="40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A microservices-inspired multi-agent design, not one monolithic prompt. LangGraph is a strong default runtime given the need for stateful, multi-step, human-in-the-loop workflows that mirror the booking saga's shape.</w:t>
            </w:r>
          </w:p>
        </w:tc>
      </w:tr>
      <w:tr>
        <w:tc>
          <w:tcPr>
            <w:tcW w:type="dxa" w:w="1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Persona &amp; retrieval</w:t>
            </w:r>
          </w:p>
        </w:tc>
        <w:tc>
          <w:tcPr>
            <w:tcW w:type="dxa" w:w="35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Encodes user/group preference into a structured profile; retrieves and ranks relevant real inventory before any LLM reasoning happens.</w:t>
            </w:r>
          </w:p>
        </w:tc>
        <w:tc>
          <w:tcPr>
            <w:tcW w:type="dxa" w:w="40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Vector database (e.g. Pinecone, Weaviate, or pgvector) for embeddings; lightweight classical ML (e.g. gradient boosting) for the Big-Five-style preference vector; microsegment bucketing for cold start.</w:t>
            </w:r>
          </w:p>
        </w:tc>
      </w:tr>
      <w:tr>
        <w:tc>
          <w:tcPr>
            <w:tcW w:type="dxa" w:w="18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Booking saga orchestrator</w:t>
            </w:r>
          </w:p>
        </w:tc>
        <w:tc>
          <w:tcPr>
            <w:tcW w:type="dxa" w:w="35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Executes the one-click multi-vendor transaction with compensating actions on failure.</w:t>
            </w:r>
          </w:p>
        </w:tc>
        <w:tc>
          <w:tcPr>
            <w:tcW w:type="dxa" w:w="40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A workflow engine such as Temporal running the saga steps defined in Section 6, with idempotency keys on every external call.</w:t>
            </w:r>
          </w:p>
        </w:tc>
      </w:tr>
      <w:tr>
        <w:tc>
          <w:tcPr>
            <w:tcW w:type="dxa" w:w="1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Supply-side integration</w:t>
            </w:r>
          </w:p>
        </w:tc>
        <w:tc>
          <w:tcPr>
            <w:tcW w:type="dxa" w:w="35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Normalizes flight, hotel, and experience inventory from multiple regional and global vendors into one internal schema.</w:t>
            </w:r>
          </w:p>
        </w:tc>
        <w:tc>
          <w:tcPr>
            <w:tcW w:type="dxa" w:w="40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TBO (India/SE Asia/Gulf hotel depth) + Amadeus or Sabre (global flight/hotel backbone) + Hotelbeds (secondary, activity bundling), unified behind a thin internal middleware layer.</w:t>
            </w:r>
          </w:p>
        </w:tc>
      </w:tr>
      <w:tr>
        <w:tc>
          <w:tcPr>
            <w:tcW w:type="dxa" w:w="18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Payments</w:t>
            </w:r>
          </w:p>
        </w:tc>
        <w:tc>
          <w:tcPr>
            <w:tcW w:type="dxa" w:w="35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Executes the agentic, consent-once checkout.</w:t>
            </w:r>
          </w:p>
        </w:tc>
        <w:tc>
          <w:tcPr>
            <w:tcW w:type="dxa" w:w="40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Razorpay or Pine Labs UPI agentic rails (Reserve Pay / P3P) for India at launch; GrabPay/PayNow-equivalent rails to be scoped as a dedicated thread before Southeast Asia expansion.</w:t>
            </w:r>
          </w:p>
        </w:tc>
      </w:tr>
      <w:tr>
        <w:tc>
          <w:tcPr>
            <w:tcW w:type="dxa" w:w="1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Data, observability, governance</w:t>
            </w:r>
          </w:p>
        </w:tc>
        <w:tc>
          <w:tcPr>
            <w:tcW w:type="dxa" w:w="35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Traceability, compliance, and cost control across every layer above.</w:t>
            </w:r>
          </w:p>
        </w:tc>
        <w:tc>
          <w:tcPr>
            <w:tcW w:type="dxa" w:w="40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Full tracing of every saga step, persona inference, and payment authorization — required both for debugging and for the audit trail India's DPDP Act will expect from an automated decision-making system handling personal data.</w:t>
            </w:r>
          </w:p>
        </w:tc>
      </w:tr>
    </w:tbl>
    <w:p>
      <w:pPr>
        <w:spacing w:after="160"/>
      </w:pPr>
    </w:p>
    <w:p>
      <w:pPr>
        <w:pStyle w:val="Heading2"/>
      </w:pPr>
      <w:r>
        <w:t xml:space="preserve">7.2 Architectural Principles That Apply Across Every Layer</w:t>
      </w:r>
    </w:p>
    <w:p>
      <w:pPr>
        <w:spacing w:after="160" w:line="276"/>
      </w:pPr>
      <w:r>
        <w:t xml:space="preserve">Two rules recur throughout the research and are worth stating as standing principles for the whole build, not just one layer:</w:t>
      </w:r>
    </w:p>
    <w:p>
      <w:pPr>
        <w:pStyle w:val="ListParagraph"/>
        <w:numPr>
          <w:ilvl w:val="0"/>
          <w:numId w:val="2"/>
        </w:numPr>
        <w:spacing w:after="100" w:line="276"/>
      </w:pPr>
      <w:r>
        <w:t xml:space="preserve">Keep LLMs focused on intent classification and natural language understanding. Route anything that needs to be exact — currency conversion, database queries, constraint solving, transaction sequencing — to typed, testable code. Errors compound when an LLM is asked to compute values that should be deterministic.</w:t>
      </w:r>
    </w:p>
    <w:p>
      <w:pPr>
        <w:pStyle w:val="ListParagraph"/>
        <w:numPr>
          <w:ilvl w:val="0"/>
          <w:numId w:val="2"/>
        </w:numPr>
        <w:spacing w:after="100" w:line="276"/>
      </w:pPr>
      <w:r>
        <w:t xml:space="preserve">Decompose into independently deployable capabilities early. A single agent or service handling everything is fast to prototype and brittle in production; a failure in one capability should not break the entire system, and individual components need to be replaceable as underlying models and vendor APIs change every few months.</w:t>
      </w:r>
    </w:p>
    <w:p>
      <w:pPr>
        <w:pStyle w:val="Heading2"/>
      </w:pPr>
      <w:r>
        <w:t xml:space="preserve">7.3 Recommended Build Sequencing</w:t>
      </w:r>
    </w:p>
    <w:p>
      <w:pPr>
        <w:spacing w:after="160" w:line="276"/>
      </w:pPr>
      <w:r>
        <w:t xml:space="preserve">Given the cost and failure-risk profile of the saga/payment layers relative to the AI layer, a phased build is recommended so the hardest-to-validate part (AI personalization quality) is proven before the most expensive-to-get-wrong part (live multi-vendor money movement) is built out.</w:t>
      </w:r>
    </w:p>
    <w:p>
      <w:pPr>
        <w:pStyle w:val="ListParagraph"/>
        <w:numPr>
          <w:ilvl w:val="0"/>
          <w:numId w:val="3"/>
        </w:numPr>
        <w:spacing w:after="100" w:line="276"/>
      </w:pPr>
      <w:r>
        <w:t xml:space="preserve">Phase 1 — MVP: Conversational persona intake, retrieval/ranking, and itinerary generation, with handoff-style booking (links out to suppliers). Validates AI quality without saga complexity.</w:t>
      </w:r>
    </w:p>
    <w:p>
      <w:pPr>
        <w:pStyle w:val="ListParagraph"/>
        <w:numPr>
          <w:ilvl w:val="0"/>
          <w:numId w:val="3"/>
        </w:numPr>
        <w:spacing w:after="100" w:line="276"/>
      </w:pPr>
      <w:r>
        <w:t xml:space="preserve">Phase 2: Add the saga orchestrator and one vendor integration (TBO for hotels) plus UPI payment — single-vertical one-click booking.</w:t>
      </w:r>
    </w:p>
    <w:p>
      <w:pPr>
        <w:pStyle w:val="ListParagraph"/>
        <w:numPr>
          <w:ilvl w:val="0"/>
          <w:numId w:val="3"/>
        </w:numPr>
        <w:spacing w:after="100" w:line="276"/>
      </w:pPr>
      <w:r>
        <w:t xml:space="preserve">Phase 3: Add the flight saga step, then experiences, building toward genuine multi-vendor one-click checkout.</w:t>
      </w:r>
    </w:p>
    <w:p>
      <w:pPr>
        <w:spacing w:after="160" w:line="276"/>
      </w:pPr>
      <w:r>
        <w:t xml:space="preserve">This mirrors how the current market leader actually rolled out — Mindtrip had AI planning live for an extended period before adding Sabre-powered one-click flight booking in May 2026, and has not yet extended one-click checkout to hotels.</w:t>
      </w:r>
    </w:p>
    <w:p>
      <w:r>
        <w:br w:type="page"/>
      </w:r>
    </w:p>
    <w:p>
      <w:pPr>
        <w:pStyle w:val="Heading1"/>
      </w:pPr>
      <w:r>
        <w:t xml:space="preserve">8. Feature Parity Audit</w:t>
      </w:r>
    </w:p>
    <w:p>
      <w:pPr>
        <w:spacing w:after="160" w:line="276"/>
      </w:pPr>
      <w:r>
        <w:t xml:space="preserve">The purpose of this audit is not to replicate every feature of every incumbent app, but to identify the non-negotiable baseline below which users will not trust the platform with a real booking, separated from the features that differentiate a “complete” product from a basic one, separated again from the features that are the actual competitive moat.</w:t>
      </w:r>
    </w:p>
    <w:p>
      <w:pPr>
        <w:pStyle w:val="Heading2"/>
      </w:pPr>
      <w:r>
        <w:t xml:space="preserve">8.1 Tier 1 — Non-Negotiable at Launch</w:t>
      </w:r>
    </w:p>
    <w:p>
      <w:pPr>
        <w:spacing w:after="160" w:line="276"/>
      </w:pPr>
      <w:r>
        <w:t xml:space="preserve">These must exist before public launch. They are what earns the right to be trusted with payment information; the AI layer cannot compensate for their absence.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Feature</w:t>
            </w:r>
          </w:p>
        </w:tc>
        <w:tc>
          <w:tcPr>
            <w:tcW w:type="dxa" w:w="63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Why It Is Non-Negotiable</w:t>
            </w:r>
          </w:p>
        </w:tc>
      </w:tr>
      <w:tr>
        <w:tc>
          <w:tcPr>
            <w:tcW w:type="dxa" w:w="30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Real-time, bookable pricing</w:t>
            </w:r>
          </w:p>
        </w:tc>
        <w:tc>
          <w:tcPr>
            <w:tcW w:type="dxa" w:w="63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Users distrust apps that show prices that cannot actually be booked; the price shown must be the price booked, with no failures or retries.</w:t>
            </w:r>
          </w:p>
        </w:tc>
      </w:tr>
      <w:tr>
        <w:tc>
          <w:tcPr>
            <w:tcW w:type="dxa" w:w="30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Fast search/filter (dates, budget, rating)</w:t>
            </w:r>
          </w:p>
        </w:tc>
        <w:tc>
          <w:tcPr>
            <w:tcW w:type="dxa" w:w="6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Over 70% of travel app sessions happen on mobile, and a majority of mobile users abandon an app that takes more than a few seconds to return results.</w:t>
            </w:r>
          </w:p>
        </w:tc>
      </w:tr>
      <w:tr>
        <w:tc>
          <w:tcPr>
            <w:tcW w:type="dxa" w:w="30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Secure, multi-method payment</w:t>
            </w:r>
          </w:p>
        </w:tc>
        <w:tc>
          <w:tcPr>
            <w:tcW w:type="dxa" w:w="63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Multi-currency support and EMI/BNPL options are now baseline expectations, not premium features.</w:t>
            </w:r>
          </w:p>
        </w:tc>
      </w:tr>
      <w:tr>
        <w:tc>
          <w:tcPr>
            <w:tcW w:type="dxa" w:w="30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Easy onboarding (social login / OTP)</w:t>
            </w:r>
          </w:p>
        </w:tc>
        <w:tc>
          <w:tcPr>
            <w:tcW w:type="dxa" w:w="6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Especially expected in the Indian market specifically.</w:t>
            </w:r>
          </w:p>
        </w:tc>
      </w:tr>
      <w:tr>
        <w:tc>
          <w:tcPr>
            <w:tcW w:type="dxa" w:w="30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Offline-capable master itinerary view</w:t>
            </w:r>
          </w:p>
        </w:tc>
        <w:tc>
          <w:tcPr>
            <w:tcW w:type="dxa" w:w="63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The single-timeline view (flights, hotels, activities in one place, accessible without data) is the entire value proposition of apps like TripIt; the platform gets this for free by generating the itinerary natively, but it must work offline.</w:t>
            </w:r>
          </w:p>
        </w:tc>
      </w:tr>
      <w:tr>
        <w:tc>
          <w:tcPr>
            <w:tcW w:type="dxa" w:w="30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Booking management &amp; clear cancellation policy</w:t>
            </w:r>
          </w:p>
        </w:tc>
        <w:tc>
          <w:tcPr>
            <w:tcW w:type="dxa" w:w="6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Free cancellation and transparent policy are baseline trust signals across the category.</w:t>
            </w:r>
          </w:p>
        </w:tc>
      </w:tr>
      <w:tr>
        <w:tc>
          <w:tcPr>
            <w:tcW w:type="dxa" w:w="30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Itinerary sharing</w:t>
            </w:r>
          </w:p>
        </w:tc>
        <w:tc>
          <w:tcPr>
            <w:tcW w:type="dxa" w:w="63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Shareable links so travel companions see the full trip without needing an account of their own.</w:t>
            </w:r>
          </w:p>
        </w:tc>
      </w:tr>
      <w:tr>
        <w:tc>
          <w:tcPr>
            <w:tcW w:type="dxa" w:w="30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24/7 support with human escalation</w:t>
            </w:r>
          </w:p>
        </w:tc>
        <w:tc>
          <w:tcPr>
            <w:tcW w:type="dxa" w:w="6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AI chat can absorb most support volume, but must have a clear human escalation path — directly tied to the saga “give up and escalate” runbook in Section 6.4.</w:t>
            </w:r>
          </w:p>
        </w:tc>
      </w:tr>
    </w:tbl>
    <w:p>
      <w:pPr>
        <w:spacing w:after="160"/>
      </w:pPr>
    </w:p>
    <w:p>
      <w:pPr>
        <w:pStyle w:val="Heading2"/>
      </w:pPr>
      <w:r>
        <w:t xml:space="preserve">8.2 Tier 2 — Expected by Power Users (Revised)</w:t>
      </w:r>
    </w:p>
    <w:p>
      <w:pPr>
        <w:spacing w:after="160" w:line="276"/>
      </w:pPr>
      <w:r>
        <w:t xml:space="preserve">These are not launch blockers but should follow soon after, prioritized by what early users actually request rather than built speculatively. This tier has been revised following the India incumbent review in Section 3.4: conversational, persona-aware AI booking — originally treated as a differentiator — now belongs here, since MakeMyTrip's Myra and Ixigo's TARA both shipped it at scale in May 2026.</w:t>
      </w:r>
    </w:p>
    <w:p>
      <w:pPr>
        <w:pStyle w:val="ListParagraph"/>
        <w:numPr>
          <w:ilvl w:val="0"/>
          <w:numId w:val="2"/>
        </w:numPr>
        <w:spacing w:after="100" w:line="276"/>
      </w:pPr>
      <w:r>
        <w:t xml:space="preserve">Conversational, voice-first AI booking with vernacular language support — now a baseline expectation set by Myra and TARA, not a differentiator on its own.</w:t>
      </w:r>
    </w:p>
    <w:p>
      <w:pPr>
        <w:pStyle w:val="ListParagraph"/>
        <w:numPr>
          <w:ilvl w:val="0"/>
          <w:numId w:val="2"/>
        </w:numPr>
        <w:spacing w:after="100" w:line="276"/>
      </w:pPr>
      <w:r>
        <w:t xml:space="preserve">Persona-aware recommendations based on booking history and stated preferences — the depth incumbents have already reached; this product must clear this bar, not just match it, since true differentiation requires the verified grounding layer in Tier 3.</w:t>
      </w:r>
    </w:p>
    <w:p>
      <w:pPr>
        <w:pStyle w:val="ListParagraph"/>
        <w:numPr>
          <w:ilvl w:val="0"/>
          <w:numId w:val="2"/>
        </w:numPr>
        <w:spacing w:after="100" w:line="276"/>
      </w:pPr>
      <w:r>
        <w:t xml:space="preserve">Price prediction / “book now vs. wait” guidance, based on historical pricing patterns.</w:t>
      </w:r>
    </w:p>
    <w:p>
      <w:pPr>
        <w:pStyle w:val="ListParagraph"/>
        <w:numPr>
          <w:ilvl w:val="0"/>
          <w:numId w:val="2"/>
        </w:numPr>
        <w:spacing w:after="100" w:line="276"/>
      </w:pPr>
      <w:r>
        <w:t xml:space="preserve">Real-time disruption handling — flight delay/gate-change alerts with automatic rebooking suggestions.</w:t>
      </w:r>
    </w:p>
    <w:p>
      <w:pPr>
        <w:pStyle w:val="ListParagraph"/>
        <w:numPr>
          <w:ilvl w:val="0"/>
          <w:numId w:val="2"/>
        </w:numPr>
        <w:spacing w:after="100" w:line="276"/>
      </w:pPr>
      <w:r>
        <w:t xml:space="preserve">Loyalty and rewards integration.</w:t>
      </w:r>
    </w:p>
    <w:p>
      <w:pPr>
        <w:pStyle w:val="ListParagraph"/>
        <w:numPr>
          <w:ilvl w:val="0"/>
          <w:numId w:val="2"/>
        </w:numPr>
        <w:spacing w:after="100" w:line="276"/>
      </w:pPr>
      <w:r>
        <w:t xml:space="preserve">Reviews and social proof, increasingly video-based rather than text-only.</w:t>
      </w:r>
    </w:p>
    <w:p>
      <w:pPr>
        <w:pStyle w:val="ListParagraph"/>
        <w:numPr>
          <w:ilvl w:val="0"/>
          <w:numId w:val="2"/>
        </w:numPr>
        <w:spacing w:after="100" w:line="276"/>
      </w:pPr>
      <w:r>
        <w:t xml:space="preserve">Inbox/email sync to auto-import bookings made before the user adopted the app.</w:t>
      </w:r>
    </w:p>
    <w:p>
      <w:pPr>
        <w:pStyle w:val="ListParagraph"/>
        <w:numPr>
          <w:ilvl w:val="0"/>
          <w:numId w:val="2"/>
        </w:numPr>
        <w:spacing w:after="100" w:line="276"/>
      </w:pPr>
      <w:r>
        <w:t xml:space="preserve">Multi-currency support and ancillary bundling (e.g. eSIM/connectivity).</w:t>
      </w:r>
    </w:p>
    <w:p>
      <w:pPr>
        <w:pStyle w:val="Heading2"/>
      </w:pPr>
      <w:r>
        <w:t xml:space="preserve">8.3 Tier 3 — The Actual Moat (Revised)</w:t>
      </w:r>
    </w:p>
    <w:p>
      <w:pPr>
        <w:spacing w:after="160" w:line="276"/>
      </w:pPr>
      <w:r>
        <w:t xml:space="preserve">This is where the platform differentiates, and where engineering effort should be protected from being diluted by Tier 2 polish. This tier has also been revised and reordered by durability, consistent with Section 10.3 — what looked like the primary moat at an earlier stage of this research (checkout convenience) is now understood to be the most easily closed by a motivated incumbent; what was treated as an assumed baseline (itinerary accuracy) is now understood to be the hardest, most durable gap in the entire category.</w:t>
      </w:r>
    </w:p>
    <w:p>
      <w:pPr>
        <w:pStyle w:val="ListParagraph"/>
        <w:numPr>
          <w:ilvl w:val="0"/>
          <w:numId w:val="2"/>
        </w:numPr>
        <w:spacing w:after="100" w:line="276"/>
      </w:pPr>
      <w:r>
        <w:t xml:space="preserve">Verified, hallucination-resistant, day-by-day itinerary accuracy (Section 5.8) — the grounding and verification layer. Unsolved industry-wide, including by dedicated AI trip planners and by Myra/TARA. This is now the primary differentiator, not a quality-assurance afterthought.</w:t>
      </w:r>
    </w:p>
    <w:p>
      <w:pPr>
        <w:pStyle w:val="ListParagraph"/>
        <w:numPr>
          <w:ilvl w:val="0"/>
          <w:numId w:val="2"/>
        </w:numPr>
        <w:spacing w:after="100" w:line="276"/>
      </w:pPr>
      <w:r>
        <w:t xml:space="preserve">Group-trip consensus logic — flagged repeatedly across independent market reviews as underbuilt industry-wide, including by every dedicated group-travel app reviewed.</w:t>
      </w:r>
    </w:p>
    <w:p>
      <w:pPr>
        <w:pStyle w:val="ListParagraph"/>
        <w:numPr>
          <w:ilvl w:val="0"/>
          <w:numId w:val="2"/>
        </w:numPr>
        <w:spacing w:after="100" w:line="276"/>
      </w:pPr>
      <w:r>
        <w:t xml:space="preserve">True one-click checkout across flights, hotels, and experiences simultaneously — nobody has shipped this yet, but per the durability analysis in Section 10.1, this is a 12–18 month head start against a motivated incumbent, not a permanent moat. Worth building, but should not be the product's sole or primary pitch.</w:t>
      </w:r>
    </w:p>
    <w:p>
      <w:pPr>
        <w:pStyle w:val="ListParagraph"/>
        <w:numPr>
          <w:ilvl w:val="0"/>
          <w:numId w:val="2"/>
        </w:numPr>
        <w:spacing w:after="100" w:line="276"/>
      </w:pPr>
      <w:r>
        <w:t xml:space="preserve">Conversational-first UX as the primary interface — table stakes per Tier 2 above, but still worth executing well, since UX quality remains a competitive dimension even where the underlying capability is matched.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60"/>
              <w:left w:type="dxa" w:w="200"/>
              <w:bottom w:type="dxa" w:w="160"/>
              <w:right w:type="dxa" w:w="200"/>
            </w:tcMar>
          </w:tcPr>
          <w:p>
            <w:pPr>
              <w:spacing w:after="80"/>
            </w:pPr>
            <w:r>
              <w:rPr>
                <w:b/>
                <w:bCs/>
                <w:color w:val="1F3864"/>
              </w:rPr>
              <w:t xml:space="preserve">Sequencing implication (revised)</w:t>
            </w:r>
          </w:p>
          <w:p>
            <w:pPr>
              <w:spacing w:after="40"/>
            </w:pPr>
            <w:r>
              <w:rPr>
                <w:sz w:val="21"/>
                <w:szCs w:val="21"/>
              </w:rPr>
              <w:t xml:space="preserve">Tier 1 must be complete before public launch — it is the price of entry. Tier 2 — including conversational AI booking itself — should be treated as a fast-follow bar to clear, not a showcase feature, since it no longer earns attention on its own. Tier 3 is the wedge, led by the grounding/verification layer: it should be sharp and differentiated before significant effort goes into Tier 2 polish, since accuracy — not checkout convenience or conversational UX alone — is the most defensible reason a user would switch away from an incumbent OTA.</w:t>
            </w:r>
          </w:p>
        </w:tc>
      </w:tr>
    </w:tbl>
    <w:p>
      <w:r>
        <w:br w:type="page"/>
      </w:r>
    </w:p>
    <w:p>
      <w:pPr>
        <w:pStyle w:val="Heading1"/>
      </w:pPr>
      <w:r>
        <w:t xml:space="preserve">9. Business Model &amp; Monetization</w:t>
      </w:r>
    </w:p>
    <w:p>
      <w:pPr>
        <w:pStyle w:val="Heading2"/>
      </w:pPr>
      <w:r>
        <w:t xml:space="preserve">9.1 The Central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60"/>
              <w:left w:type="dxa" w:w="200"/>
              <w:bottom w:type="dxa" w:w="160"/>
              <w:right w:type="dxa" w:w="200"/>
            </w:tcMar>
          </w:tcPr>
          <w:p>
            <w:pPr>
              <w:spacing w:after="80"/>
            </w:pPr>
            <w:r>
              <w:rPr>
                <w:b/>
                <w:bCs/>
                <w:color w:val="1F3864"/>
              </w:rPr>
              <w:t xml:space="preserve">Why commission alone will not work</w:t>
            </w:r>
          </w:p>
          <w:p>
            <w:pPr>
              <w:spacing w:after="40"/>
            </w:pPr>
            <w:r>
              <w:rPr>
                <w:sz w:val="21"/>
                <w:szCs w:val="21"/>
              </w:rPr>
              <w:t xml:space="preserve">Industry analysis is explicit: a business plan relying solely on booking commission will see its unit economics collapse, because commission-based OTA economics are commoditized and under sustained margin pressure.</w:t>
            </w:r>
          </w:p>
          <w:p>
            <w:pPr>
              <w:spacing w:after="40"/>
            </w:pPr>
            <w:r>
              <w:rPr>
                <w:sz w:val="21"/>
                <w:szCs w:val="21"/>
              </w:rPr>
              <w:t xml:space="preserve">Hopper's own numbers make the point empirically — fintech ancillaries (Price Freeze, Cancel for Any Reason) drive roughly 40% of its revenue, not the underlying booking commission.</w:t>
            </w:r>
          </w:p>
          <w:p>
            <w:pPr>
              <w:spacing w:after="40"/>
            </w:pPr>
            <w:r>
              <w:rPr>
                <w:sz w:val="21"/>
                <w:szCs w:val="21"/>
              </w:rPr>
              <w:t xml:space="preserve">The platform should be designed from the outset as a fintech-ready platform with a booking engine attached, not a booking engine with a payment method bolted on.</w:t>
            </w:r>
          </w:p>
        </w:tc>
      </w:tr>
    </w:tbl>
    <w:p>
      <w:pPr>
        <w:pStyle w:val="Heading2"/>
      </w:pPr>
      <w:r>
        <w:t xml:space="preserve">9.2 Phased Revenue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50"/>
        <w:gridCol w:w="331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Phase</w:t>
            </w:r>
          </w:p>
        </w:tc>
        <w:tc>
          <w:tcPr>
            <w:tcW w:type="dxa" w:w="41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Revenue Streams</w:t>
            </w:r>
          </w:p>
        </w:tc>
        <w:tc>
          <w:tcPr>
            <w:tcW w:type="dxa" w:w="331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Rationale</w:t>
            </w:r>
          </w:p>
        </w:tc>
      </w:tr>
      <w:tr>
        <w:tc>
          <w:tcPr>
            <w:tcW w:type="dxa" w:w="19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Phase 1 — Launch (India/Asia)</w:t>
            </w:r>
          </w:p>
        </w:tc>
        <w:tc>
          <w:tcPr>
            <w:tcW w:type="dxa" w:w="41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Booking commission only, at the lower end of the typical 15–25% range on hotels/experiences to win share against entrenched incumbents.</w:t>
            </w:r>
          </w:p>
        </w:tc>
        <w:tc>
          <w:tcPr>
            <w:tcW w:type="dxa" w:w="33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At launch, use one primary revenue model only — keep compliance scope narrow and prove the core loop before adding monetization complexity that competes for user attention with the product's value proposition.</w:t>
            </w:r>
          </w:p>
        </w:tc>
      </w:tr>
      <w:tr>
        <w:tc>
          <w:tcPr>
            <w:tcW w:type="dxa" w:w="19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Phase 2 — 6–18 months</w:t>
            </w:r>
          </w:p>
        </w:tc>
        <w:tc>
          <w:tcPr>
            <w:tcW w:type="dxa" w:w="41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Trip protection / “cancel for any reason” insurance; price-freeze fee; BNPL/EMI on trip cost; subscription tier for frequent travelers (priority support, included price-freezes, full AI concierge access).</w:t>
            </w:r>
          </w:p>
        </w:tc>
        <w:tc>
          <w:tcPr>
            <w:tcW w:type="dxa" w:w="33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Natural fit given the UPI agentic payment integration is already live for checkout; BNPL infrastructure (Razorpay-style) is being plugged into, not built from scratch. Subscription appeals strongly to the segment that already wants a bundled concierge-style experience.</w:t>
            </w:r>
          </w:p>
        </w:tc>
      </w:tr>
      <w:tr>
        <w:tc>
          <w:tcPr>
            <w:tcW w:type="dxa" w:w="19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Phase 3 — 18+ months</w:t>
            </w:r>
          </w:p>
        </w:tc>
        <w:tc>
          <w:tcPr>
            <w:tcW w:type="dxa" w:w="41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B2B licensing of the persona/orchestration engine to banks, telcos, or super-apps; API monetization of the recommendation engine decoupled from booking itself.</w:t>
            </w:r>
          </w:p>
        </w:tc>
        <w:tc>
          <w:tcPr>
            <w:tcW w:type="dxa" w:w="33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Mirrors Hopper's actual trajectory — roughly 65% of its revenue now comes through B2B licensing of its fintech/prediction engine to partners like Capital One and AirAsia. India's existing super-app ecosystem (Paytm, PhonePe, etc.) is a strong natural fit for this kind of embedded partnership.</w:t>
            </w:r>
          </w:p>
        </w:tc>
      </w:tr>
    </w:tbl>
    <w:p>
      <w:pPr>
        <w:spacing w:after="160"/>
      </w:pPr>
    </w:p>
    <w:p>
      <w:pPr>
        <w:pStyle w:val="Heading2"/>
      </w:pPr>
      <w:r>
        <w:t xml:space="preserve">9.3 India-Specific Regulatory Constraints on Monetization</w:t>
      </w:r>
    </w:p>
    <w:p>
      <w:pPr>
        <w:spacing w:after="160" w:line="276"/>
      </w:pPr>
      <w:r>
        <w:t xml:space="preserve">Two constraints shape what is actually available as a revenue lever in this market, and should inform planning now rather than being discovered later:</w:t>
      </w:r>
    </w:p>
    <w:p>
      <w:pPr>
        <w:pStyle w:val="ListParagraph"/>
        <w:numPr>
          <w:ilvl w:val="0"/>
          <w:numId w:val="2"/>
        </w:numPr>
        <w:spacing w:after="100" w:line="276"/>
      </w:pPr>
      <w:r>
        <w:t xml:space="preserve">Debit card MDR is capped at 0.90% by the RBI, bank-to-bank UPI transactions carry zero MDR, and PPI wallet transactions above ₹2,000 attract a 1.1% interchange fee under NPCI's 2023 circular. UPI is effectively free infrastructure for adoption purposes, but this also means the payment rail itself cannot be a meaningful margin source in India — margin must come from commission, fintech ancillaries, or subscription, not from payment processing.</w:t>
      </w:r>
    </w:p>
    <w:p>
      <w:pPr>
        <w:pStyle w:val="ListParagraph"/>
        <w:numPr>
          <w:ilvl w:val="0"/>
          <w:numId w:val="2"/>
        </w:numPr>
        <w:spacing w:after="100" w:line="276"/>
      </w:pPr>
      <w:r>
        <w:t xml:space="preserve">Data monetization (e.g. selling anonymized travel-demand data sets to hotels or analytics firms) is legally viable but requires explicit user consent, transparent privacy policy, and opt-in/opt-out controls, with India's DPDP Act imposing comparable discipline to GDPR. This should be treated as a Phase 3-or-later revenue stream, not a launch dependency.</w:t>
      </w:r>
    </w:p>
    <w:p>
      <w:pPr>
        <w:pStyle w:val="Heading2"/>
      </w:pPr>
      <w:r>
        <w:t xml:space="preserve">9.4 Why This Sequencing Protects the Core Thesis</w:t>
      </w:r>
    </w:p>
    <w:p>
      <w:pPr>
        <w:spacing w:after="160" w:line="276"/>
      </w:pPr>
      <w:r>
        <w:t xml:space="preserve">Every later-phase revenue stream — fintech ancillaries, subscription, B2B licensing — depends on the persona engine and one-click checkout infrastructure already working well. The monetization roadmap is not bolted onto a generic OTA; it is downstream of the same AI and transaction infrastructure that constitutes the product's core differentiation. This is a coherent business model rather than a feature list with a price tag attached.</w:t>
      </w:r>
    </w:p>
    <w:p>
      <w:r>
        <w:br w:type="page"/>
      </w:r>
    </w:p>
    <w:p>
      <w:pPr>
        <w:pStyle w:val="Heading1"/>
      </w:pPr>
      <w:r>
        <w:t xml:space="preserve">10. Competitive Moat — Durability Analysis</w:t>
      </w:r>
    </w:p>
    <w:p>
      <w:pPr>
        <w:spacing w:after="160" w:line="276"/>
      </w:pPr>
      <w:r>
        <w:t xml:space="preserve">Given the revisions in Sections 3.4 and 5.8, this section directly addresses the question that matters most for a founding decision: of the differentiators this product is relying on, which are durable, and which are a head start that a well-resourced incumbent could close?</w:t>
      </w:r>
    </w:p>
    <w:p>
      <w:pPr>
        <w:pStyle w:val="Heading2"/>
      </w:pPr>
      <w:r>
        <w:t xml:space="preserve">10.1 Why “Atomic Checkout” Is Not the Barrier It First Appeared To Be</w:t>
      </w:r>
    </w:p>
    <w:p>
      <w:pPr>
        <w:spacing w:after="160" w:line="276"/>
      </w:pPr>
      <w:r>
        <w:t xml:space="preserve">A common assumption — including an earlier version of this document — treats single-payment, multi-vendor bundled checkout as a hard, novel technical barrier. On closer review, bundled payment collection itself is a solved, decades-old pattern: an OTA can take one payment from the customer for a basket of products (flight, hotel, activity) and pay individual suppliers separately in the background, at different times, in different currencies. Expedia and Booking.com package deals already work this way. The real barriers are more specific than “can we charge one card,” and they split into two categories with very different durability.</w:t>
      </w:r>
    </w:p>
    <w:p>
      <w:pPr>
        <w:pStyle w:val="Heading3"/>
      </w:pPr>
      <w:r>
        <w:t xml:space="preserve">10.1.1 Durable barriers — apply equally to this product and to any incumbent</w:t>
      </w:r>
    </w:p>
    <w:p>
      <w:pPr>
        <w:pStyle w:val="ListParagraph"/>
        <w:numPr>
          <w:ilvl w:val="0"/>
          <w:numId w:val="2"/>
        </w:numPr>
        <w:spacing w:after="100" w:line="276"/>
      </w:pPr>
      <w:r>
        <w:t xml:space="preserve">Settlement timing mismatch: flight settlement is typically immediate and guaranteed (e.g. IATA EasyPay charges on booking), while hotel settlement in the merchant model is deferred until after guest checkout. “Atomic” cannot mean instantaneous all-or-nothing the way a database transaction does — it has to mean the saga-with-compensation pattern already specified in Section 6. This is a structural feature of the travel industry, not a weakness specific to incumbents, and this product must solve it too.</w:t>
      </w:r>
    </w:p>
    <w:p>
      <w:pPr>
        <w:pStyle w:val="ListParagraph"/>
        <w:numPr>
          <w:ilvl w:val="0"/>
          <w:numId w:val="2"/>
        </w:numPr>
        <w:spacing w:after="100" w:line="276"/>
      </w:pPr>
      <w:r>
        <w:t xml:space="preserve">Regulatory standing differs by vertical: selling flights requires IATA or ARC accreditation as a bonded, audited agent; the hotel space carries no equivalent global accreditation regime. A single checkout transaction is, from a compliance perspective, two different categories of financial agency happening at once. This applies to any new entrant exactly as much as to an incumbent.</w:t>
      </w:r>
    </w:p>
    <w:p>
      <w:pPr>
        <w:pStyle w:val="Heading3"/>
      </w:pPr>
      <w:r>
        <w:t xml:space="preserve">10.1.2 Barriers that are real but specific to incumbents, not to the industry</w:t>
      </w:r>
    </w:p>
    <w:p>
      <w:pPr>
        <w:pStyle w:val="ListParagraph"/>
        <w:numPr>
          <w:ilvl w:val="0"/>
          <w:numId w:val="2"/>
        </w:numPr>
        <w:spacing w:after="100" w:line="276"/>
      </w:pPr>
      <w:r>
        <w:t xml:space="preserve">Legacy ledger separation: incumbents report margin separately by vertical (MakeMyTrip discloses 43% of margin from hotels, 35% from air, as distinct lines), which means their core finance, accounting, and investor-disclosure systems are built around per-vertical revenue and liability recognition. Re-architecting this to support one atomic multi-vendor transaction with one customer-facing failure/refund state is a finance-systems and compliance project, not a sprint — it is slow, low-visibility work that competes poorly for roadmap priority against AI features that move user-facing metrics and share price faster.</w:t>
      </w:r>
    </w:p>
    <w:p>
      <w:pPr>
        <w:pStyle w:val="ListParagraph"/>
        <w:numPr>
          <w:ilvl w:val="0"/>
          <w:numId w:val="2"/>
        </w:numPr>
        <w:spacing w:after="100" w:line="276"/>
      </w:pPr>
      <w:r>
        <w:t xml:space="preserve">Cross-sell attribution inertia: per-vertical checkout funnels are also where incumbents' upsell and attribution logic lives today. A unified cart somewhat cannibalizes that structure. This is a business-model disincentive, not a technical one — but it is a real one.</w:t>
      </w:r>
    </w:p>
    <w:p>
      <w:pPr>
        <w:spacing w:after="160" w:line="276"/>
      </w:pPr>
      <w:r>
        <w:t xml:space="preserve">Net assessment: a motivated incumbent, particularly a smaller and more agile one such as Ixigo, could plausibly close this specific gap within roughly 12–18 months if it decided the feature mattered enough to prioritize over continued AI-assistant investment. This gap is a head start, not a permanent moat, and the business should not be designed as if checkout convenience alone will protect it indefinitely.</w:t>
      </w:r>
    </w:p>
    <w:p>
      <w:pPr>
        <w:pStyle w:val="Heading2"/>
      </w:pPr>
      <w:r>
        <w:t xml:space="preserve">10.2 Why the Grounding &amp; Verification Layer (Section 5.8) Is a Sharper, More Durable Differentiator</w:t>
      </w:r>
    </w:p>
    <w:p>
      <w:pPr>
        <w:spacing w:after="160" w:line="276"/>
      </w:pPr>
      <w:r>
        <w:t xml:space="preserve">The India incumbent review (Section 3.4) found that Myra and TARA both personalize on booking history, stated filters, and conversational context — a real capability, but a different and shallower one than granular, verified, day-by-day experience curation. Neither claims, and neither appears to have built, a dedicated grounding/verification stage of the kind specified in Section 5.8. Independent testing of the broader AI-travel-planner category found this failure mode — confidently recommending closed restaurants, wrong hours, or physically unrealistic pacing — to be near-universal, including among dedicated, purpose-built itinerary tools.</w:t>
      </w:r>
    </w:p>
    <w:p>
      <w:pPr>
        <w:spacing w:after="160" w:line="276"/>
      </w:pPr>
      <w:r>
        <w:t xml:space="preserve">This is a harder target to hit than checkout convenience, but for the same reason, a harder one to casually retrofit: it requires getting the LLM-architecture decision right (mandatory retrieval grounding plus a separate verification stage, not just “better prompting”), building and continuously maintaining a normalized, India-specific point-of-interest data layer, and accepting the engineering discipline of surfacing uncertainty to users rather than presenting false confidence. None of this is exotic, but all of it requires deliberate architecture from day one — retrofitting it onto an existing booking-funnel-optimized AI assistant, built primarily to convert search into bookings rather than to author verified experiences, is a deeper rework than adding a new payment rail.</w:t>
      </w:r>
    </w:p>
    <w:p>
      <w:pPr>
        <w:pStyle w:val="Heading2"/>
      </w:pPr>
      <w:r>
        <w:t xml:space="preserve">10.3 Revised Strategic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60"/>
              <w:left w:type="dxa" w:w="200"/>
              <w:bottom w:type="dxa" w:w="160"/>
              <w:right w:type="dxa" w:w="200"/>
            </w:tcMar>
          </w:tcPr>
          <w:p>
            <w:pPr>
              <w:spacing w:after="80"/>
            </w:pPr>
            <w:r>
              <w:rPr>
                <w:b/>
                <w:bCs/>
                <w:color w:val="1F3864"/>
              </w:rPr>
              <w:t xml:space="preserve">The sharper differentiator set, in order of durability</w:t>
            </w:r>
          </w:p>
          <w:p>
            <w:pPr>
              <w:spacing w:after="40"/>
            </w:pPr>
            <w:r>
              <w:rPr>
                <w:sz w:val="21"/>
                <w:szCs w:val="21"/>
              </w:rPr>
              <w:t xml:space="preserve">1. Verified, hallucination-resistant, day-by-day itinerary accuracy (Section 5.8) — most durable. Unsolved industry-wide; requires architecture discipline, not just engineering effort, to close.</w:t>
            </w:r>
          </w:p>
          <w:p>
            <w:pPr>
              <w:spacing w:after="40"/>
            </w:pPr>
            <w:r>
              <w:rPr>
                <w:sz w:val="21"/>
                <w:szCs w:val="21"/>
              </w:rPr>
              <w:t xml:space="preserve">2. Group-trip preference reconciliation (Section 5.6) — durable. Unbuilt by every player reviewed, Indian or global, dedicated or incumbent.</w:t>
            </w:r>
          </w:p>
          <w:p>
            <w:pPr>
              <w:spacing w:after="40"/>
            </w:pPr>
            <w:r>
              <w:rPr>
                <w:sz w:val="21"/>
                <w:szCs w:val="21"/>
              </w:rPr>
              <w:t xml:space="preserve">3. True multi-vendor one-click checkout (Section 6) — moderately durable. A real head start (12–18 months), but closable by a motivated incumbent; should be pursued, but not relied upon as a permanent moat.</w:t>
            </w:r>
          </w:p>
          <w:p>
            <w:pPr>
              <w:spacing w:after="40"/>
            </w:pPr>
            <w:r>
              <w:rPr>
                <w:sz w:val="21"/>
                <w:szCs w:val="21"/>
              </w:rPr>
              <w:t xml:space="preserve">4. Conversational, persona-aware AI booking — no longer differentiating. This is now the table-stakes bar this product must clear, set by Myra and TARA, not a feature that earns attention on its own.</w:t>
            </w:r>
          </w:p>
        </w:tc>
      </w:tr>
    </w:tbl>
    <w:p>
      <w:pPr>
        <w:spacing w:after="160" w:line="276"/>
      </w:pPr>
      <w:r>
        <w:t xml:space="preserve">This reordering has a direct implication for build sequencing (compare to Section 7.3): the grounding and verification layer should not be treated as a polish item added after the core planning engine works. It is now the load-bearing differentiator and should be designed in from the first prototype, even if it is not the first thing demoed.</w:t>
      </w:r>
    </w:p>
    <w:p>
      <w:r>
        <w:br w:type="page"/>
      </w:r>
    </w:p>
    <w:p>
      <w:pPr>
        <w:pStyle w:val="Heading1"/>
      </w:pPr>
      <w:r>
        <w:t xml:space="preserve">11. Founding Roadmap &amp; Team Plan</w:t>
      </w:r>
    </w:p>
    <w:p>
      <w:pPr>
        <w:spacing w:after="160" w:line="276"/>
      </w:pPr>
      <w:r>
        <w:t xml:space="preserve">This section adds a time dimension to everything established above: the concrete sequence of work from vendor NDA signature through public launch readiness, and the hiring plan that supports it. It operationalizes the hybrid vendor strategy detailed in the companion Legal Approach document — launching quickly on a licensed vendor system while deliberately building the grounding/verification layer (Section 5.8) and the proprietary data asset needed for an eventual in-house persona model, on our own benchmark-triggered timeline rather than the vendor's.</w:t>
      </w:r>
    </w:p>
    <w:p>
      <w:pPr>
        <w:pStyle w:val="Heading2"/>
      </w:pPr>
      <w:r>
        <w:t xml:space="preserve">11.1 The Roadmap, Visually</w:t>
      </w:r>
    </w:p>
    <w:p>
      <w:pPr>
        <w:spacing w:after="120" w:before="120"/>
        <w:jc w:val="center"/>
      </w:pPr>
      <w:r>
        <w:drawing>
          <wp:inline distT="0" distB="0" distL="0" distR="0">
            <wp:extent cx="5715000" cy="1323975"/>
            <wp:effectExtent t="0" r="0" b="0" l="0"/>
            <wp:docPr id="1" name="roadmap-gantt.png" descr="roadmap-gantt.png" title="roadmap-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323975"/>
                    </a:xfrm>
                    <a:prstGeom prst="rect">
                      <a:avLst/>
                    </a:prstGeom>
                  </pic:spPr>
                </pic:pic>
              </a:graphicData>
            </a:graphic>
          </wp:inline>
        </w:drawing>
      </w:r>
    </w:p>
    <w:p>
      <w:pPr>
        <w:spacing w:after="200"/>
        <w:jc w:val="center"/>
      </w:pPr>
      <w:r>
        <w:rPr>
          <w:i/>
          <w:iCs/>
          <w:color w:val="595959"/>
          <w:sz w:val="20"/>
          <w:szCs w:val="20"/>
        </w:rPr>
        <w:t xml:space="preserve">Figure — Founding roadmap, NDA signature through public launch go/no-go</w:t>
      </w:r>
    </w:p>
    <w:p>
      <w:pPr>
        <w:spacing w:after="160" w:line="276"/>
      </w:pPr>
      <w:r>
        <w:t xml:space="preserve">Phases overlap deliberately and are not a strict waterfall. Phase 1 (vendor integration) and Phase 2 (grounding-layer build) run concurrently, because the grounding layer does not depend on vendor data volume to begin — only on having a working itinerary output to check against. This concurrency is what keeps the roughly six-month window to launch readiness realistic rather than aspirational.</w:t>
      </w:r>
    </w:p>
    <w:p>
      <w:pPr>
        <w:pStyle w:val="Heading2"/>
      </w:pPr>
      <w:r>
        <w:t xml:space="preserve">11.2 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060"/>
      </w:tblGrid>
      <w:tr>
        <w:trPr>
          <w:tblHeader/>
        </w:trPr>
        <w:tc>
          <w:tcPr>
            <w:tcW w:type="dxa" w:w="27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Phase</w:t>
            </w:r>
          </w:p>
        </w:tc>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Window</w:t>
            </w:r>
          </w:p>
        </w:tc>
        <w:tc>
          <w:tcPr>
            <w:tcW w:type="dxa" w:w="50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Core Deliverable</w:t>
            </w:r>
          </w:p>
        </w:tc>
      </w:tr>
      <w:tr>
        <w:tc>
          <w:tcPr>
            <w:tcW w:type="dxa" w:w="2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Phase 0 — Foundations</w:t>
            </w:r>
          </w:p>
        </w:tc>
        <w:tc>
          <w:tcPr>
            <w:tcW w:type="dxa" w:w="1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Weeks 0–6</w:t>
            </w:r>
          </w:p>
        </w:tc>
        <w:tc>
          <w:tcPr>
            <w:tcW w:type="dxa" w:w="50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Vendor contract closed; entity and data residency confirmed per the Legal Approach document; our own data warehouse schema live before any vendor traffic flows.</w:t>
            </w:r>
          </w:p>
        </w:tc>
      </w:tr>
      <w:tr>
        <w:tc>
          <w:tcPr>
            <w:tcW w:type="dxa" w:w="27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Phase 1 — Vendor Integration</w:t>
            </w:r>
          </w:p>
        </w:tc>
        <w:tc>
          <w:tcPr>
            <w:tcW w:type="dxa" w:w="1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Weeks 4–12</w:t>
            </w:r>
          </w:p>
        </w:tc>
        <w:tc>
          <w:tcPr>
            <w:tcW w:type="dxa" w:w="50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Vendor called only from behind our own Persona Service interface (Section 7); full input/output/outcome logging from the first session.</w:t>
            </w:r>
          </w:p>
        </w:tc>
      </w:tr>
      <w:tr>
        <w:tc>
          <w:tcPr>
            <w:tcW w:type="dxa" w:w="2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Phase 2 — Grounding Layer Build</w:t>
            </w:r>
          </w:p>
        </w:tc>
        <w:tc>
          <w:tcPr>
            <w:tcW w:type="dxa" w:w="1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Weeks 6–16</w:t>
            </w:r>
          </w:p>
        </w:tc>
        <w:tc>
          <w:tcPr>
            <w:tcW w:type="dxa" w:w="50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POI ingestion, NLI entailment and feasibility checks, confidence scoring (Section 5.8) — our first genuinely proprietary system, built in parallel with Phase 1.</w:t>
            </w:r>
          </w:p>
        </w:tc>
      </w:tr>
      <w:tr>
        <w:tc>
          <w:tcPr>
            <w:tcW w:type="dxa" w:w="27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Phase 3 — MVP Build-Out</w:t>
            </w:r>
          </w:p>
        </w:tc>
        <w:tc>
          <w:tcPr>
            <w:tcW w:type="dxa" w:w="1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Weeks 10–20</w:t>
            </w:r>
          </w:p>
        </w:tc>
        <w:tc>
          <w:tcPr>
            <w:tcW w:type="dxa" w:w="50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Tier 1 feature parity (Section 8), mobile front-end, and a closed beta cohort recruited specifically to generate outcome-linked data.</w:t>
            </w:r>
          </w:p>
        </w:tc>
      </w:tr>
      <w:tr>
        <w:tc>
          <w:tcPr>
            <w:tcW w:type="dxa" w:w="2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Phase 4 — Launch Readiness</w:t>
            </w:r>
          </w:p>
        </w:tc>
        <w:tc>
          <w:tcPr>
            <w:tcW w:type="dxa" w:w="1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Weeks 16–24</w:t>
            </w:r>
          </w:p>
        </w:tc>
        <w:tc>
          <w:tcPr>
            <w:tcW w:type="dxa" w:w="50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Tier 1 completeness, first benchmark snapshot of accumulated data and grounding-layer accuracy, go/no-go on public launch timing against the India incumbent landscape (Section 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60"/>
              <w:left w:type="dxa" w:w="200"/>
              <w:bottom w:type="dxa" w:w="160"/>
              <w:right w:type="dxa" w:w="200"/>
            </w:tcMar>
          </w:tcPr>
          <w:p>
            <w:pPr>
              <w:spacing w:after="80"/>
            </w:pPr>
            <w:r>
              <w:rPr>
                <w:b/>
                <w:bCs/>
                <w:color w:val="1F3864"/>
              </w:rPr>
              <w:t xml:space="preserve">What deliberately is not on this roadmap</w:t>
            </w:r>
          </w:p>
          <w:p>
            <w:pPr>
              <w:spacing w:after="40"/>
            </w:pPr>
            <w:r>
              <w:rPr>
                <w:sz w:val="21"/>
                <w:szCs w:val="21"/>
              </w:rPr>
              <w:t xml:space="preserve">There is no Phase 5 migration deadline. Consistent with the hybrid-strategy principle established earlier in this research, the cutover from vendor-provided to in-house persona modeling is benchmark-triggered, not calendar-triggered — it begins once outcome data reaches a volume worth testing, and only proceeds if an in-house v1 model is validated head-to-head against the live vendor system on held-out data. Forcing a calendar date here would risk shipping a worse product purely to prove independence.</w:t>
            </w:r>
          </w:p>
        </w:tc>
      </w:tr>
    </w:tbl>
    <w:p>
      <w:r>
        <w:br w:type="page"/>
      </w:r>
    </w:p>
    <w:p>
      <w:pPr>
        <w:pStyle w:val="Heading2"/>
      </w:pPr>
      <w:r>
        <w:t xml:space="preserve">11.3 Hiring Plan — First Six Months</w:t>
      </w:r>
    </w:p>
    <w:p>
      <w:pPr>
        <w:spacing w:after="160" w:line="276"/>
      </w:pPr>
      <w:r>
        <w:t xml:space="preserve">Roles below are sequenced by the failure mode each hire prevents, not by conventional org-chart order, and each hire is timed to land just ahead of the roadmap phase that needs it rather than stockpiled early or deferred late.</w:t>
      </w:r>
    </w:p>
    <w:p>
      <w:pPr>
        <w:spacing w:after="160" w:line="276"/>
      </w:pPr>
      <w:r>
        <w:t xml:space="preserve">A specific hiring mistake is worth naming because it is the most common failure pattern at this stage: combining vendor-integration engineering, data infrastructure, and model evaluation into a single “AI engineer” hire. These are genuinely distinct skill sets — a strong integration engineer is not automatically a strong data-pipeline engineer, and neither is automatically equipped to design the evaluation framework that tells us whether the grounding layer is actually working. Keeping these separate, even at small scale, is what prevents the common failure pattern of demos that work but production that breaks, or infrastructure that is stable but features that are not measurably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50"/>
        <w:gridCol w:w="5210"/>
      </w:tblGrid>
      <w:tr>
        <w:trPr>
          <w:tblHeader/>
        </w:trPr>
        <w:tc>
          <w:tcPr>
            <w:tcW w:type="dxa" w:w="1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Timing</w:t>
            </w:r>
          </w:p>
        </w:tc>
        <w:tc>
          <w:tcPr>
            <w:tcW w:type="dxa" w:w="27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Role</w:t>
            </w:r>
          </w:p>
        </w:tc>
        <w:tc>
          <w:tcPr>
            <w:tcW w:type="dxa" w:w="521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Why This Role, Why Now</w:t>
            </w:r>
          </w:p>
        </w:tc>
      </w:tr>
      <w:tr>
        <w:tc>
          <w:tcPr>
            <w:tcW w:type="dxa" w:w="1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Month 1</w:t>
            </w:r>
          </w:p>
        </w:tc>
        <w:tc>
          <w:tcPr>
            <w:tcW w:type="dxa" w:w="27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Founding / Lead Backend Engineer</w:t>
            </w:r>
          </w:p>
        </w:tc>
        <w:tc>
          <w:tcPr>
            <w:tcW w:type="dxa" w:w="52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Owns the abstraction layer (the Persona Service interface from Section 7) from day one. This is the single most consequential early hire: teams that build a real interface boundary around a vendor switch in days if they ever need to; teams that hard-code vendor-specific logic into the product take weeks to migrate cleanly. This role exists specifically to keep us in the first category.</w:t>
            </w:r>
          </w:p>
        </w:tc>
      </w:tr>
      <w:tr>
        <w:tc>
          <w:tcPr>
            <w:tcW w:type="dxa" w:w="1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Month 1–2</w:t>
            </w:r>
          </w:p>
        </w:tc>
        <w:tc>
          <w:tcPr>
            <w:tcW w:type="dxa" w:w="27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Fractional Data Protection / Compliance Advisor</w:t>
            </w:r>
          </w:p>
        </w:tc>
        <w:tc>
          <w:tcPr>
            <w:tcW w:type="dxa" w:w="52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Advisory, not full-time at this stage. Needs working knowledge of both India's DPDP Act and the UAE's PDPL/DIFC/ADGM landscape, per the Legal Approach document. Engaged early enough to shape the data warehouse schema and vendor DPA terms before they are locked in, not after.</w:t>
            </w:r>
          </w:p>
        </w:tc>
      </w:tr>
      <w:tr>
        <w:tc>
          <w:tcPr>
            <w:tcW w:type="dxa" w:w="1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Month 2–3</w:t>
            </w:r>
          </w:p>
        </w:tc>
        <w:tc>
          <w:tcPr>
            <w:tcW w:type="dxa" w:w="27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ML / Applied AI Engineer</w:t>
            </w:r>
          </w:p>
        </w:tc>
        <w:tc>
          <w:tcPr>
            <w:tcW w:type="dxa" w:w="52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Owns the vendor integration itself and the evaluation framework that measures itinerary quality independently of the vendor's own reporting. An integration-and-evaluation profile, not a research-modeling profile — research-oriented hires are commonly over-indexed at this stage, before there is enough proprietary data to justify deep modeling work.</w:t>
            </w:r>
          </w:p>
        </w:tc>
      </w:tr>
      <w:tr>
        <w:tc>
          <w:tcPr>
            <w:tcW w:type="dxa" w:w="1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Month 2–3</w:t>
            </w:r>
          </w:p>
        </w:tc>
        <w:tc>
          <w:tcPr>
            <w:tcW w:type="dxa" w:w="27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Data Engineer</w:t>
            </w:r>
          </w:p>
        </w:tc>
        <w:tc>
          <w:tcPr>
            <w:tcW w:type="dxa" w:w="52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Owns the data warehouse, the outcome-data capture pipeline, and the POI ingestion pipeline feeding the grounding layer. Deliberately a separate hire from the ML engineer above — this is closer to production data infrastructure than to modeling, and the two skill sets rarely live well in one person at this stage.</w:t>
            </w:r>
          </w:p>
        </w:tc>
      </w:tr>
      <w:tr>
        <w:tc>
          <w:tcPr>
            <w:tcW w:type="dxa" w:w="1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Month 3–4</w:t>
            </w:r>
          </w:p>
        </w:tc>
        <w:tc>
          <w:tcPr>
            <w:tcW w:type="dxa" w:w="27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Product Designer</w:t>
            </w:r>
          </w:p>
        </w:tc>
        <w:tc>
          <w:tcPr>
            <w:tcW w:type="dxa" w:w="52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Brings the persona → itinerary → booking flow to a real, testable interface ahead of closed beta. Should be involved early enough to shape how confidence scores and grounding uncertainty are surfaced to users — a design problem, not just an engineering one, per the “flag uncertainty rather than fail silently” principle from Section 5.8.</w:t>
            </w:r>
          </w:p>
        </w:tc>
      </w:tr>
      <w:tr>
        <w:tc>
          <w:tcPr>
            <w:tcW w:type="dxa" w:w="1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Month 3–4</w:t>
            </w:r>
          </w:p>
        </w:tc>
        <w:tc>
          <w:tcPr>
            <w:tcW w:type="dxa" w:w="27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Mobile / Frontend Engineer</w:t>
            </w:r>
          </w:p>
        </w:tc>
        <w:tc>
          <w:tcPr>
            <w:tcW w:type="dxa" w:w="52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Builds the conversational-first client experience. Timed to land alongside the Product Designer so the two iterate together through the closed beta build, not a handoff from a finished spec.</w:t>
            </w:r>
          </w:p>
        </w:tc>
      </w:tr>
      <w:tr>
        <w:tc>
          <w:tcPr>
            <w:tcW w:type="dxa" w:w="1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Month 4–5</w:t>
            </w:r>
          </w:p>
        </w:tc>
        <w:tc>
          <w:tcPr>
            <w:tcW w:type="dxa" w:w="27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Founding Ops / Support Lead</w:t>
            </w:r>
          </w:p>
        </w:tc>
        <w:tc>
          <w:tcPr>
            <w:tcW w:type="dxa" w:w="52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Owns the human-escalation runbook for the booking saga (Section 6.4) — needed before any real user payment moves through the system, not after the first incident.</w:t>
            </w:r>
          </w:p>
        </w:tc>
      </w:tr>
      <w:tr>
        <w:tc>
          <w:tcPr>
            <w:tcW w:type="dxa" w:w="1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Month 5–6</w:t>
            </w:r>
          </w:p>
        </w:tc>
        <w:tc>
          <w:tcPr>
            <w:tcW w:type="dxa" w:w="275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Growth / Marketing Lead</w:t>
            </w:r>
          </w:p>
        </w:tc>
        <w:tc>
          <w:tcPr>
            <w:tcW w:type="dxa" w:w="521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sz w:val="20"/>
                <w:szCs w:val="20"/>
              </w:rPr>
              <w:t xml:space="preserve">Prepares the go-to-market motion ahead of the Phase 4 go/no-go decision, with enough runway for a real launch plan rather than one improvised at the moment the product is ready.</w:t>
            </w:r>
          </w:p>
        </w:tc>
      </w:tr>
      <w:tr>
        <w:tc>
          <w:tcPr>
            <w:tcW w:type="dxa" w:w="1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Month 5–6</w:t>
            </w:r>
          </w:p>
        </w:tc>
        <w:tc>
          <w:tcPr>
            <w:tcW w:type="dxa" w:w="27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Additional Backend Engineer</w:t>
            </w:r>
          </w:p>
        </w:tc>
        <w:tc>
          <w:tcPr>
            <w:tcW w:type="dxa" w:w="521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tcPr>
          <w:p>
            <w:r>
              <w:rPr>
                <w:sz w:val="20"/>
                <w:szCs w:val="20"/>
              </w:rPr>
              <w:t xml:space="preserve">De-risks scale readiness ahead of public launch — timed deliberately late, once the core architecture from Month 1 has proven out, rather than adding headcount before the system's shape is settled.</w:t>
            </w:r>
          </w:p>
        </w:tc>
      </w:tr>
    </w:tbl>
    <w:p>
      <w:pPr>
        <w:pStyle w:val="Heading2"/>
      </w:pPr>
      <w:r>
        <w:t xml:space="preserve">11.4 What This Team Does Not Include, On Purpose</w:t>
      </w:r>
    </w:p>
    <w:p>
      <w:pPr>
        <w:pStyle w:val="ListParagraph"/>
        <w:numPr>
          <w:ilvl w:val="0"/>
          <w:numId w:val="2"/>
        </w:numPr>
        <w:spacing w:after="100" w:line="276"/>
      </w:pPr>
      <w:r>
        <w:t xml:space="preserve">No dedicated research scientist or deep modeling hire in the first six months. This is rarely justified as a first AI hire unless proprietary modeling is already the core differentiator on day one — for us, the vendor supplies that capability initially, and in-house modeling begins only once there is enough outcome data to make it worthwhile, consistent with the benchmark-triggered approach in Section 11.1 rather than a calendar-triggered one.</w:t>
      </w:r>
    </w:p>
    <w:p>
      <w:pPr>
        <w:pStyle w:val="ListParagraph"/>
        <w:numPr>
          <w:ilvl w:val="0"/>
          <w:numId w:val="2"/>
        </w:numPr>
        <w:spacing w:after="100" w:line="276"/>
      </w:pPr>
      <w:r>
        <w:t xml:space="preserve">No dedicated MLOps/infrastructure specialist yet. At this scale, the ML/Applied AI Engineer and Data Engineer roles cover the necessary pipeline, monitoring, and deployment needs between them. This role becomes worth separating out once in-house model work actually begins in earnest, post-launch.</w:t>
      </w:r>
    </w:p>
    <w:p>
      <w:pPr>
        <w:pStyle w:val="ListParagraph"/>
        <w:numPr>
          <w:ilvl w:val="0"/>
          <w:numId w:val="2"/>
        </w:numPr>
        <w:spacing w:after="100" w:line="276"/>
      </w:pPr>
      <w:r>
        <w:t xml:space="preserve">No large support or operations team. One founding Ops/Support lead is sufficient through closed beta and early launch; this scales only once real usage volume justifies it.</w:t>
      </w:r>
    </w:p>
    <w:p>
      <w:r>
        <w:br w:type="page"/>
      </w:r>
    </w:p>
    <w:p>
      <w:pPr>
        <w:pStyle w:val="Heading1"/>
      </w:pPr>
      <w:r>
        <w:t xml:space="preserve">12. Summary &amp; Suggested Next Steps</w:t>
      </w:r>
    </w:p>
    <w:p>
      <w:pPr>
        <w:pStyle w:val="Heading2"/>
      </w:pPr>
      <w:r>
        <w:t xml:space="preserve">12.1 Decisions Made in This Document</w:t>
      </w:r>
    </w:p>
    <w:p>
      <w:pPr>
        <w:pStyle w:val="ListParagraph"/>
        <w:numPr>
          <w:ilvl w:val="0"/>
          <w:numId w:val="3"/>
        </w:numPr>
        <w:spacing w:after="100" w:line="276"/>
      </w:pPr>
      <w:r>
        <w:t xml:space="preserve">Booking model: agentic-via-partners, not a handoff layer or a full aggregator.</w:t>
      </w:r>
    </w:p>
    <w:p>
      <w:pPr>
        <w:pStyle w:val="ListParagraph"/>
        <w:numPr>
          <w:ilvl w:val="0"/>
          <w:numId w:val="3"/>
        </w:numPr>
        <w:spacing w:after="100" w:line="276"/>
      </w:pPr>
      <w:r>
        <w:t xml:space="preserve">Geography: India first, then broader Asia, leveraging India's 2026-era agentic UPI payment infrastructure as a genuine head start rather than designing around a constraint.</w:t>
      </w:r>
    </w:p>
    <w:p>
      <w:pPr>
        <w:pStyle w:val="ListParagraph"/>
        <w:numPr>
          <w:ilvl w:val="0"/>
          <w:numId w:val="3"/>
        </w:numPr>
        <w:spacing w:after="100" w:line="276"/>
      </w:pPr>
      <w:r>
        <w:t xml:space="preserve">Competitive positioning (revised): lead with verified itinerary accuracy and group-trip consensus, not conversational AI booking or checkout convenience alone — both of the latter are now matched or closable by incumbents within 12–18 months.</w:t>
      </w:r>
    </w:p>
    <w:p>
      <w:pPr>
        <w:pStyle w:val="ListParagraph"/>
        <w:numPr>
          <w:ilvl w:val="0"/>
          <w:numId w:val="3"/>
        </w:numPr>
        <w:spacing w:after="100" w:line="276"/>
      </w:pPr>
      <w:r>
        <w:t xml:space="preserve">AI architecture: a four-layer system — LLM for understanding/conversation, retrieval for candidate narrowing, constraint-solver for logistics, and a dedicated grounding/verification stage (Section 5.8) — not a single large prompt, and not retrieval alone.</w:t>
      </w:r>
    </w:p>
    <w:p>
      <w:pPr>
        <w:pStyle w:val="ListParagraph"/>
        <w:numPr>
          <w:ilvl w:val="0"/>
          <w:numId w:val="3"/>
        </w:numPr>
        <w:spacing w:after="100" w:line="276"/>
      </w:pPr>
      <w:r>
        <w:t xml:space="preserve">Checkout architecture: an orchestrated Saga pattern with compensating actions, idempotency, and a human escalation runbook, built on a workflow engine rather than hand-rolled.</w:t>
      </w:r>
    </w:p>
    <w:p>
      <w:pPr>
        <w:pStyle w:val="ListParagraph"/>
        <w:numPr>
          <w:ilvl w:val="0"/>
          <w:numId w:val="3"/>
        </w:numPr>
        <w:spacing w:after="100" w:line="276"/>
      </w:pPr>
      <w:r>
        <w:t xml:space="preserve">Monetization: commission at launch, with a deliberate path toward fintech ancillaries and eventual B2B licensing of the AI engine itself — not a commission-only model.</w:t>
      </w:r>
    </w:p>
    <w:p>
      <w:pPr>
        <w:pStyle w:val="ListParagraph"/>
        <w:numPr>
          <w:ilvl w:val="0"/>
          <w:numId w:val="3"/>
        </w:numPr>
        <w:spacing w:after="100" w:line="276"/>
      </w:pPr>
      <w:r>
        <w:t xml:space="preserve">Build strategy: a hybrid vendor approach — license a vendor's existing persona/itinerary system to reach market quickly, while architecting it behind our own abstraction layer from day one and building the grounding/verification layer in-house in parallel, with an eventual in-house persona model triggered by data-volume benchmarks rather than a fixed calendar date (Section 11).</w:t>
      </w:r>
    </w:p>
    <w:p>
      <w:pPr>
        <w:pStyle w:val="Heading2"/>
      </w:pPr>
      <w:r>
        <w:t xml:space="preserve">12.2 Open Threads Flagged for Future Dedicated R&amp;D</w:t>
      </w:r>
    </w:p>
    <w:p>
      <w:pPr>
        <w:pStyle w:val="ListParagraph"/>
        <w:numPr>
          <w:ilvl w:val="0"/>
          <w:numId w:val="2"/>
        </w:numPr>
        <w:spacing w:after="100" w:line="276"/>
      </w:pPr>
      <w:r>
        <w:t xml:space="preserve">DPDP Act and broader data-protection compliance review for the persona engine specifically, before it reaches production scale — see the companion Legal Approach document for the India/UAE cross-border analysis.</w:t>
      </w:r>
    </w:p>
    <w:p>
      <w:pPr>
        <w:pStyle w:val="ListParagraph"/>
        <w:numPr>
          <w:ilvl w:val="0"/>
          <w:numId w:val="2"/>
        </w:numPr>
        <w:spacing w:after="100" w:line="276"/>
      </w:pPr>
      <w:r>
        <w:t xml:space="preserve">Liability allocation and regulatory clarity for autonomous-agent UPI transactions, which remains unsettled as of mid-2026.</w:t>
      </w:r>
    </w:p>
    <w:p>
      <w:pPr>
        <w:pStyle w:val="ListParagraph"/>
        <w:numPr>
          <w:ilvl w:val="0"/>
          <w:numId w:val="2"/>
        </w:numPr>
        <w:spacing w:after="100" w:line="276"/>
      </w:pPr>
      <w:r>
        <w:t xml:space="preserve">Southeast Asia payment-rail equivalents (e.g. GrabPay/PayNow-style infrastructure) ahead of expansion beyond India.</w:t>
      </w:r>
    </w:p>
    <w:p>
      <w:pPr>
        <w:pStyle w:val="ListParagraph"/>
        <w:numPr>
          <w:ilvl w:val="0"/>
          <w:numId w:val="2"/>
        </w:numPr>
        <w:spacing w:after="100" w:line="276"/>
      </w:pPr>
      <w:r>
        <w:t xml:space="preserve">Detailed group-trip consensus algorithm design — flagged here as a differentiator but not yet specified at an implementation level.</w:t>
      </w:r>
    </w:p>
    <w:p>
      <w:pPr>
        <w:pStyle w:val="ListParagraph"/>
        <w:numPr>
          <w:ilvl w:val="0"/>
          <w:numId w:val="2"/>
        </w:numPr>
        <w:spacing w:after="100" w:line="276"/>
      </w:pPr>
      <w:r>
        <w:t xml:space="preserve">Commercial/legal terms for India-specific POI and dining data sources (Zomato/Swiggy-class aggregators) needed by the grounding layer — several require enterprise licensing or partnership agreements rather than open API access, and should be scoped early given the lead time such agreements typically require.</w:t>
      </w:r>
    </w:p>
    <w:p>
      <w:pPr>
        <w:pStyle w:val="ListParagraph"/>
        <w:numPr>
          <w:ilvl w:val="0"/>
          <w:numId w:val="2"/>
        </w:numPr>
        <w:spacing w:after="100" w:line="276"/>
      </w:pPr>
      <w:r>
        <w:t xml:space="preserve">The benchmark trigger itself (Section 11.1) — the specific outcome-data volume and accuracy threshold that should prompt a first in-house model attempt — is intentionally left undefined here and should be set once early usage data gives a realistic sense of data density per session.</w:t>
      </w:r>
    </w:p>
    <w:p>
      <w:pPr>
        <w:pStyle w:val="Heading2"/>
      </w:pPr>
      <w:r>
        <w:t xml:space="preserve">12.3 Suggested Immediate Next Steps</w:t>
      </w:r>
    </w:p>
    <w:p>
      <w:pPr>
        <w:pStyle w:val="ListParagraph"/>
        <w:numPr>
          <w:ilvl w:val="0"/>
          <w:numId w:val="3"/>
        </w:numPr>
        <w:spacing w:after="100" w:line="276"/>
      </w:pPr>
      <w:r>
        <w:t xml:space="preserve">Build and stress-test the grounding/verification layer (Section 5.8) early and in isolation — ahead of, not after, the conversational planning UI — since it is now the load-bearing differentiator and the hardest piece to retrofit later.</w:t>
      </w:r>
    </w:p>
    <w:p>
      <w:pPr>
        <w:pStyle w:val="ListParagraph"/>
        <w:numPr>
          <w:ilvl w:val="0"/>
          <w:numId w:val="3"/>
        </w:numPr>
        <w:spacing w:after="100" w:line="276"/>
      </w:pPr>
      <w:r>
        <w:t xml:space="preserve">Validate the full persona/retrieval/planning/verification architecture (Section 5) with a narrow Phase 1 MVP — conversational planning with handoff-style booking — before committing engineering resources to the saga/payment layers.</w:t>
      </w:r>
    </w:p>
    <w:p>
      <w:pPr>
        <w:pStyle w:val="ListParagraph"/>
        <w:numPr>
          <w:ilvl w:val="0"/>
          <w:numId w:val="3"/>
        </w:numPr>
        <w:spacing w:after="100" w:line="276"/>
      </w:pPr>
      <w:r>
        <w:t xml:space="preserve">Begin vendor conversations with TBO, one global GDS (Sabre or Amadeus), and India-specific POI/dining data providers in parallel with MVP build, since integration and licensing lead time is typically longer than the AI-layer build time.</w:t>
      </w:r>
    </w:p>
    <w:p>
      <w:pPr>
        <w:pStyle w:val="ListParagraph"/>
        <w:numPr>
          <w:ilvl w:val="0"/>
          <w:numId w:val="3"/>
        </w:numPr>
        <w:spacing w:after="100" w:line="276"/>
      </w:pPr>
      <w:r>
        <w:t xml:space="preserve">Commission a focused legal/compliance review of UPI agentic-payment liability and DPDP Act implications before any live-money transaction is built, not after.</w:t>
      </w:r>
    </w:p>
    <w:p>
      <w:pPr>
        <w:pStyle w:val="ListParagraph"/>
        <w:numPr>
          <w:ilvl w:val="0"/>
          <w:numId w:val="3"/>
        </w:numPr>
        <w:spacing w:after="100" w:line="276"/>
      </w:pPr>
      <w:r>
        <w:t xml:space="preserve">Begin executing the Phase 0 roadmap (Section 11.2) and the Month 1 hiring plan (Section 11.3) immediately upon vendor NDA signature, starting with the founding backend engineer who owns the abstraction layer.</w:t>
      </w:r>
    </w:p>
    <w:p>
      <w:pPr>
        <w:spacing w:after="200"/>
      </w:pPr>
    </w:p>
    <w:p>
      <w:pPr>
        <w:pBdr>
          <w:top w:val="single" w:color="2E75B6" w:sz="6" w:space="8"/>
        </w:pBdr>
        <w:spacing w:before="400"/>
      </w:pPr>
      <w:r>
        <w:rPr>
          <w:i/>
          <w:iCs/>
          <w:color w:val="808080"/>
          <w:sz w:val="20"/>
          <w:szCs w:val="20"/>
        </w:rPr>
        <w:t xml:space="preserve">End of consolidated R&amp;D brief.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808080"/>
        <w:sz w:val="16"/>
        <w:szCs w:val="16"/>
      </w:rPr>
      <w:t xml:space="preserve">Agentic AI Travel Platform — R&amp;D Brief</w:t>
    </w:r>
    <w:r>
      <w:rPr>
        <w:color w:val="808080"/>
        <w:sz w:val="16"/>
        <w:szCs w:val="16"/>
      </w:rPr>
      <w:t xml:space="preserve">	India &amp; Asia Launch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2edee45a82d20b910bacab83712c4dfd5504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Travel Platform — R&amp;D Founding Brief</dc:title>
  <dc:creator>Claude</dc:creator>
  <cp:lastModifiedBy>Un-named</cp:lastModifiedBy>
  <cp:revision>1</cp:revision>
  <dcterms:created xsi:type="dcterms:W3CDTF">2026-06-29T06:21:33.632Z</dcterms:created>
  <dcterms:modified xsi:type="dcterms:W3CDTF">2026-06-29T06:21:33.644Z</dcterms:modified>
</cp:coreProperties>
</file>

<file path=docProps/custom.xml><?xml version="1.0" encoding="utf-8"?>
<Properties xmlns="http://schemas.openxmlformats.org/officeDocument/2006/custom-properties" xmlns:vt="http://schemas.openxmlformats.org/officeDocument/2006/docPropsVTypes"/>
</file>