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47C4" w:rsidRPr="00A516D0" w:rsidRDefault="00CF47C4" w:rsidP="008B111C">
      <w:pPr>
        <w:spacing w:after="0" w:line="240" w:lineRule="auto"/>
        <w:ind w:left="-284"/>
        <w:jc w:val="both"/>
        <w:rPr>
          <w:rFonts w:ascii="Times New Roman"/>
          <w:sz w:val="20"/>
          <w:szCs w:val="20"/>
        </w:rPr>
      </w:pPr>
    </w:p>
    <w:p w:rsidR="00CF47C4" w:rsidRDefault="008A59CA" w:rsidP="008A59CA">
      <w:pPr>
        <w:pStyle w:val="Heading1"/>
        <w:rPr>
          <w:b/>
          <w:sz w:val="36"/>
          <w:szCs w:val="36"/>
        </w:rPr>
      </w:pPr>
      <w:r w:rsidRPr="008A59CA">
        <w:rPr>
          <w:b/>
          <w:sz w:val="36"/>
          <w:szCs w:val="36"/>
        </w:rPr>
        <w:t>World Electricity Analysis: Trends, Challenges, and Future Prospects</w:t>
      </w:r>
    </w:p>
    <w:p w:rsidR="008A59CA" w:rsidRPr="008A59CA" w:rsidRDefault="008A59CA" w:rsidP="008A59CA">
      <w:pPr>
        <w:pStyle w:val="NoSpacing"/>
        <w:spacing w:before="120"/>
        <w:jc w:val="center"/>
        <w:rPr>
          <w:sz w:val="24"/>
          <w:szCs w:val="24"/>
        </w:rPr>
      </w:pPr>
      <w:r w:rsidRPr="008A59CA">
        <w:rPr>
          <w:sz w:val="24"/>
          <w:szCs w:val="24"/>
        </w:rPr>
        <w:t>Shweta Shukla</w:t>
      </w:r>
      <w:r w:rsidRPr="008A59CA">
        <w:rPr>
          <w:sz w:val="24"/>
          <w:szCs w:val="24"/>
          <w:vertAlign w:val="superscript"/>
        </w:rPr>
        <w:t>1</w:t>
      </w:r>
      <w:r w:rsidRPr="008A59CA">
        <w:rPr>
          <w:sz w:val="24"/>
          <w:szCs w:val="24"/>
        </w:rPr>
        <w:t xml:space="preserve">, </w:t>
      </w:r>
      <w:r w:rsidR="006239A6" w:rsidRPr="008A59CA">
        <w:rPr>
          <w:sz w:val="24"/>
          <w:szCs w:val="24"/>
        </w:rPr>
        <w:t>Noorul Islam</w:t>
      </w:r>
      <w:r w:rsidR="006239A6" w:rsidRPr="008A59CA">
        <w:rPr>
          <w:sz w:val="24"/>
          <w:szCs w:val="24"/>
          <w:vertAlign w:val="superscript"/>
        </w:rPr>
        <w:t>2</w:t>
      </w:r>
      <w:r w:rsidR="006239A6">
        <w:rPr>
          <w:sz w:val="24"/>
          <w:szCs w:val="24"/>
        </w:rPr>
        <w:t>,</w:t>
      </w:r>
      <w:r w:rsidR="006239A6">
        <w:rPr>
          <w:sz w:val="24"/>
          <w:szCs w:val="24"/>
          <w:vertAlign w:val="superscript"/>
        </w:rPr>
        <w:t xml:space="preserve"> </w:t>
      </w:r>
      <w:r w:rsidRPr="008A59CA">
        <w:rPr>
          <w:sz w:val="24"/>
          <w:szCs w:val="24"/>
        </w:rPr>
        <w:t>Avinash Kumar</w:t>
      </w:r>
      <w:r w:rsidR="006239A6" w:rsidRPr="008A59CA">
        <w:rPr>
          <w:sz w:val="24"/>
          <w:szCs w:val="24"/>
          <w:vertAlign w:val="superscript"/>
        </w:rPr>
        <w:t>3</w:t>
      </w:r>
      <w:r w:rsidRPr="008A59CA">
        <w:rPr>
          <w:sz w:val="24"/>
          <w:szCs w:val="24"/>
        </w:rPr>
        <w:t xml:space="preserve">, </w:t>
      </w:r>
      <w:r w:rsidR="006239A6" w:rsidRPr="008A59CA">
        <w:rPr>
          <w:sz w:val="24"/>
          <w:szCs w:val="24"/>
        </w:rPr>
        <w:t>Vaibhav Yadav</w:t>
      </w:r>
      <w:r w:rsidR="006239A6" w:rsidRPr="008A59CA">
        <w:rPr>
          <w:sz w:val="24"/>
          <w:szCs w:val="24"/>
          <w:vertAlign w:val="superscript"/>
        </w:rPr>
        <w:t>4</w:t>
      </w:r>
      <w:r w:rsidR="006239A6">
        <w:rPr>
          <w:sz w:val="24"/>
          <w:szCs w:val="24"/>
          <w:vertAlign w:val="superscript"/>
        </w:rPr>
        <w:t xml:space="preserve">, </w:t>
      </w:r>
      <w:r w:rsidRPr="008A59CA">
        <w:rPr>
          <w:sz w:val="24"/>
          <w:szCs w:val="24"/>
        </w:rPr>
        <w:t>Megha Saraf</w:t>
      </w:r>
      <w:r w:rsidRPr="008A59CA">
        <w:rPr>
          <w:sz w:val="24"/>
          <w:szCs w:val="24"/>
          <w:vertAlign w:val="superscript"/>
        </w:rPr>
        <w:t>5</w:t>
      </w:r>
    </w:p>
    <w:p w:rsidR="008A59CA" w:rsidRPr="008A59CA" w:rsidRDefault="008A59CA" w:rsidP="008A59CA">
      <w:pPr>
        <w:pStyle w:val="NoSpacing"/>
        <w:spacing w:before="120"/>
        <w:jc w:val="center"/>
        <w:rPr>
          <w:i/>
          <w:sz w:val="20"/>
          <w:szCs w:val="20"/>
        </w:rPr>
      </w:pPr>
      <w:r w:rsidRPr="008A59CA">
        <w:rPr>
          <w:i/>
          <w:sz w:val="20"/>
          <w:szCs w:val="20"/>
          <w:vertAlign w:val="superscript"/>
        </w:rPr>
        <w:t>1-5</w:t>
      </w:r>
      <w:r w:rsidRPr="008A59CA">
        <w:rPr>
          <w:i/>
          <w:sz w:val="20"/>
          <w:szCs w:val="20"/>
        </w:rPr>
        <w:t>Department of Electrical Engineering, Meerut Institute of Engineering and Technology, Meerut</w:t>
      </w:r>
      <w:r>
        <w:rPr>
          <w:i/>
          <w:sz w:val="20"/>
          <w:szCs w:val="20"/>
        </w:rPr>
        <w:t>, India</w:t>
      </w:r>
    </w:p>
    <w:p w:rsidR="0046625C" w:rsidRDefault="0046625C" w:rsidP="0046625C">
      <w:pPr>
        <w:spacing w:after="0" w:line="240" w:lineRule="auto"/>
        <w:rPr>
          <w:rFonts w:ascii="Times New Roman"/>
          <w:i/>
          <w:sz w:val="20"/>
          <w:szCs w:val="20"/>
        </w:rPr>
      </w:pPr>
    </w:p>
    <w:tbl>
      <w:tblPr>
        <w:tblStyle w:val="TableGrid"/>
        <w:tblW w:w="10491" w:type="dxa"/>
        <w:tblInd w:w="-431"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20"/>
        <w:gridCol w:w="7371"/>
      </w:tblGrid>
      <w:tr w:rsidR="008B111C" w:rsidTr="00E34DF4">
        <w:tc>
          <w:tcPr>
            <w:tcW w:w="3120" w:type="dxa"/>
          </w:tcPr>
          <w:p w:rsidR="008B111C" w:rsidRDefault="008B111C" w:rsidP="00304615">
            <w:pPr>
              <w:tabs>
                <w:tab w:val="right" w:pos="9360"/>
              </w:tabs>
              <w:spacing w:line="244" w:lineRule="auto"/>
              <w:ind w:right="-8"/>
              <w:rPr>
                <w:rFonts w:ascii="Times New Roman"/>
                <w:i/>
                <w:sz w:val="20"/>
              </w:rPr>
            </w:pPr>
          </w:p>
          <w:p w:rsidR="008A59CA" w:rsidRDefault="008A59CA" w:rsidP="00304615">
            <w:pPr>
              <w:tabs>
                <w:tab w:val="right" w:pos="9360"/>
              </w:tabs>
              <w:spacing w:line="244" w:lineRule="auto"/>
              <w:ind w:right="-8"/>
              <w:rPr>
                <w:rFonts w:ascii="Times New Roman"/>
                <w:i/>
                <w:sz w:val="20"/>
              </w:rPr>
            </w:pPr>
          </w:p>
        </w:tc>
        <w:tc>
          <w:tcPr>
            <w:tcW w:w="7371" w:type="dxa"/>
          </w:tcPr>
          <w:p w:rsidR="001C1E45" w:rsidRDefault="001C1E45" w:rsidP="008A59CA">
            <w:pPr>
              <w:spacing w:before="100" w:beforeAutospacing="1" w:after="100" w:afterAutospacing="1"/>
              <w:jc w:val="both"/>
              <w:rPr>
                <w:b/>
                <w:i/>
              </w:rPr>
            </w:pPr>
          </w:p>
          <w:p w:rsidR="008B111C" w:rsidRPr="008B111C" w:rsidRDefault="008B111C" w:rsidP="008A59CA">
            <w:pPr>
              <w:spacing w:before="100" w:beforeAutospacing="1" w:after="100" w:afterAutospacing="1"/>
              <w:jc w:val="both"/>
              <w:rPr>
                <w:b/>
                <w:bCs/>
                <w:i/>
              </w:rPr>
            </w:pPr>
            <w:r w:rsidRPr="008B111C">
              <w:rPr>
                <w:b/>
                <w:i/>
              </w:rPr>
              <w:t xml:space="preserve">Abstract: </w:t>
            </w:r>
            <w:bookmarkStart w:id="0" w:name="_GoBack"/>
            <w:r w:rsidR="008A59CA" w:rsidRPr="008A59CA">
              <w:rPr>
                <w:rFonts w:ascii="Times New Roman"/>
                <w:b/>
                <w:i/>
                <w:sz w:val="18"/>
                <w:szCs w:val="18"/>
              </w:rPr>
              <w:t>Electricity is a fundamental driver of economic growth, technological advancement, and societal progress. Understanding electricity generation, consumption, and losses on a global scale is crucial for improving energy efficiency, promoting sustainability, and forecasting future trends. This paper presents a comprehensive analysis of global electricity generation, distribution, and consumption patterns using diverse datasets. The study covers various aspects, including electricity production from renewable and non-renewable sources, energy losses during transmission and distribution, urban-rural electricity accessibility, and emerging global energy trends. The findings underscore significant disparities in electricity access, the gradual but essential transition toward renewable energy, and the persistent challenges in achieving global energy sustainability.</w:t>
            </w:r>
          </w:p>
          <w:bookmarkEnd w:id="0"/>
          <w:p w:rsidR="008A59CA" w:rsidRDefault="008B111C" w:rsidP="008A59CA">
            <w:pPr>
              <w:pStyle w:val="NormalWeb"/>
              <w:spacing w:before="0" w:beforeAutospacing="0" w:after="0" w:afterAutospacing="0"/>
              <w:rPr>
                <w:rStyle w:val="Strong"/>
                <w:i/>
                <w:sz w:val="18"/>
                <w:szCs w:val="18"/>
              </w:rPr>
            </w:pPr>
            <w:r w:rsidRPr="008B111C">
              <w:rPr>
                <w:b/>
                <w:bCs/>
                <w:i/>
              </w:rPr>
              <w:t>Key Word</w:t>
            </w:r>
            <w:r w:rsidRPr="008B111C">
              <w:rPr>
                <w:i/>
              </w:rPr>
              <w:t>:</w:t>
            </w:r>
            <w:r w:rsidRPr="008B111C">
              <w:rPr>
                <w:b/>
                <w:i/>
                <w:color w:val="FF0000"/>
                <w:lang w:val="fr-FR"/>
              </w:rPr>
              <w:t xml:space="preserve"> </w:t>
            </w:r>
            <w:r w:rsidR="008A59CA" w:rsidRPr="008A59CA">
              <w:rPr>
                <w:rStyle w:val="Strong"/>
                <w:i/>
                <w:sz w:val="18"/>
                <w:szCs w:val="18"/>
              </w:rPr>
              <w:t>Electricity Generation, Renewable Energy, Power Consumption, Energy Losses, Sustainability</w:t>
            </w:r>
            <w:r w:rsidR="001C1E45">
              <w:rPr>
                <w:rStyle w:val="Strong"/>
                <w:i/>
                <w:sz w:val="18"/>
                <w:szCs w:val="18"/>
              </w:rPr>
              <w:t>.</w:t>
            </w:r>
          </w:p>
          <w:p w:rsidR="001C1E45" w:rsidRPr="008A59CA" w:rsidRDefault="001C1E45" w:rsidP="008A59CA">
            <w:pPr>
              <w:pStyle w:val="NormalWeb"/>
              <w:spacing w:before="0" w:beforeAutospacing="0" w:after="0" w:afterAutospacing="0"/>
              <w:rPr>
                <w:b/>
                <w:bCs/>
                <w:i/>
                <w:sz w:val="18"/>
                <w:szCs w:val="18"/>
              </w:rPr>
            </w:pPr>
          </w:p>
        </w:tc>
      </w:tr>
    </w:tbl>
    <w:p w:rsidR="008B111C" w:rsidRDefault="008B111C" w:rsidP="0046625C">
      <w:pPr>
        <w:spacing w:after="0" w:line="240" w:lineRule="auto"/>
        <w:rPr>
          <w:rFonts w:ascii="Times New Roman"/>
          <w:i/>
          <w:sz w:val="20"/>
          <w:szCs w:val="20"/>
        </w:rPr>
      </w:pPr>
    </w:p>
    <w:p w:rsidR="007075A9" w:rsidRPr="007075A9" w:rsidRDefault="007075A9" w:rsidP="007075A9">
      <w:pPr>
        <w:spacing w:after="0" w:line="240" w:lineRule="auto"/>
        <w:jc w:val="center"/>
        <w:rPr>
          <w:rFonts w:ascii="Times New Roman"/>
          <w:b/>
          <w:szCs w:val="20"/>
        </w:rPr>
        <w:sectPr w:rsidR="007075A9" w:rsidRPr="007075A9" w:rsidSect="008B111C">
          <w:footerReference w:type="default" r:id="rId8"/>
          <w:headerReference w:type="first" r:id="rId9"/>
          <w:footerReference w:type="first" r:id="rId10"/>
          <w:pgSz w:w="12240" w:h="15840"/>
          <w:pgMar w:top="1122" w:right="1080" w:bottom="1440" w:left="1418" w:header="540" w:footer="824" w:gutter="0"/>
          <w:pgNumType w:start="1"/>
          <w:cols w:space="720"/>
          <w:titlePg/>
        </w:sectPr>
      </w:pPr>
    </w:p>
    <w:p w:rsidR="00D17811" w:rsidRPr="00A516D0" w:rsidRDefault="008A7684" w:rsidP="007F7C27">
      <w:pPr>
        <w:pStyle w:val="ListParagraph"/>
        <w:numPr>
          <w:ilvl w:val="0"/>
          <w:numId w:val="5"/>
        </w:numPr>
        <w:spacing w:after="0" w:line="240" w:lineRule="auto"/>
        <w:ind w:left="360" w:hanging="360"/>
        <w:jc w:val="center"/>
        <w:rPr>
          <w:rFonts w:ascii="Times New Roman"/>
          <w:b/>
          <w:bCs/>
        </w:rPr>
      </w:pPr>
      <w:r w:rsidRPr="00A516D0">
        <w:rPr>
          <w:rFonts w:ascii="Times New Roman"/>
          <w:b/>
          <w:szCs w:val="20"/>
        </w:rPr>
        <w:lastRenderedPageBreak/>
        <w:t>Introduction</w:t>
      </w:r>
    </w:p>
    <w:p w:rsidR="001C1E45" w:rsidRPr="001C1E45" w:rsidRDefault="008A7684" w:rsidP="001C1E45">
      <w:pPr>
        <w:spacing w:after="0"/>
        <w:jc w:val="both"/>
        <w:rPr>
          <w:rFonts w:ascii="Times New Roman"/>
          <w:sz w:val="20"/>
          <w:szCs w:val="20"/>
        </w:rPr>
      </w:pPr>
      <w:r w:rsidRPr="001C1E45">
        <w:rPr>
          <w:rFonts w:ascii="Times New Roman"/>
          <w:sz w:val="20"/>
          <w:szCs w:val="20"/>
        </w:rPr>
        <w:tab/>
      </w:r>
      <w:r w:rsidR="001C1E45" w:rsidRPr="001C1E45">
        <w:rPr>
          <w:rFonts w:ascii="Times New Roman"/>
          <w:sz w:val="20"/>
          <w:szCs w:val="20"/>
        </w:rPr>
        <w:t xml:space="preserve">Electricity plays an essential role in the development and sustainability of modern societies. As a cornerstone of technological advancement, economic growth, and quality of life, its availability and distribution are critical to various sectors, from industrial production to healthcare and education. Over the years, global electricity consumption has surged, driven by rapid urbanization, technological innovations, and the increasing digitalization of economies. According to the International Energy Agency (IEA), global electricity demand is expected to grow by 2.1% per year on average between 2019 and 2040, outpacing overall energy demand </w:t>
      </w:r>
      <w:r w:rsidR="0022092B">
        <w:rPr>
          <w:rFonts w:ascii="Times New Roman"/>
          <w:sz w:val="20"/>
          <w:szCs w:val="20"/>
        </w:rPr>
        <w:t>[1]</w:t>
      </w:r>
      <w:r w:rsidR="001C1E45" w:rsidRPr="001C1E45">
        <w:rPr>
          <w:rFonts w:ascii="Times New Roman"/>
          <w:sz w:val="20"/>
          <w:szCs w:val="20"/>
        </w:rPr>
        <w:t>. This trend highlights both the expanding reliance on electricity and the pressing need for sustainable energy solutions.</w:t>
      </w:r>
    </w:p>
    <w:p w:rsidR="001C1E45" w:rsidRPr="001C1E45" w:rsidRDefault="001C1E45" w:rsidP="0022092B">
      <w:pPr>
        <w:spacing w:before="100" w:beforeAutospacing="1" w:after="100" w:afterAutospacing="1" w:line="240" w:lineRule="auto"/>
        <w:jc w:val="both"/>
        <w:rPr>
          <w:rFonts w:ascii="Times New Roman"/>
          <w:sz w:val="20"/>
          <w:szCs w:val="20"/>
        </w:rPr>
      </w:pPr>
      <w:r w:rsidRPr="001C1E45">
        <w:rPr>
          <w:rFonts w:ascii="Times New Roman"/>
          <w:sz w:val="20"/>
          <w:szCs w:val="20"/>
        </w:rPr>
        <w:t xml:space="preserve">However, the world’s electricity sector faces several challenges that hinder its ability to meet growing demands while reducing environmental impact. Traditional energy sources, such as coal, natural gas, and oil, have dominated electricity generation for decades, contributing to air pollution and climate change. In response to these issues, there has been a global shift toward renewable energy sources, including solar, wind, hydro, and geothermal power, which are seen as vital components in achieving long-term sustainability. According to the IEA (2021), </w:t>
      </w:r>
      <w:r w:rsidR="00A773D3" w:rsidRPr="001C1E45">
        <w:rPr>
          <w:rFonts w:ascii="Times New Roman"/>
          <w:sz w:val="20"/>
          <w:szCs w:val="20"/>
        </w:rPr>
        <w:t>renewable</w:t>
      </w:r>
      <w:r w:rsidRPr="001C1E45">
        <w:rPr>
          <w:rFonts w:ascii="Times New Roman"/>
          <w:sz w:val="20"/>
          <w:szCs w:val="20"/>
        </w:rPr>
        <w:t xml:space="preserve"> now account for almost 29% of global electricity generation, and this share is projected to grow as nations transition to low-carbon economies.</w:t>
      </w:r>
    </w:p>
    <w:p w:rsidR="001C1E45" w:rsidRPr="001C1E45" w:rsidRDefault="001C1E45" w:rsidP="001C1E45">
      <w:pPr>
        <w:spacing w:before="100" w:beforeAutospacing="1" w:after="100" w:afterAutospacing="1" w:line="240" w:lineRule="auto"/>
        <w:jc w:val="both"/>
        <w:rPr>
          <w:rFonts w:ascii="Times New Roman"/>
          <w:sz w:val="20"/>
          <w:szCs w:val="20"/>
        </w:rPr>
      </w:pPr>
      <w:r w:rsidRPr="001C1E45">
        <w:rPr>
          <w:rFonts w:ascii="Times New Roman"/>
          <w:sz w:val="20"/>
          <w:szCs w:val="20"/>
        </w:rPr>
        <w:t xml:space="preserve">Despite the significant advancements in renewable energy technologies, challenges </w:t>
      </w:r>
      <w:r w:rsidR="00A773D3" w:rsidRPr="001C1E45">
        <w:rPr>
          <w:rFonts w:ascii="Times New Roman"/>
          <w:sz w:val="20"/>
          <w:szCs w:val="20"/>
        </w:rPr>
        <w:t>remain</w:t>
      </w:r>
      <w:r w:rsidR="00A773D3">
        <w:rPr>
          <w:rFonts w:ascii="Times New Roman"/>
          <w:sz w:val="20"/>
          <w:szCs w:val="20"/>
        </w:rPr>
        <w:t xml:space="preserve"> [</w:t>
      </w:r>
      <w:r w:rsidR="0022092B">
        <w:rPr>
          <w:rFonts w:ascii="Times New Roman"/>
          <w:sz w:val="20"/>
          <w:szCs w:val="20"/>
        </w:rPr>
        <w:t>3]</w:t>
      </w:r>
      <w:r w:rsidRPr="001C1E45">
        <w:rPr>
          <w:rFonts w:ascii="Times New Roman"/>
          <w:sz w:val="20"/>
          <w:szCs w:val="20"/>
        </w:rPr>
        <w:t>. These include issues related to the intermittency of renewable sources, the need for improved energy storage solutions, and the economic and technical barriers to transitioning away from fossil fuels in some regions</w:t>
      </w:r>
      <w:r w:rsidR="0022092B">
        <w:rPr>
          <w:rFonts w:ascii="Times New Roman"/>
          <w:sz w:val="20"/>
          <w:szCs w:val="20"/>
        </w:rPr>
        <w:t>[4-7]</w:t>
      </w:r>
      <w:r w:rsidRPr="001C1E45">
        <w:rPr>
          <w:rFonts w:ascii="Times New Roman"/>
          <w:sz w:val="20"/>
          <w:szCs w:val="20"/>
        </w:rPr>
        <w:t>. Additionally, the rapid growth in electricity demand, combined with geopolitical uncertainties and infrastructure limitations, further complicates the global electricity landscape</w:t>
      </w:r>
      <w:r w:rsidR="0022092B">
        <w:rPr>
          <w:rFonts w:ascii="Times New Roman"/>
          <w:sz w:val="20"/>
          <w:szCs w:val="20"/>
        </w:rPr>
        <w:t>[8-13]</w:t>
      </w:r>
      <w:r w:rsidRPr="001C1E45">
        <w:rPr>
          <w:rFonts w:ascii="Times New Roman"/>
          <w:sz w:val="20"/>
          <w:szCs w:val="20"/>
        </w:rPr>
        <w:t xml:space="preserve">. As countries strive to balance the need for reliable electricity supply with the imperative of minimizing environmental impacts, understanding the key trends, challenges, and future prospects of global electricity systems becomes </w:t>
      </w:r>
      <w:r w:rsidR="0022092B" w:rsidRPr="001C1E45">
        <w:rPr>
          <w:rFonts w:ascii="Times New Roman"/>
          <w:sz w:val="20"/>
          <w:szCs w:val="20"/>
        </w:rPr>
        <w:t>crucial</w:t>
      </w:r>
      <w:r w:rsidR="0022092B">
        <w:rPr>
          <w:rFonts w:ascii="Times New Roman"/>
          <w:sz w:val="20"/>
          <w:szCs w:val="20"/>
        </w:rPr>
        <w:t xml:space="preserve"> [14-19]</w:t>
      </w:r>
      <w:r w:rsidRPr="001C1E45">
        <w:rPr>
          <w:rFonts w:ascii="Times New Roman"/>
          <w:sz w:val="20"/>
          <w:szCs w:val="20"/>
        </w:rPr>
        <w:t>.</w:t>
      </w:r>
    </w:p>
    <w:p w:rsidR="00CF47C4" w:rsidRDefault="001C1E45" w:rsidP="001C1E45">
      <w:pPr>
        <w:spacing w:before="100" w:beforeAutospacing="1" w:after="100" w:afterAutospacing="1" w:line="240" w:lineRule="auto"/>
        <w:jc w:val="both"/>
        <w:rPr>
          <w:rFonts w:ascii="Times New Roman"/>
          <w:sz w:val="20"/>
          <w:szCs w:val="20"/>
        </w:rPr>
      </w:pPr>
      <w:r w:rsidRPr="001C1E45">
        <w:rPr>
          <w:rFonts w:ascii="Times New Roman"/>
          <w:sz w:val="20"/>
          <w:szCs w:val="20"/>
        </w:rPr>
        <w:t>This paper aims to provide an in-depth analysis of the global electricity landscape, identifying current trends in electricity generation, distribution, and consumption, as well as the challenges that the sector faces in achieving sustainability. Furthermore, it will explore future prospects and innovations in the electricity industry, focusing on emerging technologies and policy frameworks that may shape the future of global electricity systems.</w:t>
      </w:r>
    </w:p>
    <w:p w:rsidR="001C1E45" w:rsidRPr="001C1E45" w:rsidRDefault="001C1E45" w:rsidP="001C1E45">
      <w:pPr>
        <w:spacing w:before="100" w:beforeAutospacing="1" w:after="100" w:afterAutospacing="1" w:line="240" w:lineRule="auto"/>
        <w:jc w:val="both"/>
        <w:rPr>
          <w:rFonts w:ascii="Times New Roman"/>
          <w:sz w:val="20"/>
          <w:szCs w:val="20"/>
        </w:rPr>
      </w:pPr>
    </w:p>
    <w:p w:rsidR="00CF47C4" w:rsidRPr="001C1E45" w:rsidRDefault="001C1E45" w:rsidP="00195F77">
      <w:pPr>
        <w:pStyle w:val="ListParagraph"/>
        <w:numPr>
          <w:ilvl w:val="0"/>
          <w:numId w:val="5"/>
        </w:numPr>
        <w:spacing w:before="120" w:after="120" w:line="240" w:lineRule="auto"/>
        <w:ind w:left="360" w:hanging="360"/>
        <w:jc w:val="center"/>
        <w:rPr>
          <w:rFonts w:ascii="Times New Roman"/>
          <w:b/>
          <w:sz w:val="20"/>
          <w:szCs w:val="20"/>
        </w:rPr>
      </w:pPr>
      <w:r w:rsidRPr="001C1E45">
        <w:rPr>
          <w:rFonts w:ascii="Times New Roman"/>
          <w:b/>
          <w:sz w:val="20"/>
          <w:szCs w:val="20"/>
        </w:rPr>
        <w:lastRenderedPageBreak/>
        <w:t xml:space="preserve">Data And Methodology </w:t>
      </w:r>
    </w:p>
    <w:p w:rsidR="001C1E45" w:rsidRPr="001C1E45" w:rsidRDefault="001C1E45" w:rsidP="001C1E45">
      <w:pPr>
        <w:pStyle w:val="NormalWeb"/>
        <w:spacing w:before="0" w:beforeAutospacing="0" w:after="0" w:afterAutospacing="0"/>
        <w:rPr>
          <w:color w:val="000000" w:themeColor="text1"/>
          <w:sz w:val="20"/>
          <w:szCs w:val="20"/>
        </w:rPr>
      </w:pPr>
      <w:r w:rsidRPr="001C1E45">
        <w:rPr>
          <w:color w:val="000000" w:themeColor="text1"/>
          <w:sz w:val="20"/>
          <w:szCs w:val="20"/>
        </w:rPr>
        <w:t>The study utilizes datasets from multiple sources, including:</w:t>
      </w:r>
    </w:p>
    <w:p w:rsidR="001C1E45" w:rsidRPr="001C1E45" w:rsidRDefault="001C1E45" w:rsidP="001C1E45">
      <w:pPr>
        <w:pStyle w:val="NormalWeb"/>
        <w:numPr>
          <w:ilvl w:val="0"/>
          <w:numId w:val="10"/>
        </w:numPr>
        <w:spacing w:before="0" w:beforeAutospacing="0"/>
        <w:rPr>
          <w:color w:val="000000" w:themeColor="text1"/>
          <w:sz w:val="20"/>
          <w:szCs w:val="20"/>
        </w:rPr>
      </w:pPr>
      <w:r w:rsidRPr="001C1E45">
        <w:rPr>
          <w:rStyle w:val="Strong"/>
          <w:color w:val="000000" w:themeColor="text1"/>
          <w:sz w:val="20"/>
          <w:szCs w:val="20"/>
        </w:rPr>
        <w:t>World Bank &amp; IEA</w:t>
      </w:r>
      <w:r w:rsidRPr="001C1E45">
        <w:rPr>
          <w:color w:val="000000" w:themeColor="text1"/>
          <w:sz w:val="20"/>
          <w:szCs w:val="20"/>
        </w:rPr>
        <w:t>: Global electricity production and consumption statistics</w:t>
      </w:r>
    </w:p>
    <w:p w:rsidR="001C1E45" w:rsidRPr="001C1E45" w:rsidRDefault="001C1E45" w:rsidP="001C1E45">
      <w:pPr>
        <w:pStyle w:val="NormalWeb"/>
        <w:numPr>
          <w:ilvl w:val="0"/>
          <w:numId w:val="10"/>
        </w:numPr>
        <w:rPr>
          <w:color w:val="000000" w:themeColor="text1"/>
          <w:sz w:val="20"/>
          <w:szCs w:val="20"/>
        </w:rPr>
      </w:pPr>
      <w:r w:rsidRPr="001C1E45">
        <w:rPr>
          <w:rStyle w:val="Strong"/>
          <w:color w:val="000000" w:themeColor="text1"/>
          <w:sz w:val="20"/>
          <w:szCs w:val="20"/>
        </w:rPr>
        <w:t>IRENA (International Renewable Energy Agency)</w:t>
      </w:r>
      <w:r w:rsidRPr="001C1E45">
        <w:rPr>
          <w:color w:val="000000" w:themeColor="text1"/>
          <w:sz w:val="20"/>
          <w:szCs w:val="20"/>
        </w:rPr>
        <w:t>: Renewable energy share and trends</w:t>
      </w:r>
    </w:p>
    <w:p w:rsidR="001C1E45" w:rsidRPr="001C1E45" w:rsidRDefault="001C1E45" w:rsidP="001C1E45">
      <w:pPr>
        <w:pStyle w:val="NormalWeb"/>
        <w:numPr>
          <w:ilvl w:val="0"/>
          <w:numId w:val="10"/>
        </w:numPr>
        <w:rPr>
          <w:color w:val="000000" w:themeColor="text1"/>
          <w:sz w:val="20"/>
          <w:szCs w:val="20"/>
        </w:rPr>
      </w:pPr>
      <w:r w:rsidRPr="001C1E45">
        <w:rPr>
          <w:rStyle w:val="Strong"/>
          <w:color w:val="000000" w:themeColor="text1"/>
          <w:sz w:val="20"/>
          <w:szCs w:val="20"/>
        </w:rPr>
        <w:t>National Grid Data</w:t>
      </w:r>
      <w:r w:rsidRPr="001C1E45">
        <w:rPr>
          <w:color w:val="000000" w:themeColor="text1"/>
          <w:sz w:val="20"/>
          <w:szCs w:val="20"/>
        </w:rPr>
        <w:t>: Country-specific electricity distribution and losses</w:t>
      </w:r>
    </w:p>
    <w:p w:rsidR="001C1E45" w:rsidRPr="001C1E45" w:rsidRDefault="001C1E45" w:rsidP="001C1E45">
      <w:pPr>
        <w:pStyle w:val="NormalWeb"/>
        <w:numPr>
          <w:ilvl w:val="0"/>
          <w:numId w:val="10"/>
        </w:numPr>
        <w:rPr>
          <w:color w:val="000000" w:themeColor="text1"/>
          <w:sz w:val="20"/>
          <w:szCs w:val="20"/>
        </w:rPr>
      </w:pPr>
      <w:r w:rsidRPr="001C1E45">
        <w:rPr>
          <w:rStyle w:val="Strong"/>
          <w:color w:val="000000" w:themeColor="text1"/>
          <w:sz w:val="20"/>
          <w:szCs w:val="20"/>
        </w:rPr>
        <w:t>Urban-Rural Electricity Reports</w:t>
      </w:r>
      <w:r w:rsidRPr="001C1E45">
        <w:rPr>
          <w:color w:val="000000" w:themeColor="text1"/>
          <w:sz w:val="20"/>
          <w:szCs w:val="20"/>
        </w:rPr>
        <w:t>: Access to electricity across different regions</w:t>
      </w:r>
    </w:p>
    <w:p w:rsidR="001C1E45" w:rsidRPr="001C1E45" w:rsidRDefault="001C1E45" w:rsidP="001C1E45">
      <w:pPr>
        <w:pStyle w:val="Heading3"/>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a</w:t>
      </w:r>
      <w:r w:rsidRPr="001C1E45">
        <w:rPr>
          <w:rFonts w:ascii="Times New Roman" w:hAnsi="Times New Roman" w:cs="Times New Roman"/>
          <w:color w:val="000000" w:themeColor="text1"/>
          <w:sz w:val="20"/>
          <w:szCs w:val="20"/>
        </w:rPr>
        <w:t>. Data Cleaning and Preprocessing</w:t>
      </w:r>
    </w:p>
    <w:p w:rsidR="001C1E45" w:rsidRPr="001C1E45" w:rsidRDefault="001C1E45" w:rsidP="001C1E45">
      <w:pPr>
        <w:pStyle w:val="NormalWeb"/>
        <w:spacing w:before="0" w:beforeAutospacing="0" w:after="0" w:afterAutospacing="0"/>
        <w:rPr>
          <w:color w:val="000000" w:themeColor="text1"/>
          <w:sz w:val="20"/>
          <w:szCs w:val="20"/>
        </w:rPr>
      </w:pPr>
      <w:r w:rsidRPr="001C1E45">
        <w:rPr>
          <w:color w:val="000000" w:themeColor="text1"/>
          <w:sz w:val="20"/>
          <w:szCs w:val="20"/>
        </w:rPr>
        <w:t>The collected datasets were processed using Python (Pandas, NumPy) and visualized using Power BI for interactive dashboards. Missing values were handled using interpolation techniques, and anomalies were identified using statistical analysis.</w:t>
      </w:r>
    </w:p>
    <w:p w:rsidR="001C1E45" w:rsidRPr="001C1E45" w:rsidRDefault="001C1E45" w:rsidP="001C1E45">
      <w:pPr>
        <w:pStyle w:val="Heading3"/>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b</w:t>
      </w:r>
      <w:r w:rsidRPr="001C1E45">
        <w:rPr>
          <w:rFonts w:ascii="Times New Roman" w:hAnsi="Times New Roman" w:cs="Times New Roman"/>
          <w:color w:val="000000" w:themeColor="text1"/>
          <w:sz w:val="20"/>
          <w:szCs w:val="20"/>
        </w:rPr>
        <w:t>. Analytical Approach</w:t>
      </w:r>
    </w:p>
    <w:p w:rsidR="001C1E45" w:rsidRPr="001C1E45" w:rsidRDefault="001C1E45" w:rsidP="001C1E45">
      <w:pPr>
        <w:pStyle w:val="NormalWeb"/>
        <w:numPr>
          <w:ilvl w:val="0"/>
          <w:numId w:val="11"/>
        </w:numPr>
        <w:spacing w:before="0" w:beforeAutospacing="0"/>
        <w:rPr>
          <w:color w:val="000000" w:themeColor="text1"/>
          <w:sz w:val="20"/>
          <w:szCs w:val="20"/>
        </w:rPr>
      </w:pPr>
      <w:r w:rsidRPr="001C1E45">
        <w:rPr>
          <w:rStyle w:val="Strong"/>
          <w:color w:val="000000" w:themeColor="text1"/>
          <w:sz w:val="20"/>
          <w:szCs w:val="20"/>
        </w:rPr>
        <w:t>Trend Analysis</w:t>
      </w:r>
      <w:r w:rsidRPr="001C1E45">
        <w:rPr>
          <w:color w:val="000000" w:themeColor="text1"/>
          <w:sz w:val="20"/>
          <w:szCs w:val="20"/>
        </w:rPr>
        <w:t>: Year-wise electricity generation and consumption patterns</w:t>
      </w:r>
    </w:p>
    <w:p w:rsidR="001C1E45" w:rsidRPr="001C1E45" w:rsidRDefault="001C1E45" w:rsidP="001C1E45">
      <w:pPr>
        <w:pStyle w:val="NormalWeb"/>
        <w:numPr>
          <w:ilvl w:val="0"/>
          <w:numId w:val="11"/>
        </w:numPr>
        <w:rPr>
          <w:color w:val="000000" w:themeColor="text1"/>
          <w:sz w:val="20"/>
          <w:szCs w:val="20"/>
        </w:rPr>
      </w:pPr>
      <w:r w:rsidRPr="001C1E45">
        <w:rPr>
          <w:rStyle w:val="Strong"/>
          <w:color w:val="000000" w:themeColor="text1"/>
          <w:sz w:val="20"/>
          <w:szCs w:val="20"/>
        </w:rPr>
        <w:t>Geospatial Analysis</w:t>
      </w:r>
      <w:r w:rsidRPr="001C1E45">
        <w:rPr>
          <w:color w:val="000000" w:themeColor="text1"/>
          <w:sz w:val="20"/>
          <w:szCs w:val="20"/>
        </w:rPr>
        <w:t>: Electricity access across urban and rural areas</w:t>
      </w:r>
    </w:p>
    <w:p w:rsidR="001C1E45" w:rsidRPr="001C1E45" w:rsidRDefault="001C1E45" w:rsidP="001C1E45">
      <w:pPr>
        <w:pStyle w:val="NormalWeb"/>
        <w:numPr>
          <w:ilvl w:val="0"/>
          <w:numId w:val="11"/>
        </w:numPr>
        <w:rPr>
          <w:color w:val="000000" w:themeColor="text1"/>
          <w:sz w:val="20"/>
          <w:szCs w:val="20"/>
        </w:rPr>
      </w:pPr>
      <w:r w:rsidRPr="001C1E45">
        <w:rPr>
          <w:rStyle w:val="Strong"/>
          <w:color w:val="000000" w:themeColor="text1"/>
          <w:sz w:val="20"/>
          <w:szCs w:val="20"/>
        </w:rPr>
        <w:t>Efficiency Metrics</w:t>
      </w:r>
      <w:r w:rsidRPr="001C1E45">
        <w:rPr>
          <w:color w:val="000000" w:themeColor="text1"/>
          <w:sz w:val="20"/>
          <w:szCs w:val="20"/>
        </w:rPr>
        <w:t>: Energy loss in transmission and distribution</w:t>
      </w:r>
    </w:p>
    <w:p w:rsidR="001C1E45" w:rsidRPr="001C1E45" w:rsidRDefault="001C1E45" w:rsidP="001C1E45">
      <w:pPr>
        <w:pStyle w:val="NormalWeb"/>
        <w:numPr>
          <w:ilvl w:val="0"/>
          <w:numId w:val="11"/>
        </w:numPr>
        <w:rPr>
          <w:color w:val="000000" w:themeColor="text1"/>
          <w:sz w:val="20"/>
          <w:szCs w:val="20"/>
        </w:rPr>
      </w:pPr>
      <w:r w:rsidRPr="001C1E45">
        <w:rPr>
          <w:rStyle w:val="Strong"/>
          <w:color w:val="000000" w:themeColor="text1"/>
          <w:sz w:val="20"/>
          <w:szCs w:val="20"/>
        </w:rPr>
        <w:t>Comparative Analysis</w:t>
      </w:r>
      <w:r w:rsidRPr="001C1E45">
        <w:rPr>
          <w:color w:val="000000" w:themeColor="text1"/>
          <w:sz w:val="20"/>
          <w:szCs w:val="20"/>
        </w:rPr>
        <w:t>: Renewable vs. non-renewable energy share</w:t>
      </w:r>
    </w:p>
    <w:p w:rsidR="00CF47C4" w:rsidRPr="001C1E45" w:rsidRDefault="001C1E45" w:rsidP="007F7C27">
      <w:pPr>
        <w:pStyle w:val="ListParagraph"/>
        <w:numPr>
          <w:ilvl w:val="0"/>
          <w:numId w:val="5"/>
        </w:numPr>
        <w:spacing w:after="0" w:line="240" w:lineRule="auto"/>
        <w:ind w:left="360" w:hanging="360"/>
        <w:jc w:val="center"/>
        <w:rPr>
          <w:rFonts w:ascii="Times New Roman"/>
          <w:b/>
          <w:sz w:val="20"/>
          <w:szCs w:val="20"/>
        </w:rPr>
      </w:pPr>
      <w:r w:rsidRPr="001C1E45">
        <w:rPr>
          <w:rFonts w:ascii="Times New Roman"/>
          <w:b/>
          <w:sz w:val="20"/>
          <w:szCs w:val="20"/>
        </w:rPr>
        <w:t xml:space="preserve">Results And Discussion </w:t>
      </w:r>
    </w:p>
    <w:p w:rsidR="00D45FA5" w:rsidRPr="00195F77" w:rsidRDefault="00D45FA5" w:rsidP="00D45FA5">
      <w:pPr>
        <w:pStyle w:val="Heading3"/>
        <w:numPr>
          <w:ilvl w:val="1"/>
          <w:numId w:val="11"/>
        </w:numPr>
        <w:spacing w:before="120" w:after="240" w:line="259" w:lineRule="auto"/>
        <w:ind w:left="360"/>
        <w:rPr>
          <w:rFonts w:ascii="Times New Roman" w:hAnsi="Times New Roman" w:cs="Times New Roman"/>
          <w:color w:val="000000" w:themeColor="text1"/>
          <w:sz w:val="20"/>
          <w:szCs w:val="20"/>
        </w:rPr>
      </w:pPr>
      <w:r w:rsidRPr="00195F77">
        <w:rPr>
          <w:rFonts w:ascii="Times New Roman" w:hAnsi="Times New Roman" w:cs="Times New Roman"/>
          <w:color w:val="000000" w:themeColor="text1"/>
          <w:sz w:val="20"/>
          <w:szCs w:val="20"/>
        </w:rPr>
        <w:t>Global Electricity Generation and Consumption Trends</w:t>
      </w:r>
    </w:p>
    <w:p w:rsidR="00195F77" w:rsidRPr="00195F77" w:rsidRDefault="00195F77" w:rsidP="00195F77">
      <w:pPr>
        <w:pStyle w:val="ListParagraph"/>
        <w:numPr>
          <w:ilvl w:val="0"/>
          <w:numId w:val="13"/>
        </w:numPr>
        <w:spacing w:after="0" w:line="240" w:lineRule="auto"/>
        <w:jc w:val="both"/>
        <w:rPr>
          <w:rFonts w:ascii="Times New Roman"/>
          <w:sz w:val="20"/>
          <w:szCs w:val="20"/>
        </w:rPr>
      </w:pPr>
      <w:r w:rsidRPr="00195F77">
        <w:rPr>
          <w:rFonts w:ascii="Times New Roman"/>
          <w:sz w:val="20"/>
          <w:szCs w:val="20"/>
        </w:rPr>
        <w:t>Europe</w:t>
      </w:r>
      <w:r>
        <w:rPr>
          <w:rFonts w:ascii="Times New Roman"/>
          <w:sz w:val="20"/>
          <w:szCs w:val="20"/>
        </w:rPr>
        <w:t xml:space="preserve"> </w:t>
      </w:r>
      <w:r w:rsidRPr="00195F77">
        <w:rPr>
          <w:rFonts w:ascii="Times New Roman"/>
          <w:sz w:val="20"/>
          <w:szCs w:val="20"/>
        </w:rPr>
        <w:t xml:space="preserve">&amp; Central Asia have the highest energy production, followed by Sub-Saharan Africa and Latin America &amp; the Caribbean. </w:t>
      </w:r>
    </w:p>
    <w:p w:rsidR="00195F77" w:rsidRPr="00195F77" w:rsidRDefault="00195F77" w:rsidP="00195F77">
      <w:pPr>
        <w:pStyle w:val="ListParagraph"/>
        <w:numPr>
          <w:ilvl w:val="0"/>
          <w:numId w:val="13"/>
        </w:numPr>
        <w:spacing w:after="0" w:line="240" w:lineRule="auto"/>
        <w:jc w:val="both"/>
        <w:rPr>
          <w:rFonts w:ascii="Times New Roman"/>
          <w:sz w:val="20"/>
          <w:szCs w:val="20"/>
        </w:rPr>
      </w:pPr>
      <w:r w:rsidRPr="00195F77">
        <w:rPr>
          <w:rFonts w:ascii="Times New Roman"/>
          <w:sz w:val="20"/>
          <w:szCs w:val="20"/>
        </w:rPr>
        <w:t xml:space="preserve">North America and South Asia exhibit significantly lower energy production levels. </w:t>
      </w:r>
    </w:p>
    <w:p w:rsidR="00195F77" w:rsidRPr="00195F77" w:rsidRDefault="00195F77" w:rsidP="00195F77">
      <w:pPr>
        <w:pStyle w:val="ListParagraph"/>
        <w:numPr>
          <w:ilvl w:val="0"/>
          <w:numId w:val="13"/>
        </w:numPr>
        <w:jc w:val="both"/>
        <w:rPr>
          <w:rFonts w:ascii="Times New Roman"/>
          <w:sz w:val="20"/>
          <w:szCs w:val="20"/>
        </w:rPr>
      </w:pPr>
      <w:r w:rsidRPr="00195F77">
        <w:rPr>
          <w:rFonts w:ascii="Times New Roman"/>
          <w:sz w:val="20"/>
          <w:szCs w:val="20"/>
        </w:rPr>
        <w:t>Differences in energy output are influenced by infrastructure, resource availability, and investments in power generation.</w:t>
      </w:r>
    </w:p>
    <w:p w:rsidR="00195F77" w:rsidRPr="00195F77" w:rsidRDefault="00195F77" w:rsidP="00195F77"/>
    <w:p w:rsidR="00D45FA5" w:rsidRDefault="00D45FA5" w:rsidP="00D45FA5">
      <w:pPr>
        <w:jc w:val="center"/>
      </w:pPr>
      <w:r w:rsidRPr="00D45FA5">
        <w:rPr>
          <w:noProof/>
          <w:lang w:val="en-IN" w:eastAsia="en-IN"/>
        </w:rPr>
        <w:drawing>
          <wp:inline distT="0" distB="0" distL="0" distR="0">
            <wp:extent cx="5924550" cy="375285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24550" cy="3752850"/>
                    </a:xfrm>
                    <a:prstGeom prst="rect">
                      <a:avLst/>
                    </a:prstGeom>
                    <a:noFill/>
                    <a:ln>
                      <a:noFill/>
                    </a:ln>
                  </pic:spPr>
                </pic:pic>
              </a:graphicData>
            </a:graphic>
          </wp:inline>
        </w:drawing>
      </w:r>
    </w:p>
    <w:p w:rsidR="00D45FA5" w:rsidRDefault="00D45FA5" w:rsidP="00D45FA5">
      <w:pPr>
        <w:jc w:val="center"/>
        <w:rPr>
          <w:rFonts w:ascii="Times New Roman"/>
          <w:sz w:val="20"/>
          <w:szCs w:val="20"/>
        </w:rPr>
      </w:pPr>
      <w:r w:rsidRPr="00D45FA5">
        <w:rPr>
          <w:rFonts w:ascii="Times New Roman"/>
          <w:sz w:val="20"/>
          <w:szCs w:val="20"/>
        </w:rPr>
        <w:t xml:space="preserve">Figure 1: Energy </w:t>
      </w:r>
      <w:r>
        <w:rPr>
          <w:rFonts w:ascii="Times New Roman"/>
          <w:sz w:val="20"/>
          <w:szCs w:val="20"/>
        </w:rPr>
        <w:t>p</w:t>
      </w:r>
      <w:r w:rsidRPr="00D45FA5">
        <w:rPr>
          <w:rFonts w:ascii="Times New Roman"/>
          <w:sz w:val="20"/>
          <w:szCs w:val="20"/>
        </w:rPr>
        <w:t xml:space="preserve">roduction across </w:t>
      </w:r>
      <w:r>
        <w:rPr>
          <w:rFonts w:ascii="Times New Roman"/>
          <w:sz w:val="20"/>
          <w:szCs w:val="20"/>
        </w:rPr>
        <w:t>r</w:t>
      </w:r>
      <w:r w:rsidRPr="00D45FA5">
        <w:rPr>
          <w:rFonts w:ascii="Times New Roman"/>
          <w:sz w:val="20"/>
          <w:szCs w:val="20"/>
        </w:rPr>
        <w:t>egions</w:t>
      </w:r>
    </w:p>
    <w:p w:rsidR="003F7FDB" w:rsidRDefault="003F7FDB" w:rsidP="003F7FDB">
      <w:pPr>
        <w:pStyle w:val="ListParagraph"/>
        <w:tabs>
          <w:tab w:val="left" w:pos="3420"/>
        </w:tabs>
        <w:ind w:left="0"/>
        <w:jc w:val="center"/>
        <w:rPr>
          <w:rFonts w:ascii="Times New Roman"/>
          <w:b/>
          <w:sz w:val="20"/>
          <w:szCs w:val="20"/>
        </w:rPr>
      </w:pPr>
      <w:r w:rsidRPr="003F7FDB">
        <w:rPr>
          <w:rFonts w:ascii="Times New Roman"/>
          <w:b/>
          <w:noProof/>
          <w:sz w:val="20"/>
          <w:szCs w:val="20"/>
          <w:lang w:val="en-IN" w:eastAsia="en-IN"/>
        </w:rPr>
        <w:lastRenderedPageBreak/>
        <w:drawing>
          <wp:inline distT="0" distB="0" distL="0" distR="0">
            <wp:extent cx="6010275" cy="5486400"/>
            <wp:effectExtent l="19050" t="0" r="9525"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10275" cy="5486400"/>
                    </a:xfrm>
                    <a:prstGeom prst="rect">
                      <a:avLst/>
                    </a:prstGeom>
                    <a:noFill/>
                    <a:ln>
                      <a:noFill/>
                    </a:ln>
                  </pic:spPr>
                </pic:pic>
              </a:graphicData>
            </a:graphic>
          </wp:inline>
        </w:drawing>
      </w:r>
    </w:p>
    <w:p w:rsidR="003F7FDB" w:rsidRPr="003F7FDB" w:rsidRDefault="003F7FDB" w:rsidP="003F7FDB">
      <w:pPr>
        <w:jc w:val="center"/>
        <w:rPr>
          <w:rFonts w:ascii="Times New Roman"/>
          <w:sz w:val="20"/>
          <w:szCs w:val="20"/>
        </w:rPr>
      </w:pPr>
      <w:r w:rsidRPr="003F7FDB">
        <w:rPr>
          <w:rFonts w:ascii="Times New Roman"/>
          <w:sz w:val="20"/>
          <w:szCs w:val="20"/>
        </w:rPr>
        <w:t xml:space="preserve">Figure 2: </w:t>
      </w:r>
      <w:r w:rsidR="00195F77" w:rsidRPr="003F7FDB">
        <w:rPr>
          <w:rFonts w:ascii="Times New Roman"/>
          <w:sz w:val="20"/>
          <w:szCs w:val="20"/>
        </w:rPr>
        <w:t>Regional Energy Distribution</w:t>
      </w:r>
    </w:p>
    <w:p w:rsidR="00195F77" w:rsidRPr="003F7FDB" w:rsidRDefault="00195F77" w:rsidP="003F7FDB">
      <w:pPr>
        <w:pStyle w:val="ListParagraph"/>
        <w:numPr>
          <w:ilvl w:val="0"/>
          <w:numId w:val="11"/>
        </w:numPr>
        <w:spacing w:after="0"/>
        <w:rPr>
          <w:rFonts w:ascii="Times New Roman"/>
          <w:sz w:val="20"/>
          <w:szCs w:val="20"/>
        </w:rPr>
      </w:pPr>
      <w:r w:rsidRPr="003F7FDB">
        <w:rPr>
          <w:rFonts w:ascii="Times New Roman"/>
          <w:sz w:val="20"/>
          <w:szCs w:val="20"/>
        </w:rPr>
        <w:t xml:space="preserve">The donut chart shows an equal proportional representation (12.5%) of energy production across regions. </w:t>
      </w:r>
    </w:p>
    <w:p w:rsidR="00195F77" w:rsidRPr="003F7FDB" w:rsidRDefault="00195F77" w:rsidP="003F7FDB">
      <w:pPr>
        <w:pStyle w:val="ListParagraph"/>
        <w:numPr>
          <w:ilvl w:val="0"/>
          <w:numId w:val="11"/>
        </w:numPr>
        <w:rPr>
          <w:rFonts w:ascii="Times New Roman"/>
          <w:b/>
          <w:sz w:val="20"/>
          <w:szCs w:val="20"/>
        </w:rPr>
      </w:pPr>
      <w:r w:rsidRPr="003F7FDB">
        <w:rPr>
          <w:rFonts w:ascii="Times New Roman"/>
          <w:sz w:val="20"/>
          <w:szCs w:val="20"/>
        </w:rPr>
        <w:t>However, the bar chart reveals actual disparities, with certain regions contributing far more than others</w:t>
      </w:r>
    </w:p>
    <w:p w:rsidR="00195F77" w:rsidRPr="003F7FDB" w:rsidRDefault="00195F77" w:rsidP="003F7FDB">
      <w:pPr>
        <w:pStyle w:val="ListParagraph"/>
        <w:numPr>
          <w:ilvl w:val="0"/>
          <w:numId w:val="11"/>
        </w:numPr>
        <w:rPr>
          <w:rFonts w:ascii="Times New Roman"/>
          <w:b/>
          <w:sz w:val="20"/>
          <w:szCs w:val="20"/>
        </w:rPr>
      </w:pPr>
      <w:r w:rsidRPr="003F7FDB">
        <w:rPr>
          <w:rFonts w:ascii="Times New Roman"/>
          <w:sz w:val="20"/>
          <w:szCs w:val="20"/>
        </w:rPr>
        <w:t>Variations in energy output highlight the impact of regional energy policies, industrial demands, and renewable energy adoption.</w:t>
      </w:r>
    </w:p>
    <w:p w:rsidR="00195F77" w:rsidRPr="00195F77" w:rsidRDefault="00195F77" w:rsidP="003F7FDB">
      <w:pPr>
        <w:pStyle w:val="ListParagraph"/>
        <w:rPr>
          <w:rFonts w:ascii="Times New Roman"/>
          <w:b/>
          <w:sz w:val="20"/>
          <w:szCs w:val="20"/>
        </w:rPr>
      </w:pPr>
    </w:p>
    <w:p w:rsidR="003F7FDB" w:rsidRPr="003F7FDB" w:rsidRDefault="003F7FDB" w:rsidP="003F7FDB">
      <w:pPr>
        <w:pStyle w:val="Heading3"/>
        <w:ind w:left="124"/>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b</w:t>
      </w:r>
      <w:r w:rsidRPr="003F7FDB">
        <w:rPr>
          <w:rFonts w:ascii="Times New Roman" w:hAnsi="Times New Roman" w:cs="Times New Roman"/>
          <w:color w:val="000000" w:themeColor="text1"/>
          <w:sz w:val="20"/>
          <w:szCs w:val="20"/>
        </w:rPr>
        <w:t>. Renewable vs. Non-Renewable Energy Transition</w:t>
      </w:r>
    </w:p>
    <w:p w:rsidR="003F7FDB" w:rsidRPr="003F7FDB" w:rsidRDefault="003F7FDB" w:rsidP="003F7FDB">
      <w:pPr>
        <w:pStyle w:val="NormalWeb"/>
        <w:numPr>
          <w:ilvl w:val="0"/>
          <w:numId w:val="14"/>
        </w:numPr>
        <w:spacing w:before="0" w:beforeAutospacing="0" w:after="0" w:afterAutospacing="0"/>
        <w:jc w:val="both"/>
        <w:rPr>
          <w:sz w:val="20"/>
          <w:szCs w:val="20"/>
        </w:rPr>
      </w:pPr>
      <w:r w:rsidRPr="003F7FDB">
        <w:rPr>
          <w:rStyle w:val="Strong"/>
          <w:sz w:val="20"/>
          <w:szCs w:val="20"/>
        </w:rPr>
        <w:t>Renewable Energy Growth:</w:t>
      </w:r>
      <w:r w:rsidRPr="003F7FDB">
        <w:rPr>
          <w:sz w:val="20"/>
          <w:szCs w:val="20"/>
        </w:rPr>
        <w:t xml:space="preserve"> Solar and wind energy are growing at an annual rate of 12-15%, with Europe leading the adoption.</w:t>
      </w:r>
    </w:p>
    <w:p w:rsidR="003F7FDB" w:rsidRPr="003F7FDB" w:rsidRDefault="003F7FDB" w:rsidP="003F7FDB">
      <w:pPr>
        <w:pStyle w:val="NormalWeb"/>
        <w:numPr>
          <w:ilvl w:val="0"/>
          <w:numId w:val="14"/>
        </w:numPr>
        <w:jc w:val="both"/>
        <w:rPr>
          <w:sz w:val="20"/>
          <w:szCs w:val="20"/>
        </w:rPr>
      </w:pPr>
      <w:r w:rsidRPr="003F7FDB">
        <w:rPr>
          <w:rStyle w:val="Strong"/>
          <w:sz w:val="20"/>
          <w:szCs w:val="20"/>
        </w:rPr>
        <w:t>Coal and Gas Dependence:</w:t>
      </w:r>
      <w:r w:rsidRPr="003F7FDB">
        <w:rPr>
          <w:sz w:val="20"/>
          <w:szCs w:val="20"/>
        </w:rPr>
        <w:t xml:space="preserve"> Despite the push for renewable energy, fossil fuels still contribute around 60% of global electricity production.</w:t>
      </w:r>
    </w:p>
    <w:p w:rsidR="003F7FDB" w:rsidRPr="003F7FDB" w:rsidRDefault="003F7FDB" w:rsidP="003F7FDB">
      <w:pPr>
        <w:pStyle w:val="NormalWeb"/>
        <w:numPr>
          <w:ilvl w:val="0"/>
          <w:numId w:val="14"/>
        </w:numPr>
        <w:jc w:val="both"/>
        <w:rPr>
          <w:sz w:val="20"/>
          <w:szCs w:val="20"/>
        </w:rPr>
      </w:pPr>
      <w:r w:rsidRPr="003F7FDB">
        <w:rPr>
          <w:rStyle w:val="Strong"/>
          <w:sz w:val="20"/>
          <w:szCs w:val="20"/>
        </w:rPr>
        <w:t>Hydroelectric Power:</w:t>
      </w:r>
      <w:r w:rsidRPr="003F7FDB">
        <w:rPr>
          <w:sz w:val="20"/>
          <w:szCs w:val="20"/>
        </w:rPr>
        <w:t xml:space="preserve"> Large-scale hydropower projects continue to provide substantial electricity generation, particularly in South America and Asia.</w:t>
      </w:r>
    </w:p>
    <w:p w:rsidR="003F7FDB" w:rsidRDefault="003F7FDB" w:rsidP="003F7FDB">
      <w:pPr>
        <w:pStyle w:val="NormalWeb"/>
        <w:numPr>
          <w:ilvl w:val="0"/>
          <w:numId w:val="14"/>
        </w:numPr>
        <w:jc w:val="both"/>
        <w:rPr>
          <w:sz w:val="20"/>
          <w:szCs w:val="20"/>
        </w:rPr>
      </w:pPr>
      <w:r w:rsidRPr="003F7FDB">
        <w:rPr>
          <w:rStyle w:val="Strong"/>
          <w:sz w:val="20"/>
          <w:szCs w:val="20"/>
        </w:rPr>
        <w:t>Nuclear Energy:</w:t>
      </w:r>
      <w:r w:rsidRPr="003F7FDB">
        <w:rPr>
          <w:sz w:val="20"/>
          <w:szCs w:val="20"/>
        </w:rPr>
        <w:t xml:space="preserve"> While some countries phase out nuclear power, others expand their nuclear capacity to meet carbon neutrality goals.</w:t>
      </w:r>
    </w:p>
    <w:p w:rsidR="00502939" w:rsidRDefault="00502939" w:rsidP="00502939">
      <w:pPr>
        <w:pStyle w:val="Heading3"/>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lastRenderedPageBreak/>
        <w:t>c</w:t>
      </w:r>
      <w:r w:rsidRPr="00502939">
        <w:rPr>
          <w:rFonts w:ascii="Times New Roman" w:hAnsi="Times New Roman" w:cs="Times New Roman"/>
          <w:color w:val="000000" w:themeColor="text1"/>
          <w:sz w:val="20"/>
          <w:szCs w:val="20"/>
        </w:rPr>
        <w:t>. Urban vs. Rural Electricity Access</w:t>
      </w:r>
    </w:p>
    <w:p w:rsidR="00502939" w:rsidRPr="00502939" w:rsidRDefault="00502939" w:rsidP="00B04DA8">
      <w:pPr>
        <w:pStyle w:val="NormalWeb"/>
        <w:numPr>
          <w:ilvl w:val="0"/>
          <w:numId w:val="15"/>
        </w:numPr>
        <w:spacing w:before="0" w:beforeAutospacing="0" w:line="276" w:lineRule="auto"/>
        <w:rPr>
          <w:sz w:val="20"/>
          <w:szCs w:val="20"/>
        </w:rPr>
      </w:pPr>
      <w:r w:rsidRPr="00502939">
        <w:rPr>
          <w:rStyle w:val="Strong"/>
          <w:sz w:val="20"/>
          <w:szCs w:val="20"/>
        </w:rPr>
        <w:t>Urban Electrification:</w:t>
      </w:r>
      <w:r w:rsidRPr="00502939">
        <w:rPr>
          <w:sz w:val="20"/>
          <w:szCs w:val="20"/>
        </w:rPr>
        <w:t xml:space="preserve"> Nearly 100% access in most developed regions, but reliability issues persist.</w:t>
      </w:r>
    </w:p>
    <w:p w:rsidR="00502939" w:rsidRPr="00502939" w:rsidRDefault="00502939" w:rsidP="00502939">
      <w:pPr>
        <w:pStyle w:val="NormalWeb"/>
        <w:numPr>
          <w:ilvl w:val="0"/>
          <w:numId w:val="15"/>
        </w:numPr>
        <w:spacing w:line="276" w:lineRule="auto"/>
        <w:jc w:val="both"/>
        <w:rPr>
          <w:sz w:val="20"/>
          <w:szCs w:val="20"/>
        </w:rPr>
      </w:pPr>
      <w:r w:rsidRPr="00502939">
        <w:rPr>
          <w:rStyle w:val="Strong"/>
          <w:sz w:val="20"/>
          <w:szCs w:val="20"/>
        </w:rPr>
        <w:t>Rural Electrification Challenges:</w:t>
      </w:r>
      <w:r w:rsidRPr="00502939">
        <w:rPr>
          <w:sz w:val="20"/>
          <w:szCs w:val="20"/>
        </w:rPr>
        <w:t xml:space="preserve"> In Sub-Saharan Africa and parts of South Asia, nearly 20% of the population still lacks access to electricity.</w:t>
      </w:r>
    </w:p>
    <w:p w:rsidR="00502939" w:rsidRDefault="00502939" w:rsidP="009835C9">
      <w:pPr>
        <w:pStyle w:val="NormalWeb"/>
        <w:numPr>
          <w:ilvl w:val="0"/>
          <w:numId w:val="15"/>
        </w:numPr>
        <w:spacing w:before="0" w:beforeAutospacing="0" w:after="0" w:afterAutospacing="0" w:line="276" w:lineRule="auto"/>
        <w:jc w:val="both"/>
        <w:rPr>
          <w:sz w:val="20"/>
          <w:szCs w:val="20"/>
        </w:rPr>
      </w:pPr>
      <w:r w:rsidRPr="00502939">
        <w:rPr>
          <w:rStyle w:val="Strong"/>
          <w:sz w:val="20"/>
          <w:szCs w:val="20"/>
        </w:rPr>
        <w:t>Decentralized Energy Solutions:</w:t>
      </w:r>
      <w:r w:rsidRPr="00502939">
        <w:rPr>
          <w:sz w:val="20"/>
          <w:szCs w:val="20"/>
        </w:rPr>
        <w:t xml:space="preserve"> Off-grid solar, microgrids, and hybrid energy systems are emerging as viable solutions for remote areas.</w:t>
      </w:r>
    </w:p>
    <w:p w:rsidR="00B04DA8" w:rsidRPr="00B04DA8" w:rsidRDefault="00B04DA8" w:rsidP="009835C9">
      <w:pPr>
        <w:pStyle w:val="Heading3"/>
        <w:spacing w:after="120"/>
        <w:jc w:val="both"/>
        <w:rPr>
          <w:rFonts w:ascii="Times New Roman" w:hAnsi="Times New Roman" w:cs="Times New Roman"/>
          <w:color w:val="000000" w:themeColor="text1"/>
          <w:sz w:val="20"/>
          <w:szCs w:val="20"/>
        </w:rPr>
      </w:pPr>
      <w:r w:rsidRPr="00B04DA8">
        <w:rPr>
          <w:rFonts w:ascii="Times New Roman" w:hAnsi="Times New Roman" w:cs="Times New Roman"/>
          <w:color w:val="000000" w:themeColor="text1"/>
          <w:sz w:val="20"/>
          <w:szCs w:val="20"/>
        </w:rPr>
        <w:t>d. Energy Losses and Efficiency</w:t>
      </w:r>
    </w:p>
    <w:p w:rsidR="00B04DA8" w:rsidRPr="00502939" w:rsidRDefault="00B04DA8" w:rsidP="00B04DA8">
      <w:pPr>
        <w:pStyle w:val="NormalWeb"/>
        <w:spacing w:before="0" w:beforeAutospacing="0" w:after="0" w:afterAutospacing="0" w:line="276" w:lineRule="auto"/>
        <w:jc w:val="center"/>
        <w:rPr>
          <w:sz w:val="20"/>
          <w:szCs w:val="20"/>
        </w:rPr>
      </w:pPr>
      <w:r w:rsidRPr="00B04DA8">
        <w:rPr>
          <w:noProof/>
          <w:sz w:val="20"/>
          <w:szCs w:val="20"/>
          <w:lang w:val="en-IN" w:eastAsia="en-IN"/>
        </w:rPr>
        <w:drawing>
          <wp:inline distT="0" distB="0" distL="0" distR="0">
            <wp:extent cx="5191125" cy="2867025"/>
            <wp:effectExtent l="19050" t="0" r="9525"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191125" cy="2867025"/>
                    </a:xfrm>
                    <a:prstGeom prst="rect">
                      <a:avLst/>
                    </a:prstGeom>
                    <a:noFill/>
                    <a:ln>
                      <a:noFill/>
                    </a:ln>
                  </pic:spPr>
                </pic:pic>
              </a:graphicData>
            </a:graphic>
          </wp:inline>
        </w:drawing>
      </w:r>
    </w:p>
    <w:p w:rsidR="00B04DA8" w:rsidRDefault="00B04DA8" w:rsidP="00B04DA8">
      <w:pPr>
        <w:jc w:val="center"/>
        <w:rPr>
          <w:rFonts w:ascii="Times New Roman"/>
          <w:sz w:val="20"/>
          <w:szCs w:val="20"/>
        </w:rPr>
      </w:pPr>
      <w:r w:rsidRPr="00B04DA8">
        <w:rPr>
          <w:rFonts w:ascii="Times New Roman"/>
          <w:sz w:val="20"/>
          <w:szCs w:val="20"/>
        </w:rPr>
        <w:t>Figure 3: Total Losses and Energy Generation</w:t>
      </w:r>
    </w:p>
    <w:p w:rsidR="00B04DA8" w:rsidRDefault="009835C9" w:rsidP="009835C9">
      <w:pPr>
        <w:spacing w:after="0"/>
        <w:rPr>
          <w:rFonts w:ascii="Times New Roman"/>
          <w:sz w:val="20"/>
          <w:szCs w:val="20"/>
        </w:rPr>
      </w:pPr>
      <w:r w:rsidRPr="009835C9">
        <w:rPr>
          <w:rFonts w:ascii="Times New Roman"/>
          <w:sz w:val="20"/>
          <w:szCs w:val="20"/>
        </w:rPr>
        <w:t xml:space="preserve">The above figure shows the Total Losses and Energy Generation </w:t>
      </w:r>
    </w:p>
    <w:p w:rsidR="009835C9" w:rsidRPr="009835C9" w:rsidRDefault="009835C9" w:rsidP="009835C9">
      <w:pPr>
        <w:pStyle w:val="NormalWeb"/>
        <w:numPr>
          <w:ilvl w:val="0"/>
          <w:numId w:val="16"/>
        </w:numPr>
        <w:spacing w:before="0" w:beforeAutospacing="0" w:after="0" w:afterAutospacing="0" w:line="276" w:lineRule="auto"/>
        <w:jc w:val="both"/>
        <w:rPr>
          <w:sz w:val="20"/>
          <w:szCs w:val="20"/>
        </w:rPr>
      </w:pPr>
      <w:r w:rsidRPr="009835C9">
        <w:rPr>
          <w:rStyle w:val="Strong"/>
          <w:sz w:val="20"/>
          <w:szCs w:val="20"/>
        </w:rPr>
        <w:t>Europe &amp; Central Asia</w:t>
      </w:r>
      <w:r w:rsidRPr="009835C9">
        <w:rPr>
          <w:sz w:val="20"/>
          <w:szCs w:val="20"/>
        </w:rPr>
        <w:t xml:space="preserve"> and </w:t>
      </w:r>
      <w:r w:rsidRPr="009835C9">
        <w:rPr>
          <w:rStyle w:val="Strong"/>
          <w:sz w:val="20"/>
          <w:szCs w:val="20"/>
        </w:rPr>
        <w:t>Latin America &amp; the Caribbean</w:t>
      </w:r>
      <w:r w:rsidRPr="009835C9">
        <w:rPr>
          <w:sz w:val="20"/>
          <w:szCs w:val="20"/>
        </w:rPr>
        <w:t xml:space="preserve"> exhibit relatively high total energy production but moderate losses.</w:t>
      </w:r>
    </w:p>
    <w:p w:rsidR="009835C9" w:rsidRPr="009835C9" w:rsidRDefault="009835C9" w:rsidP="009835C9">
      <w:pPr>
        <w:pStyle w:val="NormalWeb"/>
        <w:numPr>
          <w:ilvl w:val="0"/>
          <w:numId w:val="16"/>
        </w:numPr>
        <w:spacing w:line="276" w:lineRule="auto"/>
        <w:jc w:val="both"/>
        <w:rPr>
          <w:sz w:val="20"/>
          <w:szCs w:val="20"/>
        </w:rPr>
      </w:pPr>
      <w:r w:rsidRPr="009835C9">
        <w:rPr>
          <w:rStyle w:val="Strong"/>
          <w:sz w:val="20"/>
          <w:szCs w:val="20"/>
        </w:rPr>
        <w:t>Sub-Saharan Africa</w:t>
      </w:r>
      <w:r w:rsidRPr="009835C9">
        <w:rPr>
          <w:sz w:val="20"/>
          <w:szCs w:val="20"/>
        </w:rPr>
        <w:t xml:space="preserve"> and </w:t>
      </w:r>
      <w:r w:rsidRPr="009835C9">
        <w:rPr>
          <w:rStyle w:val="Strong"/>
          <w:sz w:val="20"/>
          <w:szCs w:val="20"/>
        </w:rPr>
        <w:t>East Asia &amp; Pacific</w:t>
      </w:r>
      <w:r w:rsidRPr="009835C9">
        <w:rPr>
          <w:sz w:val="20"/>
          <w:szCs w:val="20"/>
        </w:rPr>
        <w:t xml:space="preserve"> display significant energy production with corresponding high losses.</w:t>
      </w:r>
    </w:p>
    <w:p w:rsidR="009835C9" w:rsidRPr="009835C9" w:rsidRDefault="009835C9" w:rsidP="009835C9">
      <w:pPr>
        <w:pStyle w:val="NormalWeb"/>
        <w:numPr>
          <w:ilvl w:val="0"/>
          <w:numId w:val="16"/>
        </w:numPr>
        <w:spacing w:line="276" w:lineRule="auto"/>
        <w:jc w:val="both"/>
        <w:rPr>
          <w:sz w:val="20"/>
          <w:szCs w:val="20"/>
        </w:rPr>
      </w:pPr>
      <w:r w:rsidRPr="009835C9">
        <w:rPr>
          <w:rStyle w:val="Strong"/>
          <w:sz w:val="20"/>
          <w:szCs w:val="20"/>
        </w:rPr>
        <w:t>North America</w:t>
      </w:r>
      <w:r w:rsidRPr="009835C9">
        <w:rPr>
          <w:sz w:val="20"/>
          <w:szCs w:val="20"/>
        </w:rPr>
        <w:t xml:space="preserve"> records the lowest losses and total energy values, indicating a highly efficient power transmission system.</w:t>
      </w:r>
    </w:p>
    <w:p w:rsidR="009835C9" w:rsidRPr="009835C9" w:rsidRDefault="009835C9" w:rsidP="009835C9">
      <w:pPr>
        <w:pStyle w:val="NormalWeb"/>
        <w:numPr>
          <w:ilvl w:val="0"/>
          <w:numId w:val="16"/>
        </w:numPr>
        <w:spacing w:line="276" w:lineRule="auto"/>
        <w:jc w:val="both"/>
        <w:rPr>
          <w:sz w:val="20"/>
          <w:szCs w:val="20"/>
        </w:rPr>
      </w:pPr>
      <w:r w:rsidRPr="009835C9">
        <w:rPr>
          <w:rStyle w:val="Strong"/>
          <w:sz w:val="20"/>
          <w:szCs w:val="20"/>
        </w:rPr>
        <w:t>Middle East &amp; North Africa</w:t>
      </w:r>
      <w:r w:rsidRPr="009835C9">
        <w:rPr>
          <w:sz w:val="20"/>
          <w:szCs w:val="20"/>
        </w:rPr>
        <w:t xml:space="preserve"> and </w:t>
      </w:r>
      <w:r w:rsidRPr="009835C9">
        <w:rPr>
          <w:rStyle w:val="Strong"/>
          <w:sz w:val="20"/>
          <w:szCs w:val="20"/>
        </w:rPr>
        <w:t>South Asia</w:t>
      </w:r>
      <w:r w:rsidRPr="009835C9">
        <w:rPr>
          <w:sz w:val="20"/>
          <w:szCs w:val="20"/>
        </w:rPr>
        <w:t xml:space="preserve"> show moderate energy production with noticeable losses.</w:t>
      </w:r>
    </w:p>
    <w:p w:rsidR="009835C9" w:rsidRDefault="009835C9" w:rsidP="00B04DA8">
      <w:pPr>
        <w:jc w:val="center"/>
        <w:rPr>
          <w:rFonts w:ascii="Times New Roman"/>
          <w:i/>
          <w:sz w:val="20"/>
          <w:szCs w:val="20"/>
        </w:rPr>
      </w:pPr>
      <w:r w:rsidRPr="009835C9">
        <w:rPr>
          <w:rFonts w:ascii="Times New Roman"/>
          <w:i/>
          <w:noProof/>
          <w:sz w:val="20"/>
          <w:szCs w:val="20"/>
          <w:lang w:val="en-IN" w:eastAsia="en-IN"/>
        </w:rPr>
        <w:drawing>
          <wp:inline distT="0" distB="0" distL="0" distR="0">
            <wp:extent cx="5238750" cy="2457450"/>
            <wp:effectExtent l="19050" t="0" r="0" b="0"/>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38750" cy="2457450"/>
                    </a:xfrm>
                    <a:prstGeom prst="rect">
                      <a:avLst/>
                    </a:prstGeom>
                    <a:noFill/>
                    <a:ln>
                      <a:noFill/>
                    </a:ln>
                  </pic:spPr>
                </pic:pic>
              </a:graphicData>
            </a:graphic>
          </wp:inline>
        </w:drawing>
      </w:r>
    </w:p>
    <w:p w:rsidR="009835C9" w:rsidRPr="009835C9" w:rsidRDefault="009835C9" w:rsidP="009835C9">
      <w:pPr>
        <w:jc w:val="center"/>
        <w:rPr>
          <w:rFonts w:ascii="Times New Roman"/>
          <w:b/>
          <w:sz w:val="20"/>
          <w:szCs w:val="20"/>
        </w:rPr>
      </w:pPr>
      <w:r w:rsidRPr="009835C9">
        <w:rPr>
          <w:rFonts w:ascii="Times New Roman"/>
          <w:sz w:val="20"/>
          <w:szCs w:val="20"/>
        </w:rPr>
        <w:t>Figure 3:</w:t>
      </w:r>
      <w:r w:rsidRPr="009835C9">
        <w:rPr>
          <w:rFonts w:ascii="Times New Roman"/>
          <w:b/>
          <w:sz w:val="20"/>
          <w:szCs w:val="20"/>
        </w:rPr>
        <w:t xml:space="preserve"> </w:t>
      </w:r>
      <w:r w:rsidRPr="009835C9">
        <w:rPr>
          <w:rStyle w:val="Strong"/>
          <w:rFonts w:ascii="Times New Roman"/>
          <w:b w:val="0"/>
          <w:sz w:val="20"/>
          <w:szCs w:val="20"/>
        </w:rPr>
        <w:t>Loss Percentage by Region</w:t>
      </w:r>
    </w:p>
    <w:p w:rsidR="009835C9" w:rsidRPr="009835C9" w:rsidRDefault="009835C9" w:rsidP="004D45A5">
      <w:pPr>
        <w:spacing w:after="120"/>
        <w:jc w:val="both"/>
        <w:rPr>
          <w:rFonts w:ascii="Times New Roman"/>
          <w:sz w:val="20"/>
          <w:szCs w:val="20"/>
        </w:rPr>
      </w:pPr>
      <w:r w:rsidRPr="009835C9">
        <w:rPr>
          <w:rStyle w:val="Strong"/>
          <w:rFonts w:ascii="Times New Roman"/>
          <w:sz w:val="20"/>
          <w:szCs w:val="20"/>
        </w:rPr>
        <w:lastRenderedPageBreak/>
        <w:t xml:space="preserve">In the above figure we have Loss Percentage by Region </w:t>
      </w:r>
    </w:p>
    <w:p w:rsidR="009835C9" w:rsidRPr="009835C9" w:rsidRDefault="009835C9" w:rsidP="004D45A5">
      <w:pPr>
        <w:pStyle w:val="NormalWeb"/>
        <w:numPr>
          <w:ilvl w:val="0"/>
          <w:numId w:val="17"/>
        </w:numPr>
        <w:spacing w:before="0" w:beforeAutospacing="0" w:after="0" w:afterAutospacing="0"/>
        <w:jc w:val="both"/>
        <w:rPr>
          <w:sz w:val="20"/>
          <w:szCs w:val="20"/>
        </w:rPr>
      </w:pPr>
      <w:r w:rsidRPr="009835C9">
        <w:rPr>
          <w:rStyle w:val="Strong"/>
          <w:sz w:val="20"/>
          <w:szCs w:val="20"/>
        </w:rPr>
        <w:t>Sub-Saharan Africa</w:t>
      </w:r>
      <w:r w:rsidRPr="009835C9">
        <w:rPr>
          <w:sz w:val="20"/>
          <w:szCs w:val="20"/>
        </w:rPr>
        <w:t xml:space="preserve"> has the highest loss percentage, exceeding 20%, signifying critical inefficiencies likely due to inadequate infrastructure and high levels of electricity theft.</w:t>
      </w:r>
    </w:p>
    <w:p w:rsidR="009835C9" w:rsidRPr="009835C9" w:rsidRDefault="009835C9" w:rsidP="009835C9">
      <w:pPr>
        <w:pStyle w:val="NormalWeb"/>
        <w:numPr>
          <w:ilvl w:val="0"/>
          <w:numId w:val="17"/>
        </w:numPr>
        <w:jc w:val="both"/>
        <w:rPr>
          <w:sz w:val="20"/>
          <w:szCs w:val="20"/>
        </w:rPr>
      </w:pPr>
      <w:r w:rsidRPr="009835C9">
        <w:rPr>
          <w:rStyle w:val="Strong"/>
          <w:sz w:val="20"/>
          <w:szCs w:val="20"/>
        </w:rPr>
        <w:t>South Asia</w:t>
      </w:r>
      <w:r w:rsidRPr="009835C9">
        <w:rPr>
          <w:sz w:val="20"/>
          <w:szCs w:val="20"/>
        </w:rPr>
        <w:t xml:space="preserve"> also demonstrates significant losses, estimated at 15-20%.</w:t>
      </w:r>
    </w:p>
    <w:p w:rsidR="009835C9" w:rsidRPr="009835C9" w:rsidRDefault="009835C9" w:rsidP="009835C9">
      <w:pPr>
        <w:pStyle w:val="NormalWeb"/>
        <w:numPr>
          <w:ilvl w:val="0"/>
          <w:numId w:val="17"/>
        </w:numPr>
        <w:jc w:val="both"/>
        <w:rPr>
          <w:sz w:val="20"/>
          <w:szCs w:val="20"/>
        </w:rPr>
      </w:pPr>
      <w:r w:rsidRPr="009835C9">
        <w:rPr>
          <w:rStyle w:val="Strong"/>
          <w:sz w:val="20"/>
          <w:szCs w:val="20"/>
        </w:rPr>
        <w:t>Middle East &amp; North Africa, Latin America &amp; the Caribbean</w:t>
      </w:r>
      <w:r w:rsidRPr="009835C9">
        <w:rPr>
          <w:sz w:val="20"/>
          <w:szCs w:val="20"/>
        </w:rPr>
        <w:t xml:space="preserve"> regions experience moderate losses in the range of 10-15%.</w:t>
      </w:r>
    </w:p>
    <w:p w:rsidR="009835C9" w:rsidRPr="009835C9" w:rsidRDefault="009835C9" w:rsidP="009835C9">
      <w:pPr>
        <w:pStyle w:val="NormalWeb"/>
        <w:numPr>
          <w:ilvl w:val="0"/>
          <w:numId w:val="17"/>
        </w:numPr>
        <w:jc w:val="both"/>
        <w:rPr>
          <w:sz w:val="20"/>
          <w:szCs w:val="20"/>
        </w:rPr>
      </w:pPr>
      <w:r w:rsidRPr="009835C9">
        <w:rPr>
          <w:rStyle w:val="Strong"/>
          <w:sz w:val="20"/>
          <w:szCs w:val="20"/>
        </w:rPr>
        <w:t>Europe &amp; Central Asia, and East Asia &amp; Pacific</w:t>
      </w:r>
      <w:r w:rsidRPr="009835C9">
        <w:rPr>
          <w:sz w:val="20"/>
          <w:szCs w:val="20"/>
        </w:rPr>
        <w:t xml:space="preserve"> have relatively lower losses.</w:t>
      </w:r>
    </w:p>
    <w:p w:rsidR="009835C9" w:rsidRPr="009835C9" w:rsidRDefault="009835C9" w:rsidP="004D45A5">
      <w:pPr>
        <w:pStyle w:val="NormalWeb"/>
        <w:numPr>
          <w:ilvl w:val="0"/>
          <w:numId w:val="17"/>
        </w:numPr>
        <w:jc w:val="both"/>
        <w:rPr>
          <w:sz w:val="20"/>
          <w:szCs w:val="20"/>
        </w:rPr>
      </w:pPr>
      <w:r w:rsidRPr="009835C9">
        <w:rPr>
          <w:rStyle w:val="Strong"/>
          <w:sz w:val="20"/>
          <w:szCs w:val="20"/>
        </w:rPr>
        <w:t>North America</w:t>
      </w:r>
      <w:r w:rsidRPr="009835C9">
        <w:rPr>
          <w:sz w:val="20"/>
          <w:szCs w:val="20"/>
        </w:rPr>
        <w:t xml:space="preserve"> reports the lowest loss percentage, indicative of a robust and technologically advanced grid infrastructure.</w:t>
      </w:r>
    </w:p>
    <w:p w:rsidR="009835C9" w:rsidRPr="009835C9" w:rsidRDefault="009835C9" w:rsidP="004D45A5">
      <w:pPr>
        <w:pStyle w:val="NormalWeb"/>
        <w:spacing w:before="0" w:beforeAutospacing="0" w:after="0" w:afterAutospacing="0"/>
        <w:rPr>
          <w:sz w:val="20"/>
          <w:szCs w:val="20"/>
        </w:rPr>
      </w:pPr>
      <w:r w:rsidRPr="009835C9">
        <w:rPr>
          <w:sz w:val="20"/>
          <w:szCs w:val="20"/>
        </w:rPr>
        <w:t>Transmission and distribution losses vary across regions:</w:t>
      </w:r>
    </w:p>
    <w:p w:rsidR="009835C9" w:rsidRPr="009835C9" w:rsidRDefault="009835C9" w:rsidP="004D45A5">
      <w:pPr>
        <w:pStyle w:val="NormalWeb"/>
        <w:numPr>
          <w:ilvl w:val="0"/>
          <w:numId w:val="18"/>
        </w:numPr>
        <w:spacing w:before="0" w:beforeAutospacing="0" w:after="0" w:afterAutospacing="0"/>
        <w:rPr>
          <w:sz w:val="20"/>
          <w:szCs w:val="20"/>
        </w:rPr>
      </w:pPr>
      <w:r w:rsidRPr="009835C9">
        <w:rPr>
          <w:rStyle w:val="Strong"/>
          <w:sz w:val="20"/>
          <w:szCs w:val="20"/>
        </w:rPr>
        <w:t>Developed nations</w:t>
      </w:r>
      <w:r w:rsidRPr="009835C9">
        <w:rPr>
          <w:sz w:val="20"/>
          <w:szCs w:val="20"/>
        </w:rPr>
        <w:t xml:space="preserve">: Losses are around </w:t>
      </w:r>
      <w:r w:rsidRPr="009835C9">
        <w:rPr>
          <w:rStyle w:val="Strong"/>
          <w:sz w:val="20"/>
          <w:szCs w:val="20"/>
        </w:rPr>
        <w:t>5-8%</w:t>
      </w:r>
      <w:r w:rsidRPr="009835C9">
        <w:rPr>
          <w:sz w:val="20"/>
          <w:szCs w:val="20"/>
        </w:rPr>
        <w:t xml:space="preserve"> due to advanced grid infrastructure.</w:t>
      </w:r>
    </w:p>
    <w:p w:rsidR="009835C9" w:rsidRPr="009835C9" w:rsidRDefault="009835C9" w:rsidP="009835C9">
      <w:pPr>
        <w:pStyle w:val="NormalWeb"/>
        <w:numPr>
          <w:ilvl w:val="0"/>
          <w:numId w:val="18"/>
        </w:numPr>
        <w:rPr>
          <w:sz w:val="20"/>
          <w:szCs w:val="20"/>
        </w:rPr>
      </w:pPr>
      <w:r w:rsidRPr="009835C9">
        <w:rPr>
          <w:rStyle w:val="Strong"/>
          <w:sz w:val="20"/>
          <w:szCs w:val="20"/>
        </w:rPr>
        <w:t>Developing nations</w:t>
      </w:r>
      <w:r w:rsidRPr="009835C9">
        <w:rPr>
          <w:sz w:val="20"/>
          <w:szCs w:val="20"/>
        </w:rPr>
        <w:t xml:space="preserve">: Losses exceed </w:t>
      </w:r>
      <w:r w:rsidRPr="009835C9">
        <w:rPr>
          <w:rStyle w:val="Strong"/>
          <w:sz w:val="20"/>
          <w:szCs w:val="20"/>
        </w:rPr>
        <w:t>15-20%</w:t>
      </w:r>
      <w:r w:rsidRPr="009835C9">
        <w:rPr>
          <w:sz w:val="20"/>
          <w:szCs w:val="20"/>
        </w:rPr>
        <w:t>, often due to outdated transmission networks and theft.</w:t>
      </w:r>
    </w:p>
    <w:p w:rsidR="009835C9" w:rsidRPr="004D45A5" w:rsidRDefault="004D45A5" w:rsidP="004D45A5">
      <w:pPr>
        <w:pStyle w:val="Heading2"/>
        <w:jc w:val="center"/>
        <w:rPr>
          <w:rFonts w:ascii="Times New Roman" w:hAnsi="Times New Roman" w:cs="Times New Roman"/>
          <w:i/>
          <w:color w:val="000000" w:themeColor="text1"/>
          <w:sz w:val="20"/>
          <w:szCs w:val="20"/>
        </w:rPr>
      </w:pPr>
      <w:r w:rsidRPr="004D45A5">
        <w:rPr>
          <w:rFonts w:ascii="Times New Roman" w:hAnsi="Times New Roman" w:cs="Times New Roman"/>
          <w:color w:val="000000" w:themeColor="text1"/>
          <w:sz w:val="20"/>
          <w:szCs w:val="20"/>
        </w:rPr>
        <w:t>IV. Future Prospects and Recommendations</w:t>
      </w:r>
    </w:p>
    <w:p w:rsidR="009835C9" w:rsidRPr="004D45A5" w:rsidRDefault="009835C9" w:rsidP="004D45A5">
      <w:pPr>
        <w:pStyle w:val="NormalWeb"/>
        <w:numPr>
          <w:ilvl w:val="0"/>
          <w:numId w:val="19"/>
        </w:numPr>
        <w:spacing w:before="0" w:beforeAutospacing="0" w:after="0" w:afterAutospacing="0"/>
        <w:rPr>
          <w:sz w:val="20"/>
          <w:szCs w:val="20"/>
        </w:rPr>
      </w:pPr>
      <w:r w:rsidRPr="004D45A5">
        <w:rPr>
          <w:rStyle w:val="Strong"/>
          <w:sz w:val="20"/>
          <w:szCs w:val="20"/>
        </w:rPr>
        <w:t>Investment in Renewable Energy:</w:t>
      </w:r>
      <w:r w:rsidRPr="004D45A5">
        <w:rPr>
          <w:sz w:val="20"/>
          <w:szCs w:val="20"/>
        </w:rPr>
        <w:t xml:space="preserve"> Governments should enhance policies to promote large-scale solar, wind, and hydroelectric power projects.</w:t>
      </w:r>
    </w:p>
    <w:p w:rsidR="009835C9" w:rsidRPr="004D45A5" w:rsidRDefault="009835C9" w:rsidP="009835C9">
      <w:pPr>
        <w:pStyle w:val="NormalWeb"/>
        <w:numPr>
          <w:ilvl w:val="0"/>
          <w:numId w:val="19"/>
        </w:numPr>
        <w:rPr>
          <w:sz w:val="20"/>
          <w:szCs w:val="20"/>
        </w:rPr>
      </w:pPr>
      <w:r w:rsidRPr="004D45A5">
        <w:rPr>
          <w:rStyle w:val="Strong"/>
          <w:sz w:val="20"/>
          <w:szCs w:val="20"/>
        </w:rPr>
        <w:t>Smart Grid Implementation:</w:t>
      </w:r>
      <w:r w:rsidRPr="004D45A5">
        <w:rPr>
          <w:sz w:val="20"/>
          <w:szCs w:val="20"/>
        </w:rPr>
        <w:t xml:space="preserve"> AI and IoT-driven smart grids can optimize energy distribution, reduce losses, and enhance demand-response management.</w:t>
      </w:r>
    </w:p>
    <w:p w:rsidR="009835C9" w:rsidRPr="004D45A5" w:rsidRDefault="009835C9" w:rsidP="009835C9">
      <w:pPr>
        <w:pStyle w:val="NormalWeb"/>
        <w:numPr>
          <w:ilvl w:val="0"/>
          <w:numId w:val="19"/>
        </w:numPr>
        <w:rPr>
          <w:sz w:val="20"/>
          <w:szCs w:val="20"/>
        </w:rPr>
      </w:pPr>
      <w:r w:rsidRPr="004D45A5">
        <w:rPr>
          <w:rStyle w:val="Strong"/>
          <w:sz w:val="20"/>
          <w:szCs w:val="20"/>
        </w:rPr>
        <w:t>Rural Electrification Programs:</w:t>
      </w:r>
      <w:r w:rsidRPr="004D45A5">
        <w:rPr>
          <w:sz w:val="20"/>
          <w:szCs w:val="20"/>
        </w:rPr>
        <w:t xml:space="preserve"> Expanding off-grid renewable energy solutions can bridge the electricity access gap in developing regions.</w:t>
      </w:r>
    </w:p>
    <w:p w:rsidR="009835C9" w:rsidRPr="004D45A5" w:rsidRDefault="009835C9" w:rsidP="009835C9">
      <w:pPr>
        <w:pStyle w:val="NormalWeb"/>
        <w:numPr>
          <w:ilvl w:val="0"/>
          <w:numId w:val="19"/>
        </w:numPr>
        <w:rPr>
          <w:sz w:val="20"/>
          <w:szCs w:val="20"/>
        </w:rPr>
      </w:pPr>
      <w:r w:rsidRPr="004D45A5">
        <w:rPr>
          <w:rStyle w:val="Strong"/>
          <w:sz w:val="20"/>
          <w:szCs w:val="20"/>
        </w:rPr>
        <w:t>Energy Storage Innovations:</w:t>
      </w:r>
      <w:r w:rsidRPr="004D45A5">
        <w:rPr>
          <w:sz w:val="20"/>
          <w:szCs w:val="20"/>
        </w:rPr>
        <w:t xml:space="preserve"> Battery storage technologies, such as lithium-ion and solid-state batteries, are critical for stabilizing renewable energy supply.</w:t>
      </w:r>
    </w:p>
    <w:p w:rsidR="009835C9" w:rsidRPr="004D45A5" w:rsidRDefault="009835C9" w:rsidP="009835C9">
      <w:pPr>
        <w:pStyle w:val="NormalWeb"/>
        <w:numPr>
          <w:ilvl w:val="0"/>
          <w:numId w:val="19"/>
        </w:numPr>
        <w:rPr>
          <w:sz w:val="20"/>
          <w:szCs w:val="20"/>
        </w:rPr>
      </w:pPr>
      <w:r w:rsidRPr="004D45A5">
        <w:rPr>
          <w:rStyle w:val="Strong"/>
          <w:sz w:val="20"/>
          <w:szCs w:val="20"/>
        </w:rPr>
        <w:t>Carbon Capture and Storage (CCS):</w:t>
      </w:r>
      <w:r w:rsidRPr="004D45A5">
        <w:rPr>
          <w:sz w:val="20"/>
          <w:szCs w:val="20"/>
        </w:rPr>
        <w:t xml:space="preserve"> Implementing CCS technology can mitigate the environmental impact of fossil fuel power plants.</w:t>
      </w:r>
    </w:p>
    <w:p w:rsidR="009835C9" w:rsidRPr="004D45A5" w:rsidRDefault="009835C9" w:rsidP="009835C9">
      <w:pPr>
        <w:pStyle w:val="NormalWeb"/>
        <w:numPr>
          <w:ilvl w:val="0"/>
          <w:numId w:val="19"/>
        </w:numPr>
        <w:rPr>
          <w:sz w:val="20"/>
          <w:szCs w:val="20"/>
        </w:rPr>
      </w:pPr>
      <w:r w:rsidRPr="004D45A5">
        <w:rPr>
          <w:rStyle w:val="Strong"/>
          <w:sz w:val="20"/>
          <w:szCs w:val="20"/>
        </w:rPr>
        <w:t>Policy and International Collaboration:</w:t>
      </w:r>
      <w:r w:rsidRPr="004D45A5">
        <w:rPr>
          <w:sz w:val="20"/>
          <w:szCs w:val="20"/>
        </w:rPr>
        <w:t xml:space="preserve"> Cross-border energy trade and collaborative research can drive sustainable energy transitions worldwide.</w:t>
      </w:r>
    </w:p>
    <w:p w:rsidR="009835C9" w:rsidRPr="009835C9" w:rsidRDefault="009835C9" w:rsidP="009835C9">
      <w:pPr>
        <w:pStyle w:val="Heading2"/>
        <w:jc w:val="center"/>
        <w:rPr>
          <w:rFonts w:ascii="Times New Roman" w:hAnsi="Times New Roman" w:cs="Times New Roman"/>
          <w:b w:val="0"/>
          <w:i/>
          <w:color w:val="000000" w:themeColor="text1"/>
          <w:sz w:val="20"/>
          <w:szCs w:val="20"/>
        </w:rPr>
      </w:pPr>
      <w:r w:rsidRPr="009835C9">
        <w:rPr>
          <w:rFonts w:ascii="Times New Roman" w:hAnsi="Times New Roman" w:cs="Times New Roman"/>
          <w:color w:val="000000" w:themeColor="text1"/>
          <w:sz w:val="20"/>
          <w:szCs w:val="20"/>
        </w:rPr>
        <w:t>V. Conclusion</w:t>
      </w:r>
    </w:p>
    <w:p w:rsidR="009835C9" w:rsidRPr="009835C9" w:rsidRDefault="009835C9" w:rsidP="004D45A5">
      <w:pPr>
        <w:pStyle w:val="NormalWeb"/>
        <w:spacing w:before="0" w:beforeAutospacing="0" w:after="0" w:afterAutospacing="0"/>
        <w:jc w:val="both"/>
        <w:rPr>
          <w:color w:val="000000" w:themeColor="text1"/>
          <w:sz w:val="20"/>
          <w:szCs w:val="20"/>
        </w:rPr>
      </w:pPr>
      <w:r w:rsidRPr="009835C9">
        <w:rPr>
          <w:color w:val="000000" w:themeColor="text1"/>
          <w:sz w:val="20"/>
          <w:szCs w:val="20"/>
        </w:rPr>
        <w:t>This research provides a detailed analysis of global electricity trends, highlighting the urgent need for sustainable energy transitions. While renewable energy adoption is increasing, disparities in electricity access and grid inefficiencies persist. Addressing these challenges requires technological advancements, policy reforms, and international collaboration. Future work will focus on predictive modeling of energy demand and integration of AI-driven energy management systems.</w:t>
      </w:r>
    </w:p>
    <w:p w:rsidR="009835C9" w:rsidRPr="009835C9" w:rsidRDefault="009835C9" w:rsidP="009835C9">
      <w:pPr>
        <w:pStyle w:val="Heading2"/>
        <w:jc w:val="center"/>
        <w:rPr>
          <w:rFonts w:ascii="Times New Roman" w:hAnsi="Times New Roman" w:cs="Times New Roman"/>
          <w:i/>
          <w:color w:val="000000" w:themeColor="text1"/>
          <w:sz w:val="20"/>
          <w:szCs w:val="20"/>
        </w:rPr>
      </w:pPr>
      <w:r w:rsidRPr="009835C9">
        <w:rPr>
          <w:rFonts w:ascii="Times New Roman" w:hAnsi="Times New Roman" w:cs="Times New Roman"/>
          <w:color w:val="000000" w:themeColor="text1"/>
          <w:sz w:val="20"/>
          <w:szCs w:val="20"/>
        </w:rPr>
        <w:t>Acknowledgment</w:t>
      </w:r>
    </w:p>
    <w:p w:rsidR="009835C9" w:rsidRPr="009835C9" w:rsidRDefault="009835C9" w:rsidP="009835C9">
      <w:pPr>
        <w:spacing w:before="120"/>
        <w:jc w:val="both"/>
        <w:rPr>
          <w:rFonts w:ascii="Times New Roman"/>
          <w:sz w:val="20"/>
          <w:szCs w:val="20"/>
        </w:rPr>
      </w:pPr>
      <w:r w:rsidRPr="009835C9">
        <w:rPr>
          <w:rFonts w:ascii="Times New Roman"/>
          <w:sz w:val="20"/>
          <w:szCs w:val="20"/>
        </w:rPr>
        <w:t>The authors acknowledge the support of data sources such as the International Energy Agency, World Bank, National Renewable Energy Laboratory, and the International Renewable Energy Agency for providing valuable datasets that contributed to this research</w:t>
      </w:r>
      <w:r>
        <w:rPr>
          <w:rFonts w:ascii="Times New Roman"/>
          <w:sz w:val="20"/>
          <w:szCs w:val="20"/>
        </w:rPr>
        <w:t>.</w:t>
      </w:r>
    </w:p>
    <w:p w:rsidR="00CF47C4" w:rsidRDefault="008A7684" w:rsidP="007F7C27">
      <w:pPr>
        <w:spacing w:after="0" w:line="240" w:lineRule="auto"/>
        <w:ind w:left="360" w:hanging="360"/>
        <w:jc w:val="center"/>
        <w:rPr>
          <w:rFonts w:ascii="Times New Roman"/>
          <w:b/>
          <w:szCs w:val="20"/>
        </w:rPr>
      </w:pPr>
      <w:r w:rsidRPr="00A516D0">
        <w:rPr>
          <w:rFonts w:ascii="Times New Roman"/>
          <w:b/>
          <w:szCs w:val="20"/>
        </w:rPr>
        <w:t>References</w:t>
      </w:r>
    </w:p>
    <w:p w:rsidR="009835C9" w:rsidRPr="001A32AF" w:rsidRDefault="00364B08" w:rsidP="00364B08">
      <w:pPr>
        <w:tabs>
          <w:tab w:val="left" w:pos="360"/>
        </w:tabs>
        <w:spacing w:after="0" w:line="240" w:lineRule="auto"/>
        <w:jc w:val="both"/>
        <w:rPr>
          <w:rFonts w:ascii="Times New Roman"/>
          <w:color w:val="000000" w:themeColor="text1"/>
          <w:sz w:val="16"/>
          <w:szCs w:val="16"/>
        </w:rPr>
      </w:pPr>
      <w:r w:rsidRPr="00364B08">
        <w:rPr>
          <w:rFonts w:ascii="Times New Roman"/>
          <w:color w:val="000000" w:themeColor="text1"/>
          <w:sz w:val="16"/>
          <w:szCs w:val="16"/>
        </w:rPr>
        <w:t>[1]</w:t>
      </w:r>
      <w:r w:rsidRPr="00364B08">
        <w:rPr>
          <w:rFonts w:ascii="Times New Roman"/>
          <w:color w:val="000000" w:themeColor="text1"/>
          <w:sz w:val="16"/>
          <w:szCs w:val="16"/>
        </w:rPr>
        <w:tab/>
      </w:r>
      <w:r w:rsidR="009835C9" w:rsidRPr="001A32AF">
        <w:rPr>
          <w:rFonts w:ascii="Times New Roman"/>
          <w:color w:val="000000" w:themeColor="text1"/>
          <w:sz w:val="16"/>
          <w:szCs w:val="16"/>
        </w:rPr>
        <w:t xml:space="preserve">International Energy Agency (IEA). (2020). </w:t>
      </w:r>
      <w:r w:rsidR="009835C9" w:rsidRPr="00364B08">
        <w:rPr>
          <w:rFonts w:ascii="Times New Roman"/>
          <w:i/>
          <w:iCs/>
          <w:color w:val="000000" w:themeColor="text1"/>
          <w:sz w:val="16"/>
          <w:szCs w:val="16"/>
        </w:rPr>
        <w:t>World Energy Outlook 2020</w:t>
      </w:r>
      <w:r w:rsidR="009835C9" w:rsidRPr="001A32AF">
        <w:rPr>
          <w:rFonts w:ascii="Times New Roman"/>
          <w:color w:val="000000" w:themeColor="text1"/>
          <w:sz w:val="16"/>
          <w:szCs w:val="16"/>
        </w:rPr>
        <w:t>. International Energy Agency.</w:t>
      </w:r>
    </w:p>
    <w:p w:rsidR="009835C9" w:rsidRPr="001A32AF" w:rsidRDefault="00364B08" w:rsidP="00364B08">
      <w:pPr>
        <w:tabs>
          <w:tab w:val="left" w:pos="360"/>
        </w:tabs>
        <w:spacing w:after="0" w:line="240" w:lineRule="auto"/>
        <w:jc w:val="both"/>
        <w:rPr>
          <w:rFonts w:ascii="Times New Roman"/>
          <w:color w:val="000000" w:themeColor="text1"/>
          <w:sz w:val="16"/>
          <w:szCs w:val="16"/>
        </w:rPr>
      </w:pPr>
      <w:r w:rsidRPr="00364B08">
        <w:rPr>
          <w:rFonts w:ascii="Times New Roman"/>
          <w:color w:val="000000" w:themeColor="text1"/>
          <w:sz w:val="16"/>
          <w:szCs w:val="16"/>
        </w:rPr>
        <w:t xml:space="preserve">[2] </w:t>
      </w:r>
      <w:r w:rsidRPr="00364B08">
        <w:rPr>
          <w:rFonts w:ascii="Times New Roman"/>
          <w:color w:val="000000" w:themeColor="text1"/>
          <w:sz w:val="16"/>
          <w:szCs w:val="16"/>
        </w:rPr>
        <w:tab/>
      </w:r>
      <w:r w:rsidR="009835C9" w:rsidRPr="001A32AF">
        <w:rPr>
          <w:rFonts w:ascii="Times New Roman"/>
          <w:color w:val="000000" w:themeColor="text1"/>
          <w:sz w:val="16"/>
          <w:szCs w:val="16"/>
        </w:rPr>
        <w:t xml:space="preserve">International Energy Agency (IEA). (2021). </w:t>
      </w:r>
      <w:r w:rsidR="009835C9" w:rsidRPr="00364B08">
        <w:rPr>
          <w:rFonts w:ascii="Times New Roman"/>
          <w:i/>
          <w:iCs/>
          <w:color w:val="000000" w:themeColor="text1"/>
          <w:sz w:val="16"/>
          <w:szCs w:val="16"/>
        </w:rPr>
        <w:t>Renewables 2021: Analysis and Forecast to 2026</w:t>
      </w:r>
      <w:r w:rsidR="009835C9" w:rsidRPr="001A32AF">
        <w:rPr>
          <w:rFonts w:ascii="Times New Roman"/>
          <w:color w:val="000000" w:themeColor="text1"/>
          <w:sz w:val="16"/>
          <w:szCs w:val="16"/>
        </w:rPr>
        <w:t>. International Energy Agency.</w:t>
      </w:r>
    </w:p>
    <w:p w:rsidR="009835C9" w:rsidRPr="00364B08" w:rsidRDefault="00364B08" w:rsidP="00364B08">
      <w:pPr>
        <w:pStyle w:val="NormalWeb"/>
        <w:tabs>
          <w:tab w:val="left" w:pos="360"/>
        </w:tabs>
        <w:spacing w:before="0" w:beforeAutospacing="0" w:after="0" w:afterAutospacing="0"/>
        <w:rPr>
          <w:color w:val="000000" w:themeColor="text1"/>
          <w:sz w:val="16"/>
          <w:szCs w:val="16"/>
        </w:rPr>
      </w:pPr>
      <w:r w:rsidRPr="00364B08">
        <w:rPr>
          <w:color w:val="000000" w:themeColor="text1"/>
          <w:sz w:val="16"/>
          <w:szCs w:val="16"/>
        </w:rPr>
        <w:t>[3]</w:t>
      </w:r>
      <w:r w:rsidRPr="00364B08">
        <w:rPr>
          <w:color w:val="000000" w:themeColor="text1"/>
          <w:sz w:val="16"/>
          <w:szCs w:val="16"/>
        </w:rPr>
        <w:tab/>
      </w:r>
      <w:r w:rsidR="009835C9" w:rsidRPr="00364B08">
        <w:rPr>
          <w:color w:val="000000" w:themeColor="text1"/>
          <w:sz w:val="16"/>
          <w:szCs w:val="16"/>
        </w:rPr>
        <w:t>International Energy Agen</w:t>
      </w:r>
      <w:r w:rsidRPr="00364B08">
        <w:rPr>
          <w:color w:val="000000" w:themeColor="text1"/>
          <w:sz w:val="16"/>
          <w:szCs w:val="16"/>
        </w:rPr>
        <w:t>cy, “World Energy Outlook 2023”.</w:t>
      </w:r>
      <w:r w:rsidR="009835C9" w:rsidRPr="00364B08">
        <w:rPr>
          <w:color w:val="000000" w:themeColor="text1"/>
          <w:sz w:val="16"/>
          <w:szCs w:val="16"/>
        </w:rPr>
        <w:br/>
      </w:r>
      <w:r w:rsidRPr="00364B08">
        <w:rPr>
          <w:color w:val="000000" w:themeColor="text1"/>
          <w:sz w:val="16"/>
          <w:szCs w:val="16"/>
        </w:rPr>
        <w:t>[4]</w:t>
      </w:r>
      <w:r w:rsidRPr="00364B08">
        <w:rPr>
          <w:color w:val="000000" w:themeColor="text1"/>
          <w:sz w:val="16"/>
          <w:szCs w:val="16"/>
        </w:rPr>
        <w:tab/>
      </w:r>
      <w:r w:rsidR="009835C9" w:rsidRPr="00364B08">
        <w:rPr>
          <w:color w:val="000000" w:themeColor="text1"/>
          <w:sz w:val="16"/>
          <w:szCs w:val="16"/>
        </w:rPr>
        <w:t>World Bank, “Global Electricity Access Report.”</w:t>
      </w:r>
      <w:r w:rsidR="009835C9" w:rsidRPr="00364B08">
        <w:rPr>
          <w:color w:val="000000" w:themeColor="text1"/>
          <w:sz w:val="16"/>
          <w:szCs w:val="16"/>
        </w:rPr>
        <w:br/>
      </w:r>
      <w:r w:rsidRPr="00364B08">
        <w:rPr>
          <w:color w:val="000000" w:themeColor="text1"/>
          <w:sz w:val="16"/>
          <w:szCs w:val="16"/>
        </w:rPr>
        <w:t xml:space="preserve">[5] </w:t>
      </w:r>
      <w:r w:rsidRPr="00364B08">
        <w:rPr>
          <w:color w:val="000000" w:themeColor="text1"/>
          <w:sz w:val="16"/>
          <w:szCs w:val="16"/>
        </w:rPr>
        <w:tab/>
      </w:r>
      <w:r w:rsidR="009835C9" w:rsidRPr="00364B08">
        <w:rPr>
          <w:color w:val="000000" w:themeColor="text1"/>
          <w:sz w:val="16"/>
          <w:szCs w:val="16"/>
        </w:rPr>
        <w:t>International Renewable Energy Agency, “Renewable Energy Statistics 2023.”</w:t>
      </w:r>
      <w:r w:rsidR="009835C9" w:rsidRPr="00364B08">
        <w:rPr>
          <w:color w:val="000000" w:themeColor="text1"/>
          <w:sz w:val="16"/>
          <w:szCs w:val="16"/>
        </w:rPr>
        <w:br/>
      </w:r>
      <w:r w:rsidRPr="00364B08">
        <w:rPr>
          <w:color w:val="000000" w:themeColor="text1"/>
          <w:sz w:val="16"/>
          <w:szCs w:val="16"/>
        </w:rPr>
        <w:t>[6]</w:t>
      </w:r>
      <w:r w:rsidRPr="00364B08">
        <w:rPr>
          <w:color w:val="000000" w:themeColor="text1"/>
          <w:sz w:val="16"/>
          <w:szCs w:val="16"/>
        </w:rPr>
        <w:tab/>
      </w:r>
      <w:r w:rsidR="009835C9" w:rsidRPr="00364B08">
        <w:rPr>
          <w:color w:val="000000" w:themeColor="text1"/>
          <w:sz w:val="16"/>
          <w:szCs w:val="16"/>
        </w:rPr>
        <w:t>U.S. Energy Information Administration, “Electricity Generation and Consumption Trends.”</w:t>
      </w:r>
    </w:p>
    <w:p w:rsidR="009835C9" w:rsidRPr="00364B08" w:rsidRDefault="00364B08" w:rsidP="00364B08">
      <w:pPr>
        <w:pStyle w:val="NormalWeb"/>
        <w:tabs>
          <w:tab w:val="left" w:pos="360"/>
        </w:tabs>
        <w:spacing w:before="0" w:beforeAutospacing="0" w:after="0" w:afterAutospacing="0"/>
        <w:ind w:left="360" w:hanging="360"/>
        <w:jc w:val="both"/>
        <w:rPr>
          <w:color w:val="000000" w:themeColor="text1"/>
          <w:sz w:val="16"/>
          <w:szCs w:val="16"/>
        </w:rPr>
      </w:pPr>
      <w:r w:rsidRPr="00364B08">
        <w:rPr>
          <w:color w:val="000000" w:themeColor="text1"/>
          <w:sz w:val="16"/>
          <w:szCs w:val="16"/>
        </w:rPr>
        <w:t>[7]</w:t>
      </w:r>
      <w:r w:rsidR="009835C9" w:rsidRPr="00364B08">
        <w:rPr>
          <w:color w:val="000000" w:themeColor="text1"/>
          <w:sz w:val="16"/>
          <w:szCs w:val="16"/>
        </w:rPr>
        <w:t xml:space="preserve"> </w:t>
      </w:r>
      <w:r w:rsidRPr="00364B08">
        <w:rPr>
          <w:color w:val="000000" w:themeColor="text1"/>
          <w:sz w:val="16"/>
          <w:szCs w:val="16"/>
        </w:rPr>
        <w:tab/>
      </w:r>
      <w:r w:rsidR="009835C9" w:rsidRPr="00364B08">
        <w:rPr>
          <w:color w:val="000000" w:themeColor="text1"/>
          <w:sz w:val="16"/>
          <w:szCs w:val="16"/>
        </w:rPr>
        <w:t>Harish V, Kumar A. A review on modeling and simulation of build-ing energy systems. Renewable Sustainable Energy Rev 2016; 56:1272–92.doi: 10.1016/j.rser.2015.12.040.</w:t>
      </w:r>
    </w:p>
    <w:p w:rsidR="009835C9" w:rsidRPr="00364B08" w:rsidRDefault="00364B08" w:rsidP="00364B08">
      <w:pPr>
        <w:pStyle w:val="NormalWeb"/>
        <w:tabs>
          <w:tab w:val="left" w:pos="360"/>
        </w:tabs>
        <w:spacing w:before="0" w:beforeAutospacing="0" w:after="0" w:afterAutospacing="0"/>
        <w:ind w:left="360" w:hanging="360"/>
        <w:jc w:val="both"/>
        <w:rPr>
          <w:color w:val="000000" w:themeColor="text1"/>
          <w:sz w:val="16"/>
          <w:szCs w:val="16"/>
        </w:rPr>
      </w:pPr>
      <w:r w:rsidRPr="00364B08">
        <w:rPr>
          <w:color w:val="000000" w:themeColor="text1"/>
          <w:sz w:val="16"/>
          <w:szCs w:val="16"/>
        </w:rPr>
        <w:t xml:space="preserve">[8] </w:t>
      </w:r>
      <w:r w:rsidRPr="00364B08">
        <w:rPr>
          <w:color w:val="000000" w:themeColor="text1"/>
          <w:sz w:val="16"/>
          <w:szCs w:val="16"/>
        </w:rPr>
        <w:tab/>
      </w:r>
      <w:r w:rsidR="009835C9" w:rsidRPr="00364B08">
        <w:rPr>
          <w:color w:val="000000" w:themeColor="text1"/>
          <w:sz w:val="16"/>
          <w:szCs w:val="16"/>
        </w:rPr>
        <w:t>Wei Y, Zhang X, Shi Y, Xia L, Pan S, Wu J, et al. A review of data-driven approachesfor prediction and classification of building energy consumption. Renewable Sustainable Energy Rev 2018; 82:1027–47. doi: 10.1016/j.rser.2017.09.108.</w:t>
      </w:r>
    </w:p>
    <w:p w:rsidR="009835C9" w:rsidRPr="00364B08" w:rsidRDefault="00364B08" w:rsidP="00364B08">
      <w:pPr>
        <w:pStyle w:val="NormalWeb"/>
        <w:tabs>
          <w:tab w:val="left" w:pos="360"/>
        </w:tabs>
        <w:spacing w:before="0" w:beforeAutospacing="0" w:after="0" w:afterAutospacing="0"/>
        <w:ind w:left="360" w:hanging="360"/>
        <w:jc w:val="both"/>
        <w:rPr>
          <w:color w:val="000000" w:themeColor="text1"/>
          <w:sz w:val="16"/>
          <w:szCs w:val="16"/>
        </w:rPr>
      </w:pPr>
      <w:r w:rsidRPr="00364B08">
        <w:rPr>
          <w:color w:val="000000" w:themeColor="text1"/>
          <w:sz w:val="16"/>
          <w:szCs w:val="16"/>
        </w:rPr>
        <w:t>[9]</w:t>
      </w:r>
      <w:r w:rsidRPr="00364B08">
        <w:rPr>
          <w:color w:val="000000" w:themeColor="text1"/>
          <w:sz w:val="16"/>
          <w:szCs w:val="16"/>
        </w:rPr>
        <w:tab/>
      </w:r>
      <w:r w:rsidR="009835C9" w:rsidRPr="00364B08">
        <w:rPr>
          <w:color w:val="000000" w:themeColor="text1"/>
          <w:sz w:val="16"/>
          <w:szCs w:val="16"/>
        </w:rPr>
        <w:t>Yildiz B, Bilbao JI, Dore J, Sproul AB. Recent advances in the analysis of residential electricity consumption and applications of smart meter data. Appl Energy2017; 208:402–27. doi:10.1016/j.apenergy.2017.10.014.</w:t>
      </w:r>
    </w:p>
    <w:p w:rsidR="009835C9" w:rsidRPr="00364B08" w:rsidRDefault="00364B08" w:rsidP="00364B08">
      <w:pPr>
        <w:pStyle w:val="NormalWeb"/>
        <w:tabs>
          <w:tab w:val="left" w:pos="360"/>
        </w:tabs>
        <w:spacing w:before="0" w:beforeAutospacing="0" w:after="0" w:afterAutospacing="0"/>
        <w:ind w:left="360" w:hanging="360"/>
        <w:jc w:val="both"/>
        <w:rPr>
          <w:color w:val="000000" w:themeColor="text1"/>
          <w:sz w:val="16"/>
          <w:szCs w:val="16"/>
        </w:rPr>
      </w:pPr>
      <w:r w:rsidRPr="00364B08">
        <w:rPr>
          <w:color w:val="000000" w:themeColor="text1"/>
          <w:sz w:val="16"/>
          <w:szCs w:val="16"/>
        </w:rPr>
        <w:t>[10]</w:t>
      </w:r>
      <w:r w:rsidRPr="00364B08">
        <w:rPr>
          <w:color w:val="000000" w:themeColor="text1"/>
          <w:sz w:val="16"/>
          <w:szCs w:val="16"/>
        </w:rPr>
        <w:tab/>
      </w:r>
      <w:r w:rsidR="009835C9" w:rsidRPr="00364B08">
        <w:rPr>
          <w:color w:val="000000" w:themeColor="text1"/>
          <w:sz w:val="16"/>
          <w:szCs w:val="16"/>
        </w:rPr>
        <w:t>Zhou K, Yang S. Understanding household energy consumption behavior: thecontribution of energy big data analytics.</w:t>
      </w:r>
      <w:r w:rsidR="009835C9" w:rsidRPr="009835C9">
        <w:rPr>
          <w:color w:val="000000" w:themeColor="text1"/>
          <w:sz w:val="20"/>
          <w:szCs w:val="20"/>
        </w:rPr>
        <w:t xml:space="preserve"> Renewable Sustainable </w:t>
      </w:r>
      <w:r w:rsidR="009835C9" w:rsidRPr="00364B08">
        <w:rPr>
          <w:color w:val="000000" w:themeColor="text1"/>
          <w:sz w:val="16"/>
          <w:szCs w:val="16"/>
        </w:rPr>
        <w:t>Energy Rev2016; 56:810–19. doi: 10.1016/j.rser.2015.12.001.</w:t>
      </w:r>
    </w:p>
    <w:p w:rsidR="009835C9" w:rsidRPr="00364B08" w:rsidRDefault="00364B08" w:rsidP="00364B08">
      <w:pPr>
        <w:pStyle w:val="NormalWeb"/>
        <w:tabs>
          <w:tab w:val="left" w:pos="360"/>
        </w:tabs>
        <w:spacing w:before="0" w:beforeAutospacing="0" w:after="0" w:afterAutospacing="0"/>
        <w:ind w:left="360" w:hanging="360"/>
        <w:jc w:val="both"/>
        <w:rPr>
          <w:color w:val="000000" w:themeColor="text1"/>
          <w:sz w:val="16"/>
          <w:szCs w:val="16"/>
        </w:rPr>
      </w:pPr>
      <w:r>
        <w:rPr>
          <w:color w:val="000000" w:themeColor="text1"/>
          <w:sz w:val="16"/>
          <w:szCs w:val="16"/>
        </w:rPr>
        <w:t>[11]</w:t>
      </w:r>
      <w:r>
        <w:rPr>
          <w:color w:val="000000" w:themeColor="text1"/>
          <w:sz w:val="16"/>
          <w:szCs w:val="16"/>
        </w:rPr>
        <w:tab/>
      </w:r>
      <w:r w:rsidR="009835C9" w:rsidRPr="00364B08">
        <w:rPr>
          <w:color w:val="000000" w:themeColor="text1"/>
          <w:sz w:val="16"/>
          <w:szCs w:val="16"/>
        </w:rPr>
        <w:t>Hong T, Pinson P, Fan S, Zareipour H, Troccoli A, Hyndman RJ. Probabilistic energyforecasting: global energy forecasting competition 2014 and beyond. Int J Forecast2016;32(3):896–913. doi: 10.1016/j.ijforecast.2016.02.001.</w:t>
      </w:r>
    </w:p>
    <w:p w:rsidR="009835C9" w:rsidRPr="00364B08" w:rsidRDefault="00364B08" w:rsidP="00364B08">
      <w:pPr>
        <w:pStyle w:val="NormalWeb"/>
        <w:tabs>
          <w:tab w:val="left" w:pos="360"/>
        </w:tabs>
        <w:spacing w:before="0" w:beforeAutospacing="0" w:after="0" w:afterAutospacing="0"/>
        <w:jc w:val="both"/>
        <w:rPr>
          <w:color w:val="000000" w:themeColor="text1"/>
          <w:sz w:val="16"/>
          <w:szCs w:val="16"/>
        </w:rPr>
      </w:pPr>
      <w:r>
        <w:rPr>
          <w:color w:val="000000" w:themeColor="text1"/>
          <w:sz w:val="16"/>
          <w:szCs w:val="16"/>
        </w:rPr>
        <w:t>[12]</w:t>
      </w:r>
      <w:r>
        <w:rPr>
          <w:color w:val="000000" w:themeColor="text1"/>
          <w:sz w:val="16"/>
          <w:szCs w:val="16"/>
        </w:rPr>
        <w:tab/>
      </w:r>
      <w:r w:rsidR="009835C9" w:rsidRPr="00364B08">
        <w:rPr>
          <w:color w:val="000000" w:themeColor="text1"/>
          <w:sz w:val="16"/>
          <w:szCs w:val="16"/>
        </w:rPr>
        <w:t>Hong T, Fan S. Probabilistic electric load forecasting: a tutorial review. Int J Forecast 2016;32(3):914–38. doi: 10.1016/j.ijforecast.2015.11.011.</w:t>
      </w:r>
    </w:p>
    <w:p w:rsidR="009835C9" w:rsidRPr="00364B08" w:rsidRDefault="00364B08" w:rsidP="00364B08">
      <w:pPr>
        <w:pStyle w:val="NormalWeb"/>
        <w:tabs>
          <w:tab w:val="left" w:pos="360"/>
        </w:tabs>
        <w:spacing w:before="0" w:beforeAutospacing="0" w:after="0" w:afterAutospacing="0"/>
        <w:jc w:val="both"/>
        <w:rPr>
          <w:color w:val="000000" w:themeColor="text1"/>
          <w:sz w:val="16"/>
          <w:szCs w:val="16"/>
        </w:rPr>
      </w:pPr>
      <w:r>
        <w:rPr>
          <w:color w:val="000000" w:themeColor="text1"/>
          <w:sz w:val="16"/>
          <w:szCs w:val="16"/>
        </w:rPr>
        <w:t>[13]</w:t>
      </w:r>
      <w:r>
        <w:rPr>
          <w:color w:val="000000" w:themeColor="text1"/>
          <w:sz w:val="16"/>
          <w:szCs w:val="16"/>
        </w:rPr>
        <w:tab/>
      </w:r>
      <w:r w:rsidR="009835C9" w:rsidRPr="00364B08">
        <w:rPr>
          <w:color w:val="000000" w:themeColor="text1"/>
          <w:sz w:val="16"/>
          <w:szCs w:val="16"/>
        </w:rPr>
        <w:t>Kalogirou S. Artificial neural networks in renewable energy systems applications:a review. Appl Energy 2001.</w:t>
      </w:r>
    </w:p>
    <w:p w:rsidR="009835C9" w:rsidRPr="00364B08" w:rsidRDefault="00364B08" w:rsidP="00364B08">
      <w:pPr>
        <w:pStyle w:val="NormalWeb"/>
        <w:tabs>
          <w:tab w:val="left" w:pos="360"/>
        </w:tabs>
        <w:spacing w:before="0" w:beforeAutospacing="0" w:after="0" w:afterAutospacing="0"/>
        <w:jc w:val="both"/>
        <w:rPr>
          <w:color w:val="000000" w:themeColor="text1"/>
          <w:sz w:val="16"/>
          <w:szCs w:val="16"/>
        </w:rPr>
      </w:pPr>
      <w:r>
        <w:rPr>
          <w:color w:val="000000" w:themeColor="text1"/>
          <w:sz w:val="16"/>
          <w:szCs w:val="16"/>
        </w:rPr>
        <w:t>[14]</w:t>
      </w:r>
      <w:r>
        <w:rPr>
          <w:color w:val="000000" w:themeColor="text1"/>
          <w:sz w:val="16"/>
          <w:szCs w:val="16"/>
        </w:rPr>
        <w:tab/>
      </w:r>
      <w:r w:rsidR="009835C9" w:rsidRPr="00364B08">
        <w:rPr>
          <w:color w:val="000000" w:themeColor="text1"/>
          <w:sz w:val="16"/>
          <w:szCs w:val="16"/>
        </w:rPr>
        <w:t>Kalogirou S. Applications of artifcial neural-networks for energy systems. Appl Energy 2000:17–35.</w:t>
      </w:r>
    </w:p>
    <w:p w:rsidR="009835C9" w:rsidRPr="00364B08" w:rsidRDefault="00364B08" w:rsidP="00364B08">
      <w:pPr>
        <w:pStyle w:val="NormalWeb"/>
        <w:tabs>
          <w:tab w:val="left" w:pos="360"/>
        </w:tabs>
        <w:spacing w:before="0" w:beforeAutospacing="0" w:after="0" w:afterAutospacing="0"/>
        <w:jc w:val="both"/>
        <w:rPr>
          <w:color w:val="000000" w:themeColor="text1"/>
          <w:sz w:val="16"/>
          <w:szCs w:val="16"/>
        </w:rPr>
      </w:pPr>
      <w:r>
        <w:rPr>
          <w:color w:val="000000" w:themeColor="text1"/>
          <w:sz w:val="16"/>
          <w:szCs w:val="16"/>
        </w:rPr>
        <w:lastRenderedPageBreak/>
        <w:t>[15]</w:t>
      </w:r>
      <w:r>
        <w:rPr>
          <w:color w:val="000000" w:themeColor="text1"/>
          <w:sz w:val="16"/>
          <w:szCs w:val="16"/>
        </w:rPr>
        <w:tab/>
      </w:r>
      <w:r w:rsidR="009835C9" w:rsidRPr="00364B08">
        <w:rPr>
          <w:color w:val="000000" w:themeColor="text1"/>
          <w:sz w:val="16"/>
          <w:szCs w:val="16"/>
        </w:rPr>
        <w:t>Kalogirou S. Applications of artifcial neural networks in energy systems - a review.Energy Convers Manage 1998:1073–87.</w:t>
      </w:r>
    </w:p>
    <w:p w:rsidR="009835C9" w:rsidRPr="00364B08" w:rsidRDefault="00364B08" w:rsidP="00364B08">
      <w:pPr>
        <w:pStyle w:val="NormalWeb"/>
        <w:tabs>
          <w:tab w:val="left" w:pos="360"/>
        </w:tabs>
        <w:spacing w:before="0" w:beforeAutospacing="0" w:after="0" w:afterAutospacing="0"/>
        <w:ind w:left="360" w:hanging="360"/>
        <w:jc w:val="both"/>
        <w:rPr>
          <w:color w:val="000000" w:themeColor="text1"/>
          <w:sz w:val="16"/>
          <w:szCs w:val="16"/>
        </w:rPr>
      </w:pPr>
      <w:r>
        <w:rPr>
          <w:color w:val="000000" w:themeColor="text1"/>
          <w:sz w:val="16"/>
          <w:szCs w:val="16"/>
        </w:rPr>
        <w:t>[16]</w:t>
      </w:r>
      <w:r>
        <w:rPr>
          <w:color w:val="000000" w:themeColor="text1"/>
          <w:sz w:val="16"/>
          <w:szCs w:val="16"/>
        </w:rPr>
        <w:tab/>
      </w:r>
      <w:r w:rsidR="009835C9" w:rsidRPr="00364B08">
        <w:rPr>
          <w:color w:val="000000" w:themeColor="text1"/>
          <w:sz w:val="16"/>
          <w:szCs w:val="16"/>
        </w:rPr>
        <w:t>Hippert HS, Pedreira CE, Souza RC. Neural networks for short-term load forecasting: a review and evaluation. IEEE Trans Power Syst 2001;16(1):44–55.doi:10.1109/59.910780.</w:t>
      </w:r>
    </w:p>
    <w:p w:rsidR="009835C9" w:rsidRPr="00364B08" w:rsidRDefault="00364B08" w:rsidP="00364B08">
      <w:pPr>
        <w:pStyle w:val="NormalWeb"/>
        <w:tabs>
          <w:tab w:val="left" w:pos="360"/>
        </w:tabs>
        <w:spacing w:before="0" w:beforeAutospacing="0" w:after="0" w:afterAutospacing="0"/>
        <w:jc w:val="both"/>
        <w:rPr>
          <w:color w:val="000000" w:themeColor="text1"/>
          <w:sz w:val="16"/>
          <w:szCs w:val="16"/>
        </w:rPr>
      </w:pPr>
      <w:r>
        <w:rPr>
          <w:color w:val="000000" w:themeColor="text1"/>
          <w:sz w:val="16"/>
          <w:szCs w:val="16"/>
        </w:rPr>
        <w:t>[17]</w:t>
      </w:r>
      <w:r>
        <w:rPr>
          <w:color w:val="000000" w:themeColor="text1"/>
          <w:sz w:val="16"/>
          <w:szCs w:val="16"/>
        </w:rPr>
        <w:tab/>
      </w:r>
      <w:r w:rsidR="009835C9" w:rsidRPr="00364B08">
        <w:rPr>
          <w:color w:val="000000" w:themeColor="text1"/>
          <w:sz w:val="16"/>
          <w:szCs w:val="16"/>
        </w:rPr>
        <w:t>Weron R. Modeling and forecasting electricity loads and prices: a statistical approach. Chichester England and Hoboken NJ: John Wiley &amp; Sons; 2006.</w:t>
      </w:r>
    </w:p>
    <w:p w:rsidR="009835C9" w:rsidRPr="00364B08" w:rsidRDefault="00364B08" w:rsidP="00364B08">
      <w:pPr>
        <w:pStyle w:val="NormalWeb"/>
        <w:tabs>
          <w:tab w:val="left" w:pos="360"/>
        </w:tabs>
        <w:spacing w:before="0" w:beforeAutospacing="0" w:after="0" w:afterAutospacing="0"/>
        <w:jc w:val="both"/>
        <w:rPr>
          <w:color w:val="000000" w:themeColor="text1"/>
          <w:sz w:val="16"/>
          <w:szCs w:val="16"/>
        </w:rPr>
      </w:pPr>
      <w:r>
        <w:rPr>
          <w:color w:val="000000" w:themeColor="text1"/>
          <w:sz w:val="16"/>
          <w:szCs w:val="16"/>
        </w:rPr>
        <w:t>[18]</w:t>
      </w:r>
      <w:r>
        <w:rPr>
          <w:color w:val="000000" w:themeColor="text1"/>
          <w:sz w:val="16"/>
          <w:szCs w:val="16"/>
        </w:rPr>
        <w:tab/>
      </w:r>
      <w:r w:rsidR="009835C9" w:rsidRPr="00364B08">
        <w:rPr>
          <w:color w:val="000000" w:themeColor="text1"/>
          <w:sz w:val="16"/>
          <w:szCs w:val="16"/>
        </w:rPr>
        <w:t>Liu Y, Yu S, Zhu Y, Wang D, Liu J. Modeling, planning, application and management</w:t>
      </w:r>
    </w:p>
    <w:p w:rsidR="009835C9" w:rsidRPr="00364B08" w:rsidRDefault="009835C9" w:rsidP="00364B08">
      <w:pPr>
        <w:pStyle w:val="NormalWeb"/>
        <w:spacing w:before="0" w:beforeAutospacing="0" w:after="0" w:afterAutospacing="0"/>
        <w:ind w:left="360"/>
        <w:jc w:val="both"/>
        <w:rPr>
          <w:color w:val="000000" w:themeColor="text1"/>
          <w:sz w:val="16"/>
          <w:szCs w:val="16"/>
        </w:rPr>
      </w:pPr>
      <w:r w:rsidRPr="00364B08">
        <w:rPr>
          <w:color w:val="000000" w:themeColor="text1"/>
          <w:sz w:val="16"/>
          <w:szCs w:val="16"/>
        </w:rPr>
        <w:t>of energy systems for isolated areas: a review. Renewable Sustainable Energy Rev 2018; 82:460–70. doi: 10.1016/j.rser.2017.09.063.</w:t>
      </w:r>
    </w:p>
    <w:p w:rsidR="009835C9" w:rsidRPr="00364B08" w:rsidRDefault="00364B08" w:rsidP="00364B08">
      <w:pPr>
        <w:pStyle w:val="NormalWeb"/>
        <w:tabs>
          <w:tab w:val="left" w:pos="360"/>
        </w:tabs>
        <w:spacing w:before="0" w:beforeAutospacing="0" w:after="0" w:afterAutospacing="0"/>
        <w:ind w:left="360" w:hanging="360"/>
        <w:jc w:val="both"/>
        <w:rPr>
          <w:color w:val="000000" w:themeColor="text1"/>
          <w:sz w:val="16"/>
          <w:szCs w:val="16"/>
        </w:rPr>
      </w:pPr>
      <w:r>
        <w:rPr>
          <w:color w:val="000000" w:themeColor="text1"/>
          <w:sz w:val="16"/>
          <w:szCs w:val="16"/>
        </w:rPr>
        <w:t>[18]</w:t>
      </w:r>
      <w:r>
        <w:rPr>
          <w:color w:val="000000" w:themeColor="text1"/>
          <w:sz w:val="16"/>
          <w:szCs w:val="16"/>
        </w:rPr>
        <w:tab/>
      </w:r>
      <w:r w:rsidR="009835C9" w:rsidRPr="00364B08">
        <w:rPr>
          <w:color w:val="000000" w:themeColor="text1"/>
          <w:sz w:val="16"/>
          <w:szCs w:val="16"/>
        </w:rPr>
        <w:t>Chicco G. Overview and performance assessment of the clustering methods for electrical load pattern grouping. Energy 2012;42(1):68–80.doi: 10.1016/j.energy.2011.12.031.</w:t>
      </w:r>
    </w:p>
    <w:p w:rsidR="009835C9" w:rsidRPr="00364B08" w:rsidRDefault="00364B08" w:rsidP="00364B08">
      <w:pPr>
        <w:pStyle w:val="NormalWeb"/>
        <w:tabs>
          <w:tab w:val="left" w:pos="360"/>
        </w:tabs>
        <w:spacing w:before="0" w:beforeAutospacing="0" w:after="0" w:afterAutospacing="0"/>
        <w:ind w:left="360" w:hanging="360"/>
        <w:jc w:val="both"/>
        <w:rPr>
          <w:color w:val="000000" w:themeColor="text1"/>
          <w:sz w:val="16"/>
          <w:szCs w:val="16"/>
        </w:rPr>
      </w:pPr>
      <w:r>
        <w:rPr>
          <w:color w:val="000000" w:themeColor="text1"/>
          <w:sz w:val="16"/>
          <w:szCs w:val="16"/>
        </w:rPr>
        <w:t>[19]</w:t>
      </w:r>
      <w:r>
        <w:rPr>
          <w:color w:val="000000" w:themeColor="text1"/>
          <w:sz w:val="16"/>
          <w:szCs w:val="16"/>
        </w:rPr>
        <w:tab/>
      </w:r>
      <w:r w:rsidR="009835C9" w:rsidRPr="00364B08">
        <w:rPr>
          <w:color w:val="000000" w:themeColor="text1"/>
          <w:sz w:val="16"/>
          <w:szCs w:val="16"/>
        </w:rPr>
        <w:t>Suganthi L, Samuel AA. Energy models for demand forecastingareview. Renewable Sustainable Energy Rev 2012;16(2):1223–40.doi: 10.1016/j.rser.2011.08.014.</w:t>
      </w:r>
      <w:r w:rsidR="009835C9" w:rsidRPr="00364B08">
        <w:rPr>
          <w:color w:val="000000" w:themeColor="text1"/>
          <w:sz w:val="16"/>
          <w:szCs w:val="16"/>
        </w:rPr>
        <w:br/>
      </w:r>
    </w:p>
    <w:p w:rsidR="009835C9" w:rsidRDefault="009835C9" w:rsidP="007F7C27">
      <w:pPr>
        <w:spacing w:after="0" w:line="240" w:lineRule="auto"/>
        <w:ind w:left="360" w:hanging="360"/>
        <w:jc w:val="center"/>
        <w:rPr>
          <w:rFonts w:ascii="Times New Roman"/>
          <w:b/>
          <w:szCs w:val="20"/>
        </w:rPr>
      </w:pPr>
    </w:p>
    <w:sectPr w:rsidR="009835C9" w:rsidSect="00364B08">
      <w:type w:val="continuous"/>
      <w:pgSz w:w="12240" w:h="15840"/>
      <w:pgMar w:top="1122" w:right="720" w:bottom="1170" w:left="990" w:header="540" w:footer="824"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5A02" w:rsidRDefault="00745A02">
      <w:pPr>
        <w:spacing w:after="0" w:line="240" w:lineRule="auto"/>
      </w:pPr>
      <w:r>
        <w:separator/>
      </w:r>
    </w:p>
  </w:endnote>
  <w:endnote w:type="continuationSeparator" w:id="0">
    <w:p w:rsidR="00745A02" w:rsidRDefault="00745A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4442" w:rsidRPr="00B402A1" w:rsidRDefault="004061D0" w:rsidP="008A0474">
    <w:pPr>
      <w:pStyle w:val="Footer"/>
      <w:pBdr>
        <w:top w:val="single" w:sz="4" w:space="1" w:color="auto"/>
      </w:pBdr>
      <w:tabs>
        <w:tab w:val="clear" w:pos="4513"/>
        <w:tab w:val="clear" w:pos="9026"/>
      </w:tabs>
      <w:jc w:val="right"/>
      <w:rPr>
        <w:rFonts w:ascii="Times New Roman"/>
        <w:sz w:val="20"/>
      </w:rPr>
    </w:pPr>
    <w:r>
      <w:rPr>
        <w:rFonts w:ascii="Times New Roman"/>
        <w:sz w:val="20"/>
      </w:rPr>
      <w:fldChar w:fldCharType="begin"/>
    </w:r>
    <w:r w:rsidR="005B4442">
      <w:rPr>
        <w:rFonts w:ascii="Times New Roman"/>
        <w:sz w:val="20"/>
      </w:rPr>
      <w:instrText xml:space="preserve"> PAGE  \* Arabic  \* MERGEFORMAT </w:instrText>
    </w:r>
    <w:r>
      <w:rPr>
        <w:rFonts w:ascii="Times New Roman"/>
        <w:sz w:val="20"/>
      </w:rPr>
      <w:fldChar w:fldCharType="separate"/>
    </w:r>
    <w:r w:rsidR="006239A6">
      <w:rPr>
        <w:rFonts w:ascii="Times New Roman"/>
        <w:noProof/>
        <w:sz w:val="20"/>
      </w:rPr>
      <w:t>2</w:t>
    </w:r>
    <w:r>
      <w:rPr>
        <w:rFonts w:ascii="Times New Roman"/>
        <w:sz w:val="20"/>
      </w:rPr>
      <w:fldChar w:fldCharType="end"/>
    </w:r>
    <w:r w:rsidR="005B4442">
      <w:rPr>
        <w:rFonts w:ascii="Times New Roman"/>
        <w:sz w:val="20"/>
      </w:rPr>
      <w:t xml:space="preserve"> | Page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4442" w:rsidRDefault="00376239" w:rsidP="008A0474">
    <w:pPr>
      <w:pStyle w:val="Footer"/>
      <w:pBdr>
        <w:top w:val="single" w:sz="4" w:space="1" w:color="auto"/>
      </w:pBdr>
      <w:tabs>
        <w:tab w:val="clear" w:pos="4513"/>
        <w:tab w:val="clear" w:pos="9026"/>
      </w:tabs>
      <w:ind w:firstLine="90"/>
      <w:jc w:val="right"/>
      <w:rPr>
        <w:rFonts w:ascii="Times New Roman"/>
        <w:sz w:val="20"/>
      </w:rPr>
    </w:pPr>
    <w:r>
      <w:rPr>
        <w:rFonts w:ascii="Times New Roman"/>
        <w:sz w:val="20"/>
      </w:rPr>
      <w:tab/>
    </w:r>
    <w:r>
      <w:rPr>
        <w:rFonts w:ascii="Times New Roman"/>
        <w:sz w:val="20"/>
      </w:rPr>
      <w:tab/>
    </w:r>
    <w:r w:rsidR="008A0474">
      <w:rPr>
        <w:rFonts w:ascii="Times New Roman"/>
        <w:sz w:val="20"/>
      </w:rPr>
      <w:tab/>
    </w:r>
    <w:r w:rsidR="008A0474">
      <w:rPr>
        <w:rFonts w:ascii="Times New Roman"/>
        <w:sz w:val="20"/>
      </w:rPr>
      <w:tab/>
    </w:r>
    <w:r w:rsidR="008A0474">
      <w:rPr>
        <w:rFonts w:ascii="Times New Roman"/>
        <w:sz w:val="20"/>
      </w:rPr>
      <w:tab/>
    </w:r>
    <w:r w:rsidR="008A0474">
      <w:rPr>
        <w:rFonts w:ascii="Times New Roman"/>
        <w:sz w:val="20"/>
      </w:rPr>
      <w:tab/>
    </w:r>
    <w:r w:rsidR="008A0474">
      <w:rPr>
        <w:rFonts w:ascii="Times New Roman"/>
        <w:sz w:val="20"/>
      </w:rPr>
      <w:tab/>
    </w:r>
    <w:r w:rsidR="008A0474">
      <w:rPr>
        <w:rFonts w:ascii="Times New Roman"/>
        <w:sz w:val="20"/>
      </w:rPr>
      <w:tab/>
    </w:r>
    <w:r>
      <w:rPr>
        <w:rFonts w:ascii="Times New Roman"/>
        <w:sz w:val="20"/>
      </w:rPr>
      <w:tab/>
    </w:r>
    <w:r w:rsidR="008A0474">
      <w:rPr>
        <w:rFonts w:ascii="Times New Roman"/>
        <w:sz w:val="20"/>
      </w:rPr>
      <w:tab/>
    </w:r>
    <w:r w:rsidR="004061D0">
      <w:rPr>
        <w:rFonts w:ascii="Times New Roman"/>
        <w:sz w:val="20"/>
      </w:rPr>
      <w:fldChar w:fldCharType="begin"/>
    </w:r>
    <w:r w:rsidR="005B4442">
      <w:rPr>
        <w:rFonts w:ascii="Times New Roman"/>
        <w:sz w:val="20"/>
      </w:rPr>
      <w:instrText xml:space="preserve"> PAGE  \* Arabic  \* MERGEFORMAT </w:instrText>
    </w:r>
    <w:r w:rsidR="004061D0">
      <w:rPr>
        <w:rFonts w:ascii="Times New Roman"/>
        <w:sz w:val="20"/>
      </w:rPr>
      <w:fldChar w:fldCharType="separate"/>
    </w:r>
    <w:r w:rsidR="006239A6">
      <w:rPr>
        <w:rFonts w:ascii="Times New Roman"/>
        <w:noProof/>
        <w:sz w:val="20"/>
      </w:rPr>
      <w:t>1</w:t>
    </w:r>
    <w:r w:rsidR="004061D0">
      <w:rPr>
        <w:rFonts w:ascii="Times New Roman"/>
        <w:sz w:val="20"/>
      </w:rPr>
      <w:fldChar w:fldCharType="end"/>
    </w:r>
    <w:r w:rsidR="005B4442">
      <w:rPr>
        <w:rFonts w:ascii="Times New Roman"/>
        <w:sz w:val="20"/>
      </w:rPr>
      <w:t xml:space="preserve"> | Page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5A02" w:rsidRDefault="00745A02">
      <w:pPr>
        <w:spacing w:after="0" w:line="240" w:lineRule="auto"/>
      </w:pPr>
      <w:r>
        <w:separator/>
      </w:r>
    </w:p>
  </w:footnote>
  <w:footnote w:type="continuationSeparator" w:id="0">
    <w:p w:rsidR="00745A02" w:rsidRDefault="00745A0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4442" w:rsidRPr="00C876A3" w:rsidRDefault="005B4442" w:rsidP="00C876A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F5330D"/>
    <w:multiLevelType w:val="multilevel"/>
    <w:tmpl w:val="F79EF498"/>
    <w:lvl w:ilvl="0">
      <w:start w:val="1"/>
      <w:numFmt w:val="bullet"/>
      <w:lvlText w:val=""/>
      <w:lvlJc w:val="left"/>
      <w:pPr>
        <w:tabs>
          <w:tab w:val="num" w:pos="720"/>
        </w:tabs>
        <w:ind w:left="720" w:hanging="360"/>
      </w:pPr>
      <w:rPr>
        <w:rFonts w:ascii="Symbol" w:hAnsi="Symbol" w:hint="default"/>
        <w:sz w:val="20"/>
      </w:rPr>
    </w:lvl>
    <w:lvl w:ilvl="1">
      <w:start w:val="6"/>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C51F93"/>
    <w:multiLevelType w:val="hybridMultilevel"/>
    <w:tmpl w:val="1C58D458"/>
    <w:lvl w:ilvl="0" w:tplc="DAF814FC">
      <w:start w:val="1"/>
      <w:numFmt w:val="decimal"/>
      <w:lvlText w:val="[%1]."/>
      <w:lvlJc w:val="left"/>
      <w:pPr>
        <w:ind w:left="720" w:hanging="360"/>
      </w:pPr>
      <w:rPr>
        <w:rFonts w:hint="default"/>
      </w:rPr>
    </w:lvl>
    <w:lvl w:ilvl="1" w:tplc="4C06D720">
      <w:start w:val="1"/>
      <w:numFmt w:val="lowerLetter"/>
      <w:lvlText w:val="%2."/>
      <w:lvlJc w:val="left"/>
      <w:pPr>
        <w:ind w:left="1440" w:hanging="360"/>
      </w:pPr>
    </w:lvl>
    <w:lvl w:ilvl="2" w:tplc="9684B704">
      <w:start w:val="1"/>
      <w:numFmt w:val="lowerRoman"/>
      <w:lvlText w:val="%3."/>
      <w:lvlJc w:val="right"/>
      <w:pPr>
        <w:ind w:left="2160" w:hanging="180"/>
      </w:pPr>
    </w:lvl>
    <w:lvl w:ilvl="3" w:tplc="96F022CE">
      <w:start w:val="1"/>
      <w:numFmt w:val="decimal"/>
      <w:lvlText w:val="%4."/>
      <w:lvlJc w:val="left"/>
      <w:pPr>
        <w:ind w:left="2880" w:hanging="360"/>
      </w:pPr>
    </w:lvl>
    <w:lvl w:ilvl="4" w:tplc="8194AD94">
      <w:start w:val="1"/>
      <w:numFmt w:val="lowerLetter"/>
      <w:lvlText w:val="%5."/>
      <w:lvlJc w:val="left"/>
      <w:pPr>
        <w:ind w:left="3600" w:hanging="360"/>
      </w:pPr>
    </w:lvl>
    <w:lvl w:ilvl="5" w:tplc="8EC21BA2">
      <w:start w:val="1"/>
      <w:numFmt w:val="lowerRoman"/>
      <w:lvlText w:val="%6."/>
      <w:lvlJc w:val="right"/>
      <w:pPr>
        <w:ind w:left="4320" w:hanging="180"/>
      </w:pPr>
    </w:lvl>
    <w:lvl w:ilvl="6" w:tplc="5DB6702C">
      <w:start w:val="1"/>
      <w:numFmt w:val="decimal"/>
      <w:lvlText w:val="%7."/>
      <w:lvlJc w:val="left"/>
      <w:pPr>
        <w:ind w:left="5040" w:hanging="360"/>
      </w:pPr>
    </w:lvl>
    <w:lvl w:ilvl="7" w:tplc="D1425176">
      <w:start w:val="1"/>
      <w:numFmt w:val="lowerLetter"/>
      <w:lvlText w:val="%8."/>
      <w:lvlJc w:val="left"/>
      <w:pPr>
        <w:ind w:left="5760" w:hanging="360"/>
      </w:pPr>
    </w:lvl>
    <w:lvl w:ilvl="8" w:tplc="6E3A3F0A">
      <w:start w:val="1"/>
      <w:numFmt w:val="lowerRoman"/>
      <w:lvlText w:val="%9."/>
      <w:lvlJc w:val="right"/>
      <w:pPr>
        <w:ind w:left="6480" w:hanging="180"/>
      </w:pPr>
    </w:lvl>
  </w:abstractNum>
  <w:abstractNum w:abstractNumId="2">
    <w:nsid w:val="05135CDD"/>
    <w:multiLevelType w:val="hybridMultilevel"/>
    <w:tmpl w:val="96DCF97E"/>
    <w:lvl w:ilvl="0" w:tplc="44F0189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321DDD"/>
    <w:multiLevelType w:val="multilevel"/>
    <w:tmpl w:val="BB22B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F974404"/>
    <w:multiLevelType w:val="multilevel"/>
    <w:tmpl w:val="BC860B1C"/>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0900B31"/>
    <w:multiLevelType w:val="hybridMultilevel"/>
    <w:tmpl w:val="0352DFC4"/>
    <w:lvl w:ilvl="0" w:tplc="092ACF2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85A653E"/>
    <w:multiLevelType w:val="multilevel"/>
    <w:tmpl w:val="89645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C0E2203"/>
    <w:multiLevelType w:val="multilevel"/>
    <w:tmpl w:val="31420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0F9547C"/>
    <w:multiLevelType w:val="hybridMultilevel"/>
    <w:tmpl w:val="C5D89B22"/>
    <w:lvl w:ilvl="0" w:tplc="95D0F0BA">
      <w:start w:val="1"/>
      <w:numFmt w:val="upperLetter"/>
      <w:lvlText w:val="%1."/>
      <w:lvlJc w:val="left"/>
      <w:pPr>
        <w:ind w:left="484" w:hanging="360"/>
      </w:pPr>
      <w:rPr>
        <w:rFonts w:hint="default"/>
      </w:rPr>
    </w:lvl>
    <w:lvl w:ilvl="1" w:tplc="04090019" w:tentative="1">
      <w:start w:val="1"/>
      <w:numFmt w:val="lowerLetter"/>
      <w:lvlText w:val="%2."/>
      <w:lvlJc w:val="left"/>
      <w:pPr>
        <w:ind w:left="1204" w:hanging="360"/>
      </w:pPr>
    </w:lvl>
    <w:lvl w:ilvl="2" w:tplc="0409001B" w:tentative="1">
      <w:start w:val="1"/>
      <w:numFmt w:val="lowerRoman"/>
      <w:lvlText w:val="%3."/>
      <w:lvlJc w:val="right"/>
      <w:pPr>
        <w:ind w:left="1924" w:hanging="180"/>
      </w:pPr>
    </w:lvl>
    <w:lvl w:ilvl="3" w:tplc="0409000F" w:tentative="1">
      <w:start w:val="1"/>
      <w:numFmt w:val="decimal"/>
      <w:lvlText w:val="%4."/>
      <w:lvlJc w:val="left"/>
      <w:pPr>
        <w:ind w:left="2644" w:hanging="360"/>
      </w:pPr>
    </w:lvl>
    <w:lvl w:ilvl="4" w:tplc="04090019" w:tentative="1">
      <w:start w:val="1"/>
      <w:numFmt w:val="lowerLetter"/>
      <w:lvlText w:val="%5."/>
      <w:lvlJc w:val="left"/>
      <w:pPr>
        <w:ind w:left="3364" w:hanging="360"/>
      </w:pPr>
    </w:lvl>
    <w:lvl w:ilvl="5" w:tplc="0409001B" w:tentative="1">
      <w:start w:val="1"/>
      <w:numFmt w:val="lowerRoman"/>
      <w:lvlText w:val="%6."/>
      <w:lvlJc w:val="right"/>
      <w:pPr>
        <w:ind w:left="4084" w:hanging="180"/>
      </w:pPr>
    </w:lvl>
    <w:lvl w:ilvl="6" w:tplc="0409000F" w:tentative="1">
      <w:start w:val="1"/>
      <w:numFmt w:val="decimal"/>
      <w:lvlText w:val="%7."/>
      <w:lvlJc w:val="left"/>
      <w:pPr>
        <w:ind w:left="4804" w:hanging="360"/>
      </w:pPr>
    </w:lvl>
    <w:lvl w:ilvl="7" w:tplc="04090019" w:tentative="1">
      <w:start w:val="1"/>
      <w:numFmt w:val="lowerLetter"/>
      <w:lvlText w:val="%8."/>
      <w:lvlJc w:val="left"/>
      <w:pPr>
        <w:ind w:left="5524" w:hanging="360"/>
      </w:pPr>
    </w:lvl>
    <w:lvl w:ilvl="8" w:tplc="0409001B" w:tentative="1">
      <w:start w:val="1"/>
      <w:numFmt w:val="lowerRoman"/>
      <w:lvlText w:val="%9."/>
      <w:lvlJc w:val="right"/>
      <w:pPr>
        <w:ind w:left="6244" w:hanging="180"/>
      </w:pPr>
    </w:lvl>
  </w:abstractNum>
  <w:abstractNum w:abstractNumId="9">
    <w:nsid w:val="43C229E3"/>
    <w:multiLevelType w:val="multilevel"/>
    <w:tmpl w:val="276E2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8D30F82"/>
    <w:multiLevelType w:val="hybridMultilevel"/>
    <w:tmpl w:val="81D8D688"/>
    <w:lvl w:ilvl="0" w:tplc="44F0189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A7B0F14"/>
    <w:multiLevelType w:val="hybridMultilevel"/>
    <w:tmpl w:val="09F67DA8"/>
    <w:lvl w:ilvl="0" w:tplc="13564EDA">
      <w:start w:val="1"/>
      <w:numFmt w:val="upperRoman"/>
      <w:lvlText w:val="%1."/>
      <w:lvlJc w:val="right"/>
      <w:pPr>
        <w:ind w:left="720" w:hanging="360"/>
      </w:pPr>
      <w:rPr>
        <w:sz w:val="22"/>
      </w:rPr>
    </w:lvl>
    <w:lvl w:ilvl="1" w:tplc="EC5E836C">
      <w:start w:val="1"/>
      <w:numFmt w:val="lowerLetter"/>
      <w:lvlText w:val="%2."/>
      <w:lvlJc w:val="left"/>
      <w:pPr>
        <w:ind w:left="1440" w:hanging="360"/>
      </w:pPr>
    </w:lvl>
    <w:lvl w:ilvl="2" w:tplc="4D0E7882">
      <w:start w:val="1"/>
      <w:numFmt w:val="lowerRoman"/>
      <w:lvlText w:val="%3."/>
      <w:lvlJc w:val="right"/>
      <w:pPr>
        <w:ind w:left="2160" w:hanging="180"/>
      </w:pPr>
    </w:lvl>
    <w:lvl w:ilvl="3" w:tplc="72EC4C2C">
      <w:start w:val="1"/>
      <w:numFmt w:val="decimal"/>
      <w:lvlText w:val="%4."/>
      <w:lvlJc w:val="left"/>
      <w:pPr>
        <w:ind w:left="2880" w:hanging="360"/>
      </w:pPr>
    </w:lvl>
    <w:lvl w:ilvl="4" w:tplc="88E401B0">
      <w:start w:val="1"/>
      <w:numFmt w:val="lowerLetter"/>
      <w:lvlText w:val="%5."/>
      <w:lvlJc w:val="left"/>
      <w:pPr>
        <w:ind w:left="3600" w:hanging="360"/>
      </w:pPr>
    </w:lvl>
    <w:lvl w:ilvl="5" w:tplc="052E3684">
      <w:start w:val="1"/>
      <w:numFmt w:val="lowerRoman"/>
      <w:lvlText w:val="%6."/>
      <w:lvlJc w:val="right"/>
      <w:pPr>
        <w:ind w:left="4320" w:hanging="180"/>
      </w:pPr>
    </w:lvl>
    <w:lvl w:ilvl="6" w:tplc="BC5ED894">
      <w:start w:val="1"/>
      <w:numFmt w:val="decimal"/>
      <w:lvlText w:val="%7."/>
      <w:lvlJc w:val="left"/>
      <w:pPr>
        <w:ind w:left="5040" w:hanging="360"/>
      </w:pPr>
    </w:lvl>
    <w:lvl w:ilvl="7" w:tplc="5C1C1CC8">
      <w:start w:val="1"/>
      <w:numFmt w:val="lowerLetter"/>
      <w:lvlText w:val="%8."/>
      <w:lvlJc w:val="left"/>
      <w:pPr>
        <w:ind w:left="5760" w:hanging="360"/>
      </w:pPr>
    </w:lvl>
    <w:lvl w:ilvl="8" w:tplc="8C2053D8">
      <w:start w:val="1"/>
      <w:numFmt w:val="lowerRoman"/>
      <w:lvlText w:val="%9."/>
      <w:lvlJc w:val="right"/>
      <w:pPr>
        <w:ind w:left="6480" w:hanging="180"/>
      </w:pPr>
    </w:lvl>
  </w:abstractNum>
  <w:abstractNum w:abstractNumId="12">
    <w:nsid w:val="4BAB16F8"/>
    <w:multiLevelType w:val="hybridMultilevel"/>
    <w:tmpl w:val="409049DE"/>
    <w:lvl w:ilvl="0" w:tplc="4B8A7350">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535064FA"/>
    <w:multiLevelType w:val="hybridMultilevel"/>
    <w:tmpl w:val="112AD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7ED73D3"/>
    <w:multiLevelType w:val="hybridMultilevel"/>
    <w:tmpl w:val="90E2D716"/>
    <w:lvl w:ilvl="0" w:tplc="9C90DEF8">
      <w:start w:val="1"/>
      <w:numFmt w:val="upperRoman"/>
      <w:lvlText w:val="%1."/>
      <w:lvlJc w:val="left"/>
      <w:pPr>
        <w:ind w:left="1080" w:hanging="72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FD41C86"/>
    <w:multiLevelType w:val="multilevel"/>
    <w:tmpl w:val="DD4650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521633F"/>
    <w:multiLevelType w:val="hybridMultilevel"/>
    <w:tmpl w:val="587E71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A3F357C"/>
    <w:multiLevelType w:val="hybridMultilevel"/>
    <w:tmpl w:val="2ADA79BC"/>
    <w:lvl w:ilvl="0" w:tplc="B088D9A2">
      <w:start w:val="1"/>
      <w:numFmt w:val="decimal"/>
      <w:lvlText w:val="%1."/>
      <w:lvlJc w:val="left"/>
      <w:pPr>
        <w:ind w:left="720" w:hanging="360"/>
      </w:pPr>
    </w:lvl>
    <w:lvl w:ilvl="1" w:tplc="95D46C86">
      <w:start w:val="1"/>
      <w:numFmt w:val="lowerLetter"/>
      <w:lvlText w:val="%2."/>
      <w:lvlJc w:val="left"/>
      <w:pPr>
        <w:ind w:left="1440" w:hanging="360"/>
      </w:pPr>
    </w:lvl>
    <w:lvl w:ilvl="2" w:tplc="DBB40BE0">
      <w:start w:val="1"/>
      <w:numFmt w:val="lowerRoman"/>
      <w:lvlText w:val="%3."/>
      <w:lvlJc w:val="right"/>
      <w:pPr>
        <w:ind w:left="2160" w:hanging="180"/>
      </w:pPr>
    </w:lvl>
    <w:lvl w:ilvl="3" w:tplc="D4206B2E">
      <w:start w:val="1"/>
      <w:numFmt w:val="decimal"/>
      <w:lvlText w:val="%4."/>
      <w:lvlJc w:val="left"/>
      <w:pPr>
        <w:ind w:left="2880" w:hanging="360"/>
      </w:pPr>
    </w:lvl>
    <w:lvl w:ilvl="4" w:tplc="2174E764">
      <w:start w:val="1"/>
      <w:numFmt w:val="lowerLetter"/>
      <w:lvlText w:val="%5."/>
      <w:lvlJc w:val="left"/>
      <w:pPr>
        <w:ind w:left="3600" w:hanging="360"/>
      </w:pPr>
    </w:lvl>
    <w:lvl w:ilvl="5" w:tplc="82465748">
      <w:start w:val="1"/>
      <w:numFmt w:val="lowerRoman"/>
      <w:lvlText w:val="%6."/>
      <w:lvlJc w:val="right"/>
      <w:pPr>
        <w:ind w:left="4320" w:hanging="180"/>
      </w:pPr>
    </w:lvl>
    <w:lvl w:ilvl="6" w:tplc="EE9EB2DE">
      <w:start w:val="1"/>
      <w:numFmt w:val="decimal"/>
      <w:lvlText w:val="%7."/>
      <w:lvlJc w:val="left"/>
      <w:pPr>
        <w:ind w:left="5040" w:hanging="360"/>
      </w:pPr>
    </w:lvl>
    <w:lvl w:ilvl="7" w:tplc="8CE23230">
      <w:start w:val="1"/>
      <w:numFmt w:val="lowerLetter"/>
      <w:lvlText w:val="%8."/>
      <w:lvlJc w:val="left"/>
      <w:pPr>
        <w:ind w:left="5760" w:hanging="360"/>
      </w:pPr>
    </w:lvl>
    <w:lvl w:ilvl="8" w:tplc="E4EA831E">
      <w:start w:val="1"/>
      <w:numFmt w:val="lowerRoman"/>
      <w:lvlText w:val="%9."/>
      <w:lvlJc w:val="right"/>
      <w:pPr>
        <w:ind w:left="6480" w:hanging="180"/>
      </w:pPr>
    </w:lvl>
  </w:abstractNum>
  <w:abstractNum w:abstractNumId="18">
    <w:nsid w:val="75E82513"/>
    <w:multiLevelType w:val="multilevel"/>
    <w:tmpl w:val="1EB8C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11"/>
  </w:num>
  <w:num w:numId="3">
    <w:abstractNumId w:val="1"/>
  </w:num>
  <w:num w:numId="4">
    <w:abstractNumId w:val="14"/>
  </w:num>
  <w:num w:numId="5">
    <w:abstractNumId w:val="12"/>
  </w:num>
  <w:num w:numId="6">
    <w:abstractNumId w:val="16"/>
  </w:num>
  <w:num w:numId="7">
    <w:abstractNumId w:val="10"/>
  </w:num>
  <w:num w:numId="8">
    <w:abstractNumId w:val="2"/>
  </w:num>
  <w:num w:numId="9">
    <w:abstractNumId w:val="5"/>
  </w:num>
  <w:num w:numId="10">
    <w:abstractNumId w:val="7"/>
  </w:num>
  <w:num w:numId="11">
    <w:abstractNumId w:val="4"/>
  </w:num>
  <w:num w:numId="12">
    <w:abstractNumId w:val="8"/>
  </w:num>
  <w:num w:numId="13">
    <w:abstractNumId w:val="13"/>
  </w:num>
  <w:num w:numId="14">
    <w:abstractNumId w:val="9"/>
  </w:num>
  <w:num w:numId="15">
    <w:abstractNumId w:val="3"/>
  </w:num>
  <w:num w:numId="16">
    <w:abstractNumId w:val="6"/>
  </w:num>
  <w:num w:numId="17">
    <w:abstractNumId w:val="18"/>
  </w:num>
  <w:num w:numId="18">
    <w:abstractNumId w:val="0"/>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9B3E22"/>
    <w:rsid w:val="00016496"/>
    <w:rsid w:val="000258CD"/>
    <w:rsid w:val="000423E1"/>
    <w:rsid w:val="00061B45"/>
    <w:rsid w:val="00066EC9"/>
    <w:rsid w:val="00076BC1"/>
    <w:rsid w:val="000A4F4A"/>
    <w:rsid w:val="000D3808"/>
    <w:rsid w:val="0014563F"/>
    <w:rsid w:val="001813DF"/>
    <w:rsid w:val="00191607"/>
    <w:rsid w:val="00195F77"/>
    <w:rsid w:val="001B049F"/>
    <w:rsid w:val="001B7C21"/>
    <w:rsid w:val="001B7D90"/>
    <w:rsid w:val="001C1E45"/>
    <w:rsid w:val="001D25A9"/>
    <w:rsid w:val="00214DED"/>
    <w:rsid w:val="0022092B"/>
    <w:rsid w:val="0022171C"/>
    <w:rsid w:val="00223511"/>
    <w:rsid w:val="00245EBF"/>
    <w:rsid w:val="002572BB"/>
    <w:rsid w:val="00277D0C"/>
    <w:rsid w:val="00290EDC"/>
    <w:rsid w:val="002A6C7F"/>
    <w:rsid w:val="002E01AB"/>
    <w:rsid w:val="002E1ECF"/>
    <w:rsid w:val="002F7C3C"/>
    <w:rsid w:val="00304615"/>
    <w:rsid w:val="003075ED"/>
    <w:rsid w:val="00323F55"/>
    <w:rsid w:val="00345023"/>
    <w:rsid w:val="00364B08"/>
    <w:rsid w:val="00376239"/>
    <w:rsid w:val="00383785"/>
    <w:rsid w:val="003A1300"/>
    <w:rsid w:val="003F6BF5"/>
    <w:rsid w:val="003F7FDB"/>
    <w:rsid w:val="004061D0"/>
    <w:rsid w:val="00427D67"/>
    <w:rsid w:val="00432BC1"/>
    <w:rsid w:val="004413E4"/>
    <w:rsid w:val="00452C5D"/>
    <w:rsid w:val="0046625C"/>
    <w:rsid w:val="00472CB1"/>
    <w:rsid w:val="004824B7"/>
    <w:rsid w:val="00486532"/>
    <w:rsid w:val="004D45A5"/>
    <w:rsid w:val="00502939"/>
    <w:rsid w:val="005370EE"/>
    <w:rsid w:val="0054449B"/>
    <w:rsid w:val="00550689"/>
    <w:rsid w:val="0055239A"/>
    <w:rsid w:val="00553DDD"/>
    <w:rsid w:val="00580FE7"/>
    <w:rsid w:val="005879C7"/>
    <w:rsid w:val="00595641"/>
    <w:rsid w:val="005B4442"/>
    <w:rsid w:val="005B4E25"/>
    <w:rsid w:val="005F4261"/>
    <w:rsid w:val="00611C34"/>
    <w:rsid w:val="00612794"/>
    <w:rsid w:val="00616876"/>
    <w:rsid w:val="006239A6"/>
    <w:rsid w:val="00634FCE"/>
    <w:rsid w:val="00682A98"/>
    <w:rsid w:val="006F61CC"/>
    <w:rsid w:val="007075A9"/>
    <w:rsid w:val="00745A02"/>
    <w:rsid w:val="007465B9"/>
    <w:rsid w:val="00746CE4"/>
    <w:rsid w:val="00756AB9"/>
    <w:rsid w:val="0076579E"/>
    <w:rsid w:val="00777498"/>
    <w:rsid w:val="007F7C27"/>
    <w:rsid w:val="00821E20"/>
    <w:rsid w:val="008A0474"/>
    <w:rsid w:val="008A59CA"/>
    <w:rsid w:val="008A7684"/>
    <w:rsid w:val="008B111C"/>
    <w:rsid w:val="008B4351"/>
    <w:rsid w:val="008C1232"/>
    <w:rsid w:val="009440A4"/>
    <w:rsid w:val="00945C41"/>
    <w:rsid w:val="00946D1A"/>
    <w:rsid w:val="009834DD"/>
    <w:rsid w:val="009835C9"/>
    <w:rsid w:val="009B3E22"/>
    <w:rsid w:val="009E6068"/>
    <w:rsid w:val="009E7631"/>
    <w:rsid w:val="00A0330F"/>
    <w:rsid w:val="00A25CDA"/>
    <w:rsid w:val="00A516D0"/>
    <w:rsid w:val="00A67C1E"/>
    <w:rsid w:val="00A7290A"/>
    <w:rsid w:val="00A773D3"/>
    <w:rsid w:val="00AA58F4"/>
    <w:rsid w:val="00AB41C6"/>
    <w:rsid w:val="00AB54F9"/>
    <w:rsid w:val="00AC7D99"/>
    <w:rsid w:val="00AD2B96"/>
    <w:rsid w:val="00AD778C"/>
    <w:rsid w:val="00B03B38"/>
    <w:rsid w:val="00B04DA8"/>
    <w:rsid w:val="00B209DB"/>
    <w:rsid w:val="00B31089"/>
    <w:rsid w:val="00B402A1"/>
    <w:rsid w:val="00C026AC"/>
    <w:rsid w:val="00C47225"/>
    <w:rsid w:val="00C6167D"/>
    <w:rsid w:val="00C62E12"/>
    <w:rsid w:val="00C876A3"/>
    <w:rsid w:val="00CC44E3"/>
    <w:rsid w:val="00CE144B"/>
    <w:rsid w:val="00CF18AB"/>
    <w:rsid w:val="00CF47C4"/>
    <w:rsid w:val="00D16966"/>
    <w:rsid w:val="00D17811"/>
    <w:rsid w:val="00D31D88"/>
    <w:rsid w:val="00D45FA5"/>
    <w:rsid w:val="00D64397"/>
    <w:rsid w:val="00DA52A0"/>
    <w:rsid w:val="00DD57FD"/>
    <w:rsid w:val="00DD66BC"/>
    <w:rsid w:val="00E34DF4"/>
    <w:rsid w:val="00E82A82"/>
    <w:rsid w:val="00E91DB3"/>
    <w:rsid w:val="00EB7E4A"/>
    <w:rsid w:val="00EC72E7"/>
    <w:rsid w:val="00ED3B30"/>
    <w:rsid w:val="00EE3FAD"/>
    <w:rsid w:val="00F437F3"/>
    <w:rsid w:val="00F527BA"/>
    <w:rsid w:val="00F61B05"/>
    <w:rsid w:val="00F80670"/>
    <w:rsid w:val="00F81792"/>
    <w:rsid w:val="00F81B28"/>
    <w:rsid w:val="00FC0372"/>
    <w:rsid w:val="00FD12B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EE03F50-F392-4FEB-860D-C21FBEE66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47C4"/>
  </w:style>
  <w:style w:type="paragraph" w:styleId="Heading1">
    <w:name w:val="heading 1"/>
    <w:next w:val="Normal"/>
    <w:link w:val="Heading1Char"/>
    <w:uiPriority w:val="9"/>
    <w:qFormat/>
    <w:rsid w:val="008A59CA"/>
    <w:pPr>
      <w:keepNext/>
      <w:keepLines/>
      <w:spacing w:after="64" w:line="259" w:lineRule="auto"/>
      <w:ind w:left="134" w:hanging="10"/>
      <w:jc w:val="center"/>
      <w:outlineLvl w:val="0"/>
    </w:pPr>
    <w:rPr>
      <w:rFonts w:ascii="Times New Roman"/>
      <w:color w:val="000000"/>
      <w:sz w:val="16"/>
    </w:rPr>
  </w:style>
  <w:style w:type="paragraph" w:styleId="Heading2">
    <w:name w:val="heading 2"/>
    <w:basedOn w:val="Normal"/>
    <w:next w:val="Normal"/>
    <w:link w:val="Heading2Char"/>
    <w:uiPriority w:val="9"/>
    <w:semiHidden/>
    <w:unhideWhenUsed/>
    <w:qFormat/>
    <w:rsid w:val="009835C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C1E4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F47C4"/>
    <w:pPr>
      <w:spacing w:after="0" w:line="240" w:lineRule="auto"/>
    </w:pPr>
    <w:rPr>
      <w:rFonts w:ascii="Georgia" w:hAnsi="Georgia" w:cs="Georgia"/>
      <w:color w:val="000000"/>
      <w:sz w:val="24"/>
      <w:szCs w:val="24"/>
    </w:rPr>
  </w:style>
  <w:style w:type="character" w:customStyle="1" w:styleId="apple-converted-space">
    <w:name w:val="apple-converted-space"/>
    <w:basedOn w:val="DefaultParagraphFont"/>
    <w:rsid w:val="00CF47C4"/>
  </w:style>
  <w:style w:type="table" w:styleId="TableGrid">
    <w:name w:val="Table Grid"/>
    <w:basedOn w:val="TableNormal"/>
    <w:uiPriority w:val="59"/>
    <w:rsid w:val="00CF47C4"/>
    <w:pPr>
      <w:spacing w:after="0" w:line="240" w:lineRule="auto"/>
    </w:pPr>
    <w:rPr>
      <w:szCs w:val="20"/>
      <w:lang w:bidi="hi-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rsid w:val="00CF47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CF47C4"/>
    <w:rPr>
      <w:rFonts w:ascii="Tahoma" w:hAnsi="Tahoma" w:cs="Tahoma"/>
      <w:sz w:val="16"/>
      <w:szCs w:val="16"/>
    </w:rPr>
  </w:style>
  <w:style w:type="character" w:styleId="Emphasis">
    <w:name w:val="Emphasis"/>
    <w:basedOn w:val="DefaultParagraphFont"/>
    <w:uiPriority w:val="20"/>
    <w:qFormat/>
    <w:rsid w:val="00CF47C4"/>
    <w:rPr>
      <w:i/>
    </w:rPr>
  </w:style>
  <w:style w:type="paragraph" w:styleId="BodyText">
    <w:name w:val="Body Text"/>
    <w:basedOn w:val="Normal"/>
    <w:link w:val="BodyTextChar"/>
    <w:rsid w:val="00CF47C4"/>
    <w:pPr>
      <w:spacing w:after="0" w:line="480" w:lineRule="auto"/>
      <w:jc w:val="both"/>
    </w:pPr>
    <w:rPr>
      <w:rFonts w:ascii="Times New Roman"/>
      <w:sz w:val="24"/>
      <w:szCs w:val="24"/>
    </w:rPr>
  </w:style>
  <w:style w:type="character" w:customStyle="1" w:styleId="BodyTextChar">
    <w:name w:val="Body Text Char"/>
    <w:basedOn w:val="DefaultParagraphFont"/>
    <w:link w:val="BodyText"/>
    <w:rsid w:val="00CF47C4"/>
    <w:rPr>
      <w:rFonts w:ascii="Times New Roman" w:eastAsia="Times New Roman" w:hAnsi="Times New Roman" w:cs="Times New Roman"/>
      <w:sz w:val="24"/>
      <w:szCs w:val="24"/>
    </w:rPr>
  </w:style>
  <w:style w:type="paragraph" w:styleId="EndnoteText">
    <w:name w:val="endnote text"/>
    <w:basedOn w:val="Normal"/>
    <w:link w:val="EndnoteTextChar"/>
    <w:uiPriority w:val="99"/>
    <w:rsid w:val="00CF47C4"/>
    <w:pPr>
      <w:spacing w:after="0" w:line="240" w:lineRule="auto"/>
    </w:pPr>
    <w:rPr>
      <w:sz w:val="20"/>
      <w:szCs w:val="20"/>
    </w:rPr>
  </w:style>
  <w:style w:type="character" w:customStyle="1" w:styleId="EndnoteTextChar">
    <w:name w:val="Endnote Text Char"/>
    <w:basedOn w:val="DefaultParagraphFont"/>
    <w:link w:val="EndnoteText"/>
    <w:uiPriority w:val="99"/>
    <w:rsid w:val="00CF47C4"/>
    <w:rPr>
      <w:sz w:val="20"/>
      <w:szCs w:val="20"/>
    </w:rPr>
  </w:style>
  <w:style w:type="character" w:styleId="EndnoteReference">
    <w:name w:val="endnote reference"/>
    <w:basedOn w:val="DefaultParagraphFont"/>
    <w:uiPriority w:val="99"/>
    <w:rsid w:val="00CF47C4"/>
    <w:rPr>
      <w:vertAlign w:val="superscript"/>
    </w:rPr>
  </w:style>
  <w:style w:type="paragraph" w:styleId="Header">
    <w:name w:val="header"/>
    <w:basedOn w:val="Normal"/>
    <w:link w:val="HeaderChar"/>
    <w:uiPriority w:val="99"/>
    <w:qFormat/>
    <w:rsid w:val="00CF47C4"/>
    <w:pPr>
      <w:tabs>
        <w:tab w:val="center" w:pos="4513"/>
        <w:tab w:val="right" w:pos="9026"/>
      </w:tabs>
      <w:spacing w:after="0" w:line="240" w:lineRule="auto"/>
    </w:pPr>
  </w:style>
  <w:style w:type="character" w:customStyle="1" w:styleId="HeaderChar">
    <w:name w:val="Header Char"/>
    <w:basedOn w:val="DefaultParagraphFont"/>
    <w:link w:val="Header"/>
    <w:uiPriority w:val="99"/>
    <w:qFormat/>
    <w:rsid w:val="00CF47C4"/>
  </w:style>
  <w:style w:type="paragraph" w:styleId="Footer">
    <w:name w:val="footer"/>
    <w:basedOn w:val="Normal"/>
    <w:link w:val="FooterChar"/>
    <w:uiPriority w:val="99"/>
    <w:rsid w:val="00CF47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47C4"/>
  </w:style>
  <w:style w:type="paragraph" w:styleId="ListParagraph">
    <w:name w:val="List Paragraph"/>
    <w:basedOn w:val="Normal"/>
    <w:uiPriority w:val="34"/>
    <w:qFormat/>
    <w:rsid w:val="00CF47C4"/>
    <w:pPr>
      <w:ind w:left="720"/>
      <w:contextualSpacing/>
    </w:pPr>
  </w:style>
  <w:style w:type="character" w:styleId="CommentReference">
    <w:name w:val="annotation reference"/>
    <w:basedOn w:val="DefaultParagraphFont"/>
    <w:uiPriority w:val="99"/>
    <w:semiHidden/>
    <w:unhideWhenUsed/>
    <w:rsid w:val="00B402A1"/>
    <w:rPr>
      <w:sz w:val="16"/>
      <w:szCs w:val="16"/>
    </w:rPr>
  </w:style>
  <w:style w:type="paragraph" w:styleId="CommentText">
    <w:name w:val="annotation text"/>
    <w:basedOn w:val="Normal"/>
    <w:link w:val="CommentTextChar"/>
    <w:uiPriority w:val="99"/>
    <w:semiHidden/>
    <w:unhideWhenUsed/>
    <w:rsid w:val="00B402A1"/>
    <w:pPr>
      <w:spacing w:line="240" w:lineRule="auto"/>
    </w:pPr>
    <w:rPr>
      <w:sz w:val="20"/>
      <w:szCs w:val="20"/>
    </w:rPr>
  </w:style>
  <w:style w:type="character" w:customStyle="1" w:styleId="CommentTextChar">
    <w:name w:val="Comment Text Char"/>
    <w:basedOn w:val="DefaultParagraphFont"/>
    <w:link w:val="CommentText"/>
    <w:uiPriority w:val="99"/>
    <w:semiHidden/>
    <w:rsid w:val="00B402A1"/>
    <w:rPr>
      <w:sz w:val="20"/>
      <w:szCs w:val="20"/>
    </w:rPr>
  </w:style>
  <w:style w:type="paragraph" w:styleId="CommentSubject">
    <w:name w:val="annotation subject"/>
    <w:basedOn w:val="CommentText"/>
    <w:next w:val="CommentText"/>
    <w:link w:val="CommentSubjectChar"/>
    <w:uiPriority w:val="99"/>
    <w:semiHidden/>
    <w:unhideWhenUsed/>
    <w:rsid w:val="00B402A1"/>
    <w:rPr>
      <w:b/>
      <w:bCs/>
    </w:rPr>
  </w:style>
  <w:style w:type="character" w:customStyle="1" w:styleId="CommentSubjectChar">
    <w:name w:val="Comment Subject Char"/>
    <w:basedOn w:val="CommentTextChar"/>
    <w:link w:val="CommentSubject"/>
    <w:uiPriority w:val="99"/>
    <w:semiHidden/>
    <w:rsid w:val="00B402A1"/>
    <w:rPr>
      <w:b/>
      <w:bCs/>
      <w:sz w:val="20"/>
      <w:szCs w:val="20"/>
    </w:rPr>
  </w:style>
  <w:style w:type="paragraph" w:customStyle="1" w:styleId="Authors">
    <w:name w:val="Authors"/>
    <w:basedOn w:val="Normal"/>
    <w:next w:val="Normal"/>
    <w:rsid w:val="00A516D0"/>
    <w:pPr>
      <w:framePr w:w="9072" w:hSpace="187" w:vSpace="187" w:wrap="notBeside" w:vAnchor="text" w:hAnchor="page" w:xAlign="center" w:y="1"/>
      <w:autoSpaceDE w:val="0"/>
      <w:autoSpaceDN w:val="0"/>
      <w:spacing w:after="320" w:line="240" w:lineRule="auto"/>
      <w:jc w:val="center"/>
    </w:pPr>
    <w:rPr>
      <w:rFonts w:ascii="Times New Roman"/>
    </w:rPr>
  </w:style>
  <w:style w:type="character" w:styleId="Hyperlink">
    <w:name w:val="Hyperlink"/>
    <w:basedOn w:val="DefaultParagraphFont"/>
    <w:uiPriority w:val="99"/>
    <w:unhideWhenUsed/>
    <w:rsid w:val="00616876"/>
    <w:rPr>
      <w:color w:val="0000FF" w:themeColor="hyperlink"/>
      <w:u w:val="single"/>
    </w:rPr>
  </w:style>
  <w:style w:type="paragraph" w:styleId="NoSpacing">
    <w:name w:val="No Spacing"/>
    <w:uiPriority w:val="1"/>
    <w:qFormat/>
    <w:rsid w:val="0046625C"/>
    <w:pPr>
      <w:widowControl w:val="0"/>
      <w:autoSpaceDE w:val="0"/>
      <w:autoSpaceDN w:val="0"/>
      <w:spacing w:after="0" w:line="240" w:lineRule="auto"/>
    </w:pPr>
    <w:rPr>
      <w:rFonts w:ascii="Times New Roman"/>
      <w:lang w:bidi="en-US"/>
    </w:rPr>
  </w:style>
  <w:style w:type="character" w:customStyle="1" w:styleId="Heading1Char">
    <w:name w:val="Heading 1 Char"/>
    <w:basedOn w:val="DefaultParagraphFont"/>
    <w:link w:val="Heading1"/>
    <w:uiPriority w:val="9"/>
    <w:rsid w:val="008A59CA"/>
    <w:rPr>
      <w:rFonts w:ascii="Times New Roman"/>
      <w:color w:val="000000"/>
      <w:sz w:val="16"/>
    </w:rPr>
  </w:style>
  <w:style w:type="paragraph" w:styleId="NormalWeb">
    <w:name w:val="Normal (Web)"/>
    <w:basedOn w:val="Normal"/>
    <w:uiPriority w:val="99"/>
    <w:unhideWhenUsed/>
    <w:rsid w:val="008A59CA"/>
    <w:pPr>
      <w:spacing w:before="100" w:beforeAutospacing="1" w:after="100" w:afterAutospacing="1" w:line="240" w:lineRule="auto"/>
    </w:pPr>
    <w:rPr>
      <w:rFonts w:ascii="Times New Roman"/>
      <w:sz w:val="24"/>
      <w:szCs w:val="24"/>
    </w:rPr>
  </w:style>
  <w:style w:type="character" w:styleId="Strong">
    <w:name w:val="Strong"/>
    <w:basedOn w:val="DefaultParagraphFont"/>
    <w:uiPriority w:val="22"/>
    <w:qFormat/>
    <w:rsid w:val="008A59CA"/>
    <w:rPr>
      <w:b/>
      <w:bCs/>
    </w:rPr>
  </w:style>
  <w:style w:type="character" w:customStyle="1" w:styleId="Heading3Char">
    <w:name w:val="Heading 3 Char"/>
    <w:basedOn w:val="DefaultParagraphFont"/>
    <w:link w:val="Heading3"/>
    <w:uiPriority w:val="9"/>
    <w:semiHidden/>
    <w:rsid w:val="001C1E45"/>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semiHidden/>
    <w:rsid w:val="009835C9"/>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4479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2FC8A3-12E9-4B67-B790-33D0EC8970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Pages>
  <Words>1922</Words>
  <Characters>10960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MIET</dc:creator>
  <cp:lastModifiedBy>admin</cp:lastModifiedBy>
  <cp:revision>4</cp:revision>
  <cp:lastPrinted>2017-02-20T06:53:00Z</cp:lastPrinted>
  <dcterms:created xsi:type="dcterms:W3CDTF">2025-03-24T10:50:00Z</dcterms:created>
  <dcterms:modified xsi:type="dcterms:W3CDTF">2025-03-24T11:04:00Z</dcterms:modified>
</cp:coreProperties>
</file>