
<file path=[Content_Types].xml><?xml version="1.0" encoding="utf-8"?>
<Types xmlns="http://schemas.openxmlformats.org/package/2006/content-types">
  <Default Extension="xml" ContentType="application/xml"/>
  <Default Extension="sldx" ContentType="application/vnd.openxmlformats-officedocument.presentationml.slide"/>
  <Default Extension="rels" ContentType="application/vnd.openxmlformats-package.relationships+xml"/>
  <Default Extension="emf" ContentType="image/x-emf"/>
  <Override PartName="/word/theme/theme1.xml" ContentType="application/vnd.openxmlformats-officedocument.theme+xml"/>
  <Override PartName="/word/fontTable.xml" ContentType="application/vnd.openxmlformats-officedocument.wordprocessingml.fontTable+xml"/>
  <Override PartName="/word/charts/chart3.xml" ContentType="application/vnd.openxmlformats-officedocument.drawingml.chart+xml"/>
  <Override PartName="/docProps/core.xml" ContentType="application/vnd.openxmlformats-package.core-properties+xml"/>
  <Override PartName="/word/document.xml" ContentType="application/vnd.openxmlformats-officedocument.wordprocessingml.document.main+xml"/>
  <Override PartName="/word/charts/chart2.xml" ContentType="application/vnd.openxmlformats-officedocument.drawingml.chart+xml"/>
  <Override PartName="/word/charts/chart1.xml" ContentType="application/vnd.openxmlformats-officedocument.drawingml.chart+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rFonts w:ascii="Times New Roman" w:cs="Times New Roman" w:hAnsi="Times New Roman"/>
          <w:sz w:val="24"/>
          <w:szCs w:val="24"/>
        </w:rPr>
      </w:pPr>
      <w:r>
        <w:rPr>
          <w:rFonts w:ascii="Times New Roman" w:cs="Times New Roman" w:hAnsi="Times New Roman"/>
          <w:sz w:val="24"/>
          <w:szCs w:val="24"/>
          <w:lang w:val="en-US"/>
        </w:rPr>
        <w:t>Devang Sanjay Mahale</w:t>
      </w:r>
      <w:r>
        <w:rPr>
          <w:rFonts w:ascii="Times New Roman" w:cs="Times New Roman" w:hAnsi="Times New Roman"/>
          <w:sz w:val="24"/>
          <w:szCs w:val="24"/>
        </w:rPr>
        <w:t xml:space="preserve">*, </w:t>
      </w:r>
      <w:r>
        <w:rPr>
          <w:rFonts w:ascii="Times New Roman" w:cs="Times New Roman" w:hAnsi="Times New Roman"/>
          <w:sz w:val="24"/>
          <w:szCs w:val="24"/>
          <w:lang w:val="en-US"/>
        </w:rPr>
        <w:t>Amol Dadaso Shinde</w:t>
      </w:r>
      <w:r>
        <w:rPr>
          <w:rFonts w:ascii="Times New Roman" w:cs="Times New Roman" w:hAnsi="Times New Roman"/>
          <w:sz w:val="24"/>
          <w:szCs w:val="24"/>
          <w:vertAlign w:val="superscript"/>
        </w:rPr>
        <w:t>1</w:t>
      </w:r>
      <w:r>
        <w:rPr>
          <w:rFonts w:ascii="Times New Roman" w:cs="Times New Roman" w:hAnsi="Times New Roman"/>
          <w:sz w:val="24"/>
          <w:szCs w:val="24"/>
        </w:rPr>
        <w:t xml:space="preserve">, </w:t>
      </w:r>
      <w:r>
        <w:rPr>
          <w:rFonts w:ascii="Times New Roman" w:cs="Times New Roman" w:hAnsi="Times New Roman"/>
          <w:sz w:val="24"/>
          <w:szCs w:val="24"/>
          <w:lang w:val="en-US"/>
        </w:rPr>
        <w:t>Mayur Pravin Sonawane</w:t>
      </w:r>
      <w:r>
        <w:rPr>
          <w:rFonts w:ascii="Times New Roman" w:cs="Times New Roman" w:hAnsi="Times New Roman"/>
          <w:sz w:val="24"/>
          <w:szCs w:val="24"/>
          <w:vertAlign w:val="superscript"/>
        </w:rPr>
        <w:t>2</w:t>
      </w:r>
      <w:r>
        <w:rPr>
          <w:rFonts w:ascii="Times New Roman" w:cs="Times New Roman" w:hAnsi="Times New Roman"/>
          <w:sz w:val="24"/>
          <w:szCs w:val="24"/>
        </w:rPr>
        <w:t xml:space="preserve"> </w:t>
      </w:r>
    </w:p>
    <w:p>
      <w:pPr>
        <w:pStyle w:val="style0"/>
        <w:rPr>
          <w:rFonts w:ascii="Times New Roman" w:cs="Times New Roman" w:hAnsi="Times New Roman"/>
          <w:sz w:val="24"/>
          <w:szCs w:val="24"/>
        </w:rPr>
      </w:pPr>
      <w:r>
        <w:rPr>
          <w:rFonts w:ascii="Times New Roman" w:cs="Times New Roman" w:hAnsi="Times New Roman"/>
          <w:sz w:val="24"/>
          <w:szCs w:val="24"/>
          <w:vertAlign w:val="superscript"/>
        </w:rPr>
        <w:t>*</w:t>
      </w:r>
      <w:r>
        <w:rPr>
          <w:rFonts w:ascii="Times New Roman" w:cs="Times New Roman" w:hAnsi="Times New Roman"/>
          <w:sz w:val="24"/>
          <w:szCs w:val="24"/>
          <w:lang w:val="en-US"/>
        </w:rPr>
        <w:t>Research Associate Macleods Pharmaceuticals Mumbai</w:t>
      </w:r>
    </w:p>
    <w:p>
      <w:pPr>
        <w:pStyle w:val="style0"/>
        <w:rPr>
          <w:rFonts w:ascii="Times New Roman" w:cs="Times New Roman" w:hAnsi="Times New Roman"/>
          <w:sz w:val="24"/>
          <w:szCs w:val="24"/>
        </w:rPr>
      </w:pPr>
      <w:r>
        <w:rPr>
          <w:rFonts w:ascii="Times New Roman" w:cs="Times New Roman" w:hAnsi="Times New Roman"/>
          <w:sz w:val="24"/>
          <w:szCs w:val="24"/>
          <w:vertAlign w:val="superscript"/>
        </w:rPr>
        <w:t>1</w:t>
      </w:r>
      <w:r>
        <w:rPr>
          <w:rFonts w:ascii="Times New Roman" w:cs="Times New Roman" w:hAnsi="Times New Roman"/>
          <w:sz w:val="24"/>
          <w:szCs w:val="24"/>
          <w:lang w:val="en-US"/>
        </w:rPr>
        <w:t>Assistant Manager Batavia Pharma Pvt Ltd Pune</w:t>
      </w:r>
    </w:p>
    <w:p>
      <w:pPr>
        <w:pStyle w:val="style0"/>
        <w:rPr>
          <w:rFonts w:ascii="Times New Roman" w:cs="Times New Roman" w:hAnsi="Times New Roman"/>
          <w:sz w:val="24"/>
          <w:szCs w:val="24"/>
        </w:rPr>
      </w:pPr>
      <w:r>
        <w:rPr>
          <w:rFonts w:ascii="Times New Roman" w:cs="Times New Roman" w:hAnsi="Times New Roman"/>
          <w:sz w:val="24"/>
          <w:szCs w:val="24"/>
          <w:vertAlign w:val="superscript"/>
        </w:rPr>
        <w:t>2</w:t>
      </w:r>
      <w:r>
        <w:rPr>
          <w:rFonts w:ascii="Times New Roman" w:cs="Times New Roman" w:hAnsi="Times New Roman"/>
          <w:sz w:val="24"/>
          <w:szCs w:val="24"/>
        </w:rPr>
        <w:t xml:space="preserve">Dept. of </w:t>
      </w:r>
      <w:r>
        <w:rPr>
          <w:rFonts w:ascii="Times New Roman" w:cs="Times New Roman" w:hAnsi="Times New Roman"/>
          <w:sz w:val="24"/>
          <w:szCs w:val="24"/>
        </w:rPr>
        <w:t>Pharmaceutics ,</w:t>
      </w:r>
      <w:r>
        <w:rPr>
          <w:rFonts w:ascii="Times New Roman" w:cs="Times New Roman" w:hAnsi="Times New Roman"/>
          <w:sz w:val="24"/>
          <w:szCs w:val="24"/>
        </w:rPr>
        <w:t xml:space="preserve"> </w:t>
      </w:r>
      <w:r>
        <w:rPr>
          <w:rFonts w:ascii="Times New Roman" w:cs="Times New Roman" w:hAnsi="Times New Roman"/>
          <w:sz w:val="24"/>
          <w:szCs w:val="24"/>
          <w:lang w:val="en-US"/>
        </w:rPr>
        <w:t>K.B.H Institute Of Pharmacy Malegaon</w:t>
      </w:r>
    </w:p>
    <w:p>
      <w:pPr>
        <w:pStyle w:val="style0"/>
        <w:rPr>
          <w:rFonts w:ascii="Times New Roman" w:cs="Times New Roman" w:hAnsi="Times New Roman"/>
          <w:sz w:val="24"/>
          <w:szCs w:val="24"/>
        </w:rPr>
      </w:pPr>
      <w:r>
        <w:rPr>
          <w:rFonts w:ascii="Times New Roman" w:cs="Times New Roman" w:hAnsi="Times New Roman"/>
          <w:sz w:val="24"/>
          <w:szCs w:val="24"/>
        </w:rPr>
        <w:t>*Corresponding author:</w:t>
      </w:r>
    </w:p>
    <w:p>
      <w:pPr>
        <w:pStyle w:val="style0"/>
        <w:rPr>
          <w:rFonts w:ascii="Times New Roman" w:cs="Times New Roman" w:hAnsi="Times New Roman"/>
          <w:sz w:val="24"/>
          <w:szCs w:val="24"/>
        </w:rPr>
      </w:pPr>
      <w:r>
        <w:rPr>
          <w:rFonts w:ascii="Times New Roman" w:cs="Times New Roman" w:hAnsi="Times New Roman"/>
          <w:sz w:val="24"/>
          <w:szCs w:val="24"/>
          <w:lang w:val="en-US"/>
        </w:rPr>
        <w:t>Research Associate Macleods Pharmaceuticals Mumbai.</w:t>
      </w:r>
    </w:p>
    <w:p>
      <w:pPr>
        <w:pStyle w:val="style0"/>
        <w:jc w:val="both"/>
        <w:rPr>
          <w:rFonts w:ascii="Times New Roman" w:cs="Times New Roman" w:hAnsi="Times New Roman"/>
          <w:sz w:val="24"/>
          <w:szCs w:val="24"/>
        </w:rPr>
      </w:pPr>
      <w:r>
        <w:rPr>
          <w:rFonts w:ascii="Times New Roman" w:cs="Times New Roman" w:hAnsi="Times New Roman"/>
          <w:sz w:val="24"/>
          <w:szCs w:val="24"/>
        </w:rPr>
        <w:t xml:space="preserve">Telephone Number- </w:t>
      </w:r>
      <w:r>
        <w:rPr>
          <w:rFonts w:ascii="Times New Roman" w:cs="Times New Roman" w:hAnsi="Times New Roman"/>
          <w:sz w:val="24"/>
          <w:szCs w:val="24"/>
          <w:lang w:val="en-US"/>
        </w:rPr>
        <w:t>7507315395</w:t>
      </w:r>
    </w:p>
    <w:p>
      <w:pPr>
        <w:pStyle w:val="style0"/>
        <w:jc w:val="both"/>
        <w:rPr>
          <w:rFonts w:ascii="Times New Roman" w:cs="Times New Roman" w:hAnsi="Times New Roman"/>
          <w:sz w:val="24"/>
          <w:szCs w:val="24"/>
        </w:rPr>
      </w:pPr>
      <w:r>
        <w:rPr>
          <w:rFonts w:ascii="Times New Roman" w:cs="Times New Roman" w:hAnsi="Times New Roman"/>
          <w:sz w:val="24"/>
          <w:szCs w:val="24"/>
        </w:rPr>
        <w:t xml:space="preserve">E-mail: </w:t>
      </w:r>
      <w:r>
        <w:rPr>
          <w:rFonts w:ascii="Times New Roman" w:cs="Times New Roman" w:hAnsi="Times New Roman"/>
          <w:sz w:val="24"/>
          <w:szCs w:val="24"/>
          <w:lang w:val="en-US"/>
        </w:rPr>
        <w:t>devangmahale2@gmail.com</w:t>
      </w:r>
    </w:p>
    <w:p>
      <w:pPr>
        <w:pStyle w:val="style0"/>
        <w:jc w:val="both"/>
        <w:rPr>
          <w:rFonts w:ascii="Times New Roman" w:cs="Times New Roman" w:hAnsi="Times New Roman"/>
          <w:sz w:val="24"/>
          <w:szCs w:val="24"/>
        </w:rPr>
      </w:pPr>
      <w:r>
        <w:rPr>
          <w:rFonts w:ascii="Times New Roman" w:cs="Times New Roman" w:hAnsi="Times New Roman"/>
          <w:b/>
          <w:sz w:val="24"/>
          <w:szCs w:val="24"/>
        </w:rPr>
        <w:t>Title-</w:t>
      </w:r>
      <w:r>
        <w:rPr>
          <w:rFonts w:ascii="Times New Roman" w:cs="Times New Roman" w:hAnsi="Times New Roman"/>
          <w:sz w:val="24"/>
          <w:szCs w:val="24"/>
        </w:rPr>
        <w:t xml:space="preserve"> </w:t>
      </w:r>
      <w:r>
        <w:rPr>
          <w:rFonts w:ascii="Times New Roman" w:cs="Times New Roman" w:hAnsi="Times New Roman"/>
          <w:b/>
          <w:sz w:val="24"/>
          <w:szCs w:val="24"/>
        </w:rPr>
        <w:t xml:space="preserve">Formulation and Optimization of </w:t>
      </w:r>
      <w:r>
        <w:rPr>
          <w:rFonts w:ascii="Times New Roman" w:cs="Times New Roman" w:hAnsi="Times New Roman"/>
          <w:b/>
          <w:sz w:val="24"/>
          <w:szCs w:val="24"/>
        </w:rPr>
        <w:t>Ropinirole</w:t>
      </w:r>
      <w:r>
        <w:rPr>
          <w:rFonts w:ascii="Times New Roman" w:cs="Times New Roman" w:hAnsi="Times New Roman"/>
          <w:b/>
          <w:sz w:val="24"/>
          <w:szCs w:val="24"/>
        </w:rPr>
        <w:t xml:space="preserve"> Hydrochloride Loaded </w:t>
      </w:r>
      <w:r>
        <w:rPr>
          <w:rFonts w:ascii="Times New Roman" w:cs="Times New Roman" w:hAnsi="Times New Roman"/>
          <w:b/>
          <w:sz w:val="24"/>
          <w:szCs w:val="24"/>
        </w:rPr>
        <w:t>Mucoadhesive</w:t>
      </w:r>
      <w:r>
        <w:rPr>
          <w:rFonts w:ascii="Times New Roman" w:cs="Times New Roman" w:hAnsi="Times New Roman"/>
          <w:b/>
          <w:sz w:val="24"/>
          <w:szCs w:val="24"/>
        </w:rPr>
        <w:t xml:space="preserve"> </w:t>
      </w:r>
      <w:r>
        <w:rPr>
          <w:rFonts w:ascii="Times New Roman" w:cs="Times New Roman" w:hAnsi="Times New Roman"/>
          <w:b/>
          <w:sz w:val="24"/>
          <w:szCs w:val="24"/>
        </w:rPr>
        <w:t>Niosome</w:t>
      </w:r>
      <w:r>
        <w:rPr>
          <w:rFonts w:ascii="Times New Roman" w:cs="Times New Roman" w:hAnsi="Times New Roman"/>
          <w:b/>
          <w:sz w:val="24"/>
          <w:szCs w:val="24"/>
        </w:rPr>
        <w:t xml:space="preserve"> for Intranasal Delivery</w:t>
      </w:r>
    </w:p>
    <w:p>
      <w:pPr>
        <w:pStyle w:val="style0"/>
        <w:jc w:val="both"/>
        <w:rPr>
          <w:rFonts w:ascii="Times New Roman" w:cs="Times New Roman" w:hAnsi="Times New Roman"/>
          <w:sz w:val="24"/>
          <w:szCs w:val="24"/>
        </w:rPr>
      </w:pPr>
      <w:r>
        <w:rPr>
          <w:rFonts w:ascii="Times New Roman" w:cs="Times New Roman" w:hAnsi="Times New Roman"/>
          <w:sz w:val="24"/>
          <w:szCs w:val="24"/>
        </w:rPr>
        <w:t>Abstract-</w:t>
      </w:r>
    </w:p>
    <w:p>
      <w:pPr>
        <w:pStyle w:val="style0"/>
        <w:jc w:val="both"/>
        <w:rPr>
          <w:rFonts w:ascii="Times New Roman" w:cs="Times New Roman" w:hAnsi="Times New Roman"/>
          <w:sz w:val="24"/>
          <w:szCs w:val="24"/>
        </w:rPr>
      </w:pPr>
      <w:r>
        <w:rPr>
          <w:rFonts w:ascii="Times New Roman" w:cs="Times New Roman" w:hAnsi="Times New Roman"/>
          <w:sz w:val="24"/>
          <w:szCs w:val="24"/>
        </w:rPr>
        <w:t xml:space="preserve">The goal of the prevailing look at </w:t>
      </w:r>
      <w:r>
        <w:rPr>
          <w:rFonts w:ascii="Times New Roman" w:cs="Times New Roman" w:hAnsi="Times New Roman"/>
          <w:sz w:val="24"/>
          <w:szCs w:val="24"/>
        </w:rPr>
        <w:t>was</w:t>
      </w:r>
      <w:r>
        <w:rPr>
          <w:rFonts w:ascii="Times New Roman" w:cs="Times New Roman" w:hAnsi="Times New Roman"/>
          <w:sz w:val="24"/>
          <w:szCs w:val="24"/>
        </w:rPr>
        <w:t xml:space="preserve"> to enhance </w:t>
      </w:r>
      <w:r>
        <w:rPr>
          <w:rFonts w:ascii="Times New Roman" w:cs="Times New Roman" w:hAnsi="Times New Roman"/>
          <w:sz w:val="24"/>
          <w:szCs w:val="24"/>
        </w:rPr>
        <w:t>Ropinirole</w:t>
      </w:r>
      <w:r>
        <w:rPr>
          <w:rFonts w:ascii="Times New Roman" w:cs="Times New Roman" w:hAnsi="Times New Roman"/>
          <w:sz w:val="24"/>
          <w:szCs w:val="24"/>
        </w:rPr>
        <w:t xml:space="preserve"> HCL bioavailability via </w:t>
      </w:r>
      <w:r>
        <w:rPr>
          <w:rFonts w:ascii="Times New Roman" w:cs="Times New Roman" w:hAnsi="Times New Roman"/>
          <w:sz w:val="24"/>
          <w:szCs w:val="24"/>
        </w:rPr>
        <w:t>niosomal</w:t>
      </w:r>
      <w:r>
        <w:rPr>
          <w:rFonts w:ascii="Times New Roman" w:cs="Times New Roman" w:hAnsi="Times New Roman"/>
          <w:sz w:val="24"/>
          <w:szCs w:val="24"/>
        </w:rPr>
        <w:t xml:space="preserve">-primarily based components designed for intranasal delivery. </w:t>
      </w:r>
      <w:r>
        <w:rPr>
          <w:rFonts w:ascii="Times New Roman" w:cs="Times New Roman" w:hAnsi="Times New Roman"/>
          <w:sz w:val="24"/>
          <w:szCs w:val="24"/>
        </w:rPr>
        <w:t>Niosomes</w:t>
      </w:r>
      <w:r>
        <w:rPr>
          <w:rFonts w:ascii="Times New Roman" w:cs="Times New Roman" w:hAnsi="Times New Roman"/>
          <w:sz w:val="24"/>
          <w:szCs w:val="24"/>
        </w:rPr>
        <w:t xml:space="preserve"> were developed by mixing </w:t>
      </w:r>
      <w:r>
        <w:rPr>
          <w:rFonts w:ascii="Times New Roman" w:cs="Times New Roman" w:hAnsi="Times New Roman"/>
          <w:sz w:val="24"/>
          <w:szCs w:val="24"/>
        </w:rPr>
        <w:t>ldl</w:t>
      </w:r>
      <w:r>
        <w:rPr>
          <w:rFonts w:ascii="Times New Roman" w:cs="Times New Roman" w:hAnsi="Times New Roman"/>
          <w:sz w:val="24"/>
          <w:szCs w:val="24"/>
        </w:rPr>
        <w:t xml:space="preserve"> cholesterol and surfactants ratio and the usage of </w:t>
      </w:r>
      <w:r>
        <w:rPr>
          <w:rFonts w:ascii="Times New Roman" w:cs="Times New Roman" w:hAnsi="Times New Roman"/>
          <w:sz w:val="24"/>
          <w:szCs w:val="24"/>
        </w:rPr>
        <w:t>Noveon</w:t>
      </w:r>
      <w:r>
        <w:rPr>
          <w:rFonts w:ascii="Times New Roman" w:cs="Times New Roman" w:hAnsi="Times New Roman"/>
          <w:sz w:val="24"/>
          <w:szCs w:val="24"/>
        </w:rPr>
        <w:t xml:space="preserve"> AA1 </w:t>
      </w:r>
      <w:r>
        <w:rPr>
          <w:rFonts w:ascii="Times New Roman" w:cs="Times New Roman" w:hAnsi="Times New Roman"/>
          <w:sz w:val="24"/>
          <w:szCs w:val="24"/>
        </w:rPr>
        <w:t>Polycarbophil</w:t>
      </w:r>
      <w:r>
        <w:rPr>
          <w:rFonts w:ascii="Times New Roman" w:cs="Times New Roman" w:hAnsi="Times New Roman"/>
          <w:sz w:val="24"/>
          <w:szCs w:val="24"/>
        </w:rPr>
        <w:t xml:space="preserve"> as a </w:t>
      </w:r>
      <w:r>
        <w:rPr>
          <w:rFonts w:ascii="Times New Roman" w:cs="Times New Roman" w:hAnsi="Times New Roman"/>
          <w:sz w:val="24"/>
          <w:szCs w:val="24"/>
        </w:rPr>
        <w:t>mucoahesive</w:t>
      </w:r>
      <w:r>
        <w:rPr>
          <w:rFonts w:ascii="Times New Roman" w:cs="Times New Roman" w:hAnsi="Times New Roman"/>
          <w:sz w:val="24"/>
          <w:szCs w:val="24"/>
        </w:rPr>
        <w:t xml:space="preserve"> polymer. </w:t>
      </w:r>
      <w:r>
        <w:rPr>
          <w:rFonts w:ascii="Times New Roman" w:cs="Times New Roman" w:hAnsi="Times New Roman"/>
          <w:sz w:val="24"/>
          <w:szCs w:val="24"/>
        </w:rPr>
        <w:t>Niosomes</w:t>
      </w:r>
      <w:r>
        <w:rPr>
          <w:rFonts w:ascii="Times New Roman" w:cs="Times New Roman" w:hAnsi="Times New Roman"/>
          <w:sz w:val="24"/>
          <w:szCs w:val="24"/>
        </w:rPr>
        <w:t xml:space="preserve"> have been prepared by way of ethanol injection technique. Entrapment efficiency, Particle length, Zeta capability, In vitro drug launch, </w:t>
      </w:r>
      <w:r>
        <w:rPr>
          <w:rFonts w:ascii="Times New Roman" w:cs="Times New Roman" w:hAnsi="Times New Roman"/>
          <w:sz w:val="24"/>
          <w:szCs w:val="24"/>
        </w:rPr>
        <w:t>Mucin</w:t>
      </w:r>
      <w:r>
        <w:rPr>
          <w:rFonts w:ascii="Times New Roman" w:cs="Times New Roman" w:hAnsi="Times New Roman"/>
          <w:sz w:val="24"/>
          <w:szCs w:val="24"/>
        </w:rPr>
        <w:t xml:space="preserve"> binding efficacy, ex-vivo permeation and </w:t>
      </w:r>
      <w:r>
        <w:rPr>
          <w:rFonts w:ascii="Times New Roman" w:cs="Times New Roman" w:hAnsi="Times New Roman"/>
          <w:sz w:val="24"/>
          <w:szCs w:val="24"/>
        </w:rPr>
        <w:t>niosomes</w:t>
      </w:r>
      <w:r>
        <w:rPr>
          <w:rFonts w:ascii="Times New Roman" w:cs="Times New Roman" w:hAnsi="Times New Roman"/>
          <w:sz w:val="24"/>
          <w:szCs w:val="24"/>
        </w:rPr>
        <w:t xml:space="preserve"> balance were determined. </w:t>
      </w:r>
      <w:r>
        <w:rPr>
          <w:rFonts w:ascii="Times New Roman" w:cs="Times New Roman" w:hAnsi="Times New Roman"/>
          <w:sz w:val="24"/>
          <w:szCs w:val="24"/>
        </w:rPr>
        <w:t>Niosomes</w:t>
      </w:r>
      <w:r>
        <w:rPr>
          <w:rFonts w:ascii="Times New Roman" w:cs="Times New Roman" w:hAnsi="Times New Roman"/>
          <w:sz w:val="24"/>
          <w:szCs w:val="24"/>
        </w:rPr>
        <w:t xml:space="preserve"> sugges</w:t>
      </w:r>
      <w:r>
        <w:rPr>
          <w:rFonts w:ascii="Times New Roman" w:cs="Times New Roman" w:hAnsi="Times New Roman"/>
          <w:sz w:val="24"/>
          <w:szCs w:val="24"/>
        </w:rPr>
        <w:t>ts entrapment efficiency &gt;80</w:t>
      </w:r>
      <w:r>
        <w:rPr>
          <w:rFonts w:ascii="Times New Roman" w:cs="Times New Roman" w:hAnsi="Times New Roman"/>
          <w:sz w:val="24"/>
          <w:szCs w:val="24"/>
        </w:rPr>
        <w:t>%, particle size&lt;260nm, and zet</w:t>
      </w:r>
      <w:r>
        <w:rPr>
          <w:rFonts w:ascii="Times New Roman" w:cs="Times New Roman" w:hAnsi="Times New Roman"/>
          <w:sz w:val="24"/>
          <w:szCs w:val="24"/>
        </w:rPr>
        <w:t>a capacity starting from -11</w:t>
      </w:r>
      <w:r>
        <w:rPr>
          <w:rFonts w:ascii="Times New Roman" w:cs="Times New Roman" w:hAnsi="Times New Roman"/>
          <w:sz w:val="24"/>
          <w:szCs w:val="24"/>
        </w:rPr>
        <w:t xml:space="preserve"> to-27 mV. The produced </w:t>
      </w:r>
      <w:r>
        <w:rPr>
          <w:rFonts w:ascii="Times New Roman" w:cs="Times New Roman" w:hAnsi="Times New Roman"/>
          <w:sz w:val="24"/>
          <w:szCs w:val="24"/>
        </w:rPr>
        <w:t>niosomes</w:t>
      </w:r>
      <w:r>
        <w:rPr>
          <w:rFonts w:ascii="Times New Roman" w:cs="Times New Roman" w:hAnsi="Times New Roman"/>
          <w:sz w:val="24"/>
          <w:szCs w:val="24"/>
        </w:rPr>
        <w:t xml:space="preserve"> suggests prolonged drug launch. Balance research of optimized batch showed </w:t>
      </w:r>
      <w:r>
        <w:rPr>
          <w:rFonts w:ascii="Times New Roman" w:cs="Times New Roman" w:hAnsi="Times New Roman"/>
          <w:sz w:val="24"/>
          <w:szCs w:val="24"/>
        </w:rPr>
        <w:t>non</w:t>
      </w:r>
      <w:r>
        <w:rPr>
          <w:rFonts w:ascii="Times New Roman" w:cs="Times New Roman" w:hAnsi="Times New Roman"/>
          <w:sz w:val="24"/>
          <w:szCs w:val="24"/>
        </w:rPr>
        <w:t xml:space="preserve"> great adjustments in </w:t>
      </w:r>
      <w:r>
        <w:rPr>
          <w:rFonts w:ascii="Times New Roman" w:cs="Times New Roman" w:hAnsi="Times New Roman"/>
          <w:sz w:val="24"/>
          <w:szCs w:val="24"/>
        </w:rPr>
        <w:t>niosomes</w:t>
      </w:r>
      <w:r>
        <w:rPr>
          <w:rFonts w:ascii="Times New Roman" w:cs="Times New Roman" w:hAnsi="Times New Roman"/>
          <w:sz w:val="24"/>
          <w:szCs w:val="24"/>
        </w:rPr>
        <w:t xml:space="preserve"> parameters over a garage duration of 1 month.</w:t>
      </w:r>
    </w:p>
    <w:p>
      <w:pPr>
        <w:pStyle w:val="style0"/>
        <w:jc w:val="both"/>
        <w:rPr>
          <w:rFonts w:ascii="Times New Roman" w:cs="Times New Roman" w:hAnsi="Times New Roman"/>
          <w:sz w:val="24"/>
          <w:szCs w:val="24"/>
        </w:rPr>
      </w:pPr>
      <w:r>
        <w:rPr>
          <w:rFonts w:ascii="Times New Roman" w:cs="Times New Roman" w:hAnsi="Times New Roman"/>
          <w:sz w:val="24"/>
          <w:szCs w:val="24"/>
        </w:rPr>
        <w:t>1.</w:t>
      </w:r>
      <w:r>
        <w:rPr>
          <w:rFonts w:ascii="Times New Roman" w:cs="Times New Roman" w:hAnsi="Times New Roman"/>
          <w:sz w:val="24"/>
          <w:szCs w:val="24"/>
        </w:rPr>
        <w:t xml:space="preserve"> Introduction</w:t>
      </w:r>
      <w:r>
        <w:rPr>
          <w:rFonts w:ascii="Times New Roman" w:cs="Times New Roman" w:hAnsi="Times New Roman"/>
          <w:sz w:val="24"/>
          <w:szCs w:val="24"/>
        </w:rPr>
        <w:t>:</w:t>
      </w:r>
    </w:p>
    <w:p>
      <w:pPr>
        <w:pStyle w:val="style0"/>
        <w:jc w:val="both"/>
        <w:rPr>
          <w:rFonts w:ascii="Times New Roman" w:cs="Times New Roman" w:hAnsi="Times New Roman"/>
          <w:sz w:val="24"/>
          <w:szCs w:val="24"/>
        </w:rPr>
      </w:pPr>
      <w:r>
        <w:rPr>
          <w:rFonts w:ascii="Times New Roman" w:cs="Times New Roman" w:hAnsi="Times New Roman"/>
          <w:sz w:val="24"/>
          <w:szCs w:val="24"/>
        </w:rPr>
        <w:t>N</w:t>
      </w:r>
      <w:r>
        <w:rPr>
          <w:rFonts w:ascii="Times New Roman" w:cs="Times New Roman" w:hAnsi="Times New Roman"/>
          <w:sz w:val="24"/>
          <w:szCs w:val="24"/>
        </w:rPr>
        <w:t xml:space="preserve">eurological issues are the principle cause of disability global, growing the burden on healthcare. Brain drug transport is hard due to the Blood brain Barrier (BBB), the complexity of the mind, and safety and toxicity issues. Nose-to-thoughts drug transport has emerged as a </w:t>
      </w:r>
      <w:r>
        <w:rPr>
          <w:rFonts w:ascii="Times New Roman" w:cs="Times New Roman" w:hAnsi="Times New Roman"/>
          <w:sz w:val="24"/>
          <w:szCs w:val="24"/>
        </w:rPr>
        <w:t>singular, non-invasive direction with blessings over systemic drug management along with: evasion of systemic toxicity, better side effect profile, non-invasiveness, short latency, and progressed valuable apprehensive device (CNS) bioavailability. No</w:t>
      </w:r>
      <w:r>
        <w:rPr>
          <w:rFonts w:ascii="Times New Roman" w:cs="Times New Roman" w:hAnsi="Times New Roman"/>
          <w:sz w:val="24"/>
          <w:szCs w:val="24"/>
        </w:rPr>
        <w:t xml:space="preserve">stril-to-thoughts drug shipping </w:t>
      </w:r>
      <w:r>
        <w:rPr>
          <w:rFonts w:ascii="Times New Roman" w:cs="Times New Roman" w:hAnsi="Times New Roman"/>
          <w:sz w:val="24"/>
          <w:szCs w:val="24"/>
        </w:rPr>
        <w:t>bypasses the BBB through neural connections a few of the olfactory epithelium, olfactory bulb, trigeminal nerve, and the thoughts. Thinking about the plethora of advantages intra nasal (</w:t>
      </w:r>
      <w:r>
        <w:rPr>
          <w:rFonts w:ascii="Times New Roman" w:cs="Times New Roman" w:hAnsi="Times New Roman"/>
          <w:sz w:val="24"/>
          <w:szCs w:val="24"/>
        </w:rPr>
        <w:t>i.N</w:t>
      </w:r>
      <w:r>
        <w:rPr>
          <w:rFonts w:ascii="Times New Roman" w:cs="Times New Roman" w:hAnsi="Times New Roman"/>
          <w:sz w:val="24"/>
          <w:szCs w:val="24"/>
        </w:rPr>
        <w:t xml:space="preserve">) drug shipping gives, it's far emerging as </w:t>
      </w:r>
      <w:r>
        <w:rPr>
          <w:rFonts w:ascii="Times New Roman" w:cs="Times New Roman" w:hAnsi="Times New Roman"/>
          <w:sz w:val="24"/>
          <w:szCs w:val="24"/>
        </w:rPr>
        <w:t>an</w:t>
      </w:r>
      <w:r>
        <w:rPr>
          <w:rFonts w:ascii="Times New Roman" w:cs="Times New Roman" w:hAnsi="Times New Roman"/>
          <w:sz w:val="24"/>
          <w:szCs w:val="24"/>
        </w:rPr>
        <w:t xml:space="preserve"> powerful substitute to oral and parental course for CNS issues </w:t>
      </w:r>
      <w:r>
        <w:rPr>
          <w:rFonts w:ascii="Times New Roman" w:cs="Times New Roman" w:hAnsi="Times New Roman"/>
          <w:sz w:val="24"/>
          <w:szCs w:val="24"/>
          <w:vertAlign w:val="superscript"/>
        </w:rPr>
        <w:t>[1-6]</w:t>
      </w:r>
    </w:p>
    <w:p>
      <w:pPr>
        <w:pStyle w:val="style0"/>
        <w:jc w:val="both"/>
        <w:rPr>
          <w:rFonts w:ascii="Times New Roman" w:cs="Times New Roman" w:hAnsi="Times New Roman"/>
          <w:sz w:val="24"/>
          <w:szCs w:val="24"/>
        </w:rPr>
      </w:pPr>
      <w:r>
        <w:rPr>
          <w:rFonts w:ascii="Times New Roman" w:cs="Times New Roman" w:hAnsi="Times New Roman"/>
          <w:sz w:val="24"/>
          <w:szCs w:val="24"/>
        </w:rPr>
        <w:t>Nanocarriers</w:t>
      </w:r>
      <w:r>
        <w:rPr>
          <w:rFonts w:ascii="Times New Roman" w:cs="Times New Roman" w:hAnsi="Times New Roman"/>
          <w:sz w:val="24"/>
          <w:szCs w:val="24"/>
        </w:rPr>
        <w:t xml:space="preserve"> pose a promising technique in drug delivery with traits which include safety of drug, controlled and centered drug shipping. </w:t>
      </w:r>
      <w:r>
        <w:rPr>
          <w:rFonts w:ascii="Times New Roman" w:cs="Times New Roman" w:hAnsi="Times New Roman"/>
          <w:sz w:val="24"/>
          <w:szCs w:val="24"/>
        </w:rPr>
        <w:t>Niosomes</w:t>
      </w:r>
      <w:r>
        <w:rPr>
          <w:rFonts w:ascii="Times New Roman" w:cs="Times New Roman" w:hAnsi="Times New Roman"/>
          <w:sz w:val="24"/>
          <w:szCs w:val="24"/>
        </w:rPr>
        <w:t xml:space="preserve"> are vesicular structures of non-ionic surfactants and </w:t>
      </w:r>
      <w:r>
        <w:rPr>
          <w:rFonts w:ascii="Times New Roman" w:cs="Times New Roman" w:hAnsi="Times New Roman"/>
          <w:sz w:val="24"/>
          <w:szCs w:val="24"/>
        </w:rPr>
        <w:t>ldl</w:t>
      </w:r>
      <w:r>
        <w:rPr>
          <w:rFonts w:ascii="Times New Roman" w:cs="Times New Roman" w:hAnsi="Times New Roman"/>
          <w:sz w:val="24"/>
          <w:szCs w:val="24"/>
        </w:rPr>
        <w:t xml:space="preserve"> cholesterol which convey together spontaneously on hydration with aqueous media. Considering nasal delivery, </w:t>
      </w:r>
      <w:r>
        <w:rPr>
          <w:rFonts w:ascii="Times New Roman" w:cs="Times New Roman" w:hAnsi="Times New Roman"/>
          <w:sz w:val="24"/>
          <w:szCs w:val="24"/>
        </w:rPr>
        <w:t>niosomes</w:t>
      </w:r>
      <w:r>
        <w:rPr>
          <w:rFonts w:ascii="Times New Roman" w:cs="Times New Roman" w:hAnsi="Times New Roman"/>
          <w:sz w:val="24"/>
          <w:szCs w:val="24"/>
        </w:rPr>
        <w:t xml:space="preserve"> may be the vesicular device of preference due to 1.Their chemical and bodily stabilities, which might be better than those of </w:t>
      </w:r>
      <w:r>
        <w:rPr>
          <w:rFonts w:ascii="Times New Roman" w:cs="Times New Roman" w:hAnsi="Times New Roman"/>
          <w:sz w:val="24"/>
          <w:szCs w:val="24"/>
        </w:rPr>
        <w:t>liposomes</w:t>
      </w:r>
      <w:r>
        <w:rPr>
          <w:rFonts w:ascii="Times New Roman" w:cs="Times New Roman" w:hAnsi="Times New Roman"/>
          <w:sz w:val="24"/>
          <w:szCs w:val="24"/>
        </w:rPr>
        <w:t xml:space="preserve">; 2.Their </w:t>
      </w:r>
      <w:r>
        <w:rPr>
          <w:rFonts w:ascii="Times New Roman" w:cs="Times New Roman" w:hAnsi="Times New Roman"/>
          <w:sz w:val="24"/>
          <w:szCs w:val="24"/>
        </w:rPr>
        <w:t>cappotential</w:t>
      </w:r>
      <w:r>
        <w:rPr>
          <w:rFonts w:ascii="Times New Roman" w:cs="Times New Roman" w:hAnsi="Times New Roman"/>
          <w:sz w:val="24"/>
          <w:szCs w:val="24"/>
        </w:rPr>
        <w:t xml:space="preserve"> to hold each </w:t>
      </w:r>
      <w:r>
        <w:rPr>
          <w:rFonts w:ascii="Times New Roman" w:cs="Times New Roman" w:hAnsi="Times New Roman"/>
          <w:sz w:val="24"/>
          <w:szCs w:val="24"/>
        </w:rPr>
        <w:t>lipophillic</w:t>
      </w:r>
      <w:r>
        <w:rPr>
          <w:rFonts w:ascii="Times New Roman" w:cs="Times New Roman" w:hAnsi="Times New Roman"/>
          <w:sz w:val="24"/>
          <w:szCs w:val="24"/>
        </w:rPr>
        <w:t xml:space="preserve"> and hydrophobic pills;3.Their nonionic nature, which contri</w:t>
      </w:r>
      <w:r>
        <w:rPr>
          <w:rFonts w:ascii="Times New Roman" w:cs="Times New Roman" w:hAnsi="Times New Roman"/>
          <w:sz w:val="24"/>
          <w:szCs w:val="24"/>
        </w:rPr>
        <w:t>butes to their low toxicity</w:t>
      </w:r>
      <w:r>
        <w:rPr>
          <w:rFonts w:ascii="Times New Roman" w:cs="Times New Roman" w:hAnsi="Times New Roman"/>
          <w:sz w:val="24"/>
          <w:szCs w:val="24"/>
        </w:rPr>
        <w:t>.</w:t>
      </w:r>
      <w:r>
        <w:rPr>
          <w:rFonts w:ascii="Times New Roman" w:cs="Times New Roman" w:hAnsi="Times New Roman"/>
          <w:sz w:val="24"/>
          <w:szCs w:val="24"/>
        </w:rPr>
        <w:t>4.</w:t>
      </w:r>
      <w:r>
        <w:rPr>
          <w:rFonts w:ascii="Times New Roman" w:cs="Times New Roman" w:hAnsi="Times New Roman"/>
          <w:sz w:val="24"/>
          <w:szCs w:val="24"/>
        </w:rPr>
        <w:t xml:space="preserve">Their immoderate permeability through natural membranes and 5.Their biodegradable nature, which contributes to their easy elimination from frame extra than 50 fantastic styles of capsules were encapsulated in </w:t>
      </w:r>
      <w:r>
        <w:rPr>
          <w:rFonts w:ascii="Times New Roman" w:cs="Times New Roman" w:hAnsi="Times New Roman"/>
          <w:sz w:val="24"/>
          <w:szCs w:val="24"/>
        </w:rPr>
        <w:t>niosomes</w:t>
      </w:r>
      <w:r>
        <w:rPr>
          <w:rFonts w:ascii="Times New Roman" w:cs="Times New Roman" w:hAnsi="Times New Roman"/>
          <w:sz w:val="24"/>
          <w:szCs w:val="24"/>
        </w:rPr>
        <w:t xml:space="preserve">, and administered through inhalation, nasal, oral or </w:t>
      </w:r>
      <w:r>
        <w:rPr>
          <w:rFonts w:ascii="Times New Roman" w:cs="Times New Roman" w:hAnsi="Times New Roman"/>
          <w:sz w:val="24"/>
          <w:szCs w:val="24"/>
        </w:rPr>
        <w:t>parenteral</w:t>
      </w:r>
      <w:r>
        <w:rPr>
          <w:rFonts w:ascii="Times New Roman" w:cs="Times New Roman" w:hAnsi="Times New Roman"/>
          <w:sz w:val="24"/>
          <w:szCs w:val="24"/>
        </w:rPr>
        <w:t xml:space="preserve"> routes.</w:t>
      </w:r>
      <w:r>
        <w:rPr>
          <w:rFonts w:ascii="Times New Roman" w:cs="Times New Roman" w:hAnsi="Times New Roman"/>
          <w:sz w:val="24"/>
          <w:szCs w:val="24"/>
        </w:rPr>
        <w:t xml:space="preserve"> </w:t>
      </w:r>
      <w:r>
        <w:rPr>
          <w:rFonts w:ascii="Times New Roman" w:cs="Times New Roman" w:hAnsi="Times New Roman"/>
          <w:sz w:val="24"/>
          <w:szCs w:val="24"/>
        </w:rPr>
        <w:t xml:space="preserve">The tendencies of drug fabric, membrane components and technique of schooling have an impact on the shape and homes of </w:t>
      </w:r>
      <w:r>
        <w:rPr>
          <w:rFonts w:ascii="Times New Roman" w:cs="Times New Roman" w:hAnsi="Times New Roman"/>
          <w:sz w:val="24"/>
          <w:szCs w:val="24"/>
        </w:rPr>
        <w:t>niosomes</w:t>
      </w:r>
      <w:r>
        <w:rPr>
          <w:rFonts w:ascii="Times New Roman" w:cs="Times New Roman" w:hAnsi="Times New Roman"/>
          <w:sz w:val="24"/>
          <w:szCs w:val="24"/>
        </w:rPr>
        <w:t xml:space="preserve"> .Numerous non-ionic surfactants had been used for the producing of </w:t>
      </w:r>
      <w:r>
        <w:rPr>
          <w:rFonts w:ascii="Times New Roman" w:cs="Times New Roman" w:hAnsi="Times New Roman"/>
          <w:sz w:val="24"/>
          <w:szCs w:val="24"/>
        </w:rPr>
        <w:t>niosomes</w:t>
      </w:r>
      <w:r>
        <w:rPr>
          <w:rFonts w:ascii="Times New Roman" w:cs="Times New Roman" w:hAnsi="Times New Roman"/>
          <w:sz w:val="24"/>
          <w:szCs w:val="24"/>
        </w:rPr>
        <w:t xml:space="preserve">, </w:t>
      </w:r>
      <w:r>
        <w:rPr>
          <w:rFonts w:ascii="Times New Roman" w:cs="Times New Roman" w:hAnsi="Times New Roman"/>
          <w:sz w:val="24"/>
          <w:szCs w:val="24"/>
        </w:rPr>
        <w:t>i.e.</w:t>
      </w:r>
      <w:r>
        <w:rPr>
          <w:rFonts w:ascii="Times New Roman" w:cs="Times New Roman" w:hAnsi="Times New Roman"/>
          <w:sz w:val="24"/>
          <w:szCs w:val="24"/>
        </w:rPr>
        <w:t xml:space="preserve">, </w:t>
      </w:r>
      <w:r>
        <w:rPr>
          <w:rFonts w:ascii="Times New Roman" w:cs="Times New Roman" w:hAnsi="Times New Roman"/>
          <w:sz w:val="24"/>
          <w:szCs w:val="24"/>
        </w:rPr>
        <w:t>polysorbates</w:t>
      </w:r>
      <w:r>
        <w:rPr>
          <w:rFonts w:ascii="Times New Roman" w:cs="Times New Roman" w:hAnsi="Times New Roman"/>
          <w:sz w:val="24"/>
          <w:szCs w:val="24"/>
        </w:rPr>
        <w:t xml:space="preserve">, alkyl esters, alkyl ethers and alkyl amides; combos of non-ionic surfactants have caused greater strong, </w:t>
      </w:r>
      <w:r>
        <w:rPr>
          <w:rFonts w:ascii="Times New Roman" w:cs="Times New Roman" w:hAnsi="Times New Roman"/>
          <w:sz w:val="24"/>
          <w:szCs w:val="24"/>
        </w:rPr>
        <w:t>monodisperse</w:t>
      </w:r>
      <w:r>
        <w:rPr>
          <w:rFonts w:ascii="Times New Roman" w:cs="Times New Roman" w:hAnsi="Times New Roman"/>
          <w:sz w:val="24"/>
          <w:szCs w:val="24"/>
        </w:rPr>
        <w:t xml:space="preserve"> and smaller </w:t>
      </w:r>
      <w:r>
        <w:rPr>
          <w:rFonts w:ascii="Times New Roman" w:cs="Times New Roman" w:hAnsi="Times New Roman"/>
          <w:sz w:val="24"/>
          <w:szCs w:val="24"/>
        </w:rPr>
        <w:t>niosomes</w:t>
      </w:r>
      <w:r>
        <w:rPr>
          <w:rFonts w:ascii="Times New Roman" w:cs="Times New Roman" w:hAnsi="Times New Roman"/>
          <w:sz w:val="24"/>
          <w:szCs w:val="24"/>
        </w:rPr>
        <w:t xml:space="preserve">. </w:t>
      </w:r>
      <w:r>
        <w:rPr>
          <w:rFonts w:ascii="Times New Roman" w:cs="Times New Roman" w:hAnsi="Times New Roman"/>
          <w:sz w:val="24"/>
          <w:szCs w:val="24"/>
        </w:rPr>
        <w:t>Poloxamers</w:t>
      </w:r>
      <w:r>
        <w:rPr>
          <w:rFonts w:ascii="Times New Roman" w:cs="Times New Roman" w:hAnsi="Times New Roman"/>
          <w:sz w:val="24"/>
          <w:szCs w:val="24"/>
        </w:rPr>
        <w:t>, no longer unusual</w:t>
      </w:r>
      <w:r>
        <w:rPr>
          <w:rFonts w:ascii="Times New Roman" w:cs="Times New Roman" w:hAnsi="Times New Roman"/>
          <w:sz w:val="24"/>
          <w:szCs w:val="24"/>
        </w:rPr>
        <w:t xml:space="preserve"> </w:t>
      </w:r>
      <w:r>
        <w:rPr>
          <w:rFonts w:ascii="Times New Roman" w:cs="Times New Roman" w:hAnsi="Times New Roman"/>
          <w:sz w:val="24"/>
          <w:szCs w:val="24"/>
        </w:rPr>
        <w:t>place pharmaceutical solubility improving agents and permeation enhancers,</w:t>
      </w:r>
      <w:r>
        <w:rPr>
          <w:rFonts w:ascii="Times New Roman" w:cs="Times New Roman" w:hAnsi="Times New Roman"/>
          <w:sz w:val="24"/>
          <w:szCs w:val="24"/>
        </w:rPr>
        <w:t xml:space="preserve"> </w:t>
      </w:r>
      <w:r>
        <w:rPr>
          <w:rFonts w:ascii="Times New Roman" w:cs="Times New Roman" w:hAnsi="Times New Roman"/>
          <w:sz w:val="24"/>
          <w:szCs w:val="24"/>
        </w:rPr>
        <w:t xml:space="preserve">had been drastically used as pharmaceutical </w:t>
      </w:r>
      <w:r>
        <w:rPr>
          <w:rFonts w:ascii="Times New Roman" w:cs="Times New Roman" w:hAnsi="Times New Roman"/>
          <w:sz w:val="24"/>
          <w:szCs w:val="24"/>
        </w:rPr>
        <w:t>excipients</w:t>
      </w:r>
      <w:r>
        <w:rPr>
          <w:rFonts w:ascii="Times New Roman" w:cs="Times New Roman" w:hAnsi="Times New Roman"/>
          <w:sz w:val="24"/>
          <w:szCs w:val="24"/>
        </w:rPr>
        <w:t xml:space="preserve">, </w:t>
      </w:r>
      <w:r>
        <w:rPr>
          <w:rFonts w:ascii="Times New Roman" w:cs="Times New Roman" w:hAnsi="Times New Roman"/>
          <w:sz w:val="24"/>
          <w:szCs w:val="24"/>
        </w:rPr>
        <w:t>aleven</w:t>
      </w:r>
      <w:r>
        <w:rPr>
          <w:rFonts w:ascii="Times New Roman" w:cs="Times New Roman" w:hAnsi="Times New Roman"/>
          <w:sz w:val="24"/>
          <w:szCs w:val="24"/>
        </w:rPr>
        <w:t xml:space="preserve"> though to this point they were an awful lot less frequently applied in </w:t>
      </w:r>
      <w:r>
        <w:rPr>
          <w:rFonts w:ascii="Times New Roman" w:cs="Times New Roman" w:hAnsi="Times New Roman"/>
          <w:sz w:val="24"/>
          <w:szCs w:val="24"/>
        </w:rPr>
        <w:t>niosomal</w:t>
      </w:r>
      <w:r>
        <w:rPr>
          <w:rFonts w:ascii="Times New Roman" w:cs="Times New Roman" w:hAnsi="Times New Roman"/>
          <w:sz w:val="24"/>
          <w:szCs w:val="24"/>
        </w:rPr>
        <w:t xml:space="preserve"> formulations. </w:t>
      </w:r>
      <w:r>
        <w:rPr>
          <w:rFonts w:ascii="Times New Roman" w:cs="Times New Roman" w:hAnsi="Times New Roman"/>
          <w:sz w:val="24"/>
          <w:szCs w:val="24"/>
          <w:vertAlign w:val="superscript"/>
        </w:rPr>
        <w:t>[7-13]</w:t>
      </w:r>
    </w:p>
    <w:p>
      <w:pPr>
        <w:pStyle w:val="style0"/>
        <w:jc w:val="both"/>
        <w:rPr>
          <w:rFonts w:ascii="Times New Roman" w:cs="Times New Roman" w:hAnsi="Times New Roman"/>
          <w:sz w:val="24"/>
          <w:szCs w:val="24"/>
        </w:rPr>
      </w:pPr>
      <w:r>
        <w:rPr>
          <w:rFonts w:ascii="Times New Roman" w:cs="Times New Roman" w:hAnsi="Times New Roman"/>
          <w:sz w:val="24"/>
          <w:szCs w:val="24"/>
        </w:rPr>
        <w:t xml:space="preserve">Parkinson’s sickness </w:t>
      </w:r>
      <w:r>
        <w:rPr>
          <w:rFonts w:ascii="Times New Roman" w:cs="Times New Roman" w:hAnsi="Times New Roman"/>
          <w:sz w:val="24"/>
          <w:szCs w:val="24"/>
        </w:rPr>
        <w:t xml:space="preserve">is a not unusual neurodegenerative disorder of the essential involved device. It is named after James Parkinson the English health practitioner. Its signs and symptoms </w:t>
      </w:r>
      <w:r>
        <w:rPr>
          <w:rFonts w:ascii="Times New Roman" w:cs="Times New Roman" w:hAnsi="Times New Roman"/>
          <w:sz w:val="24"/>
          <w:szCs w:val="24"/>
        </w:rPr>
        <w:t>ensuing</w:t>
      </w:r>
      <w:r>
        <w:rPr>
          <w:rFonts w:ascii="Times New Roman" w:cs="Times New Roman" w:hAnsi="Times New Roman"/>
          <w:sz w:val="24"/>
          <w:szCs w:val="24"/>
        </w:rPr>
        <w:t xml:space="preserve"> the loss of lifestyles of dopamine producing cells of the midbrain. Shaking, tension,</w:t>
      </w:r>
      <w:r>
        <w:rPr>
          <w:rFonts w:ascii="Times New Roman" w:cs="Times New Roman" w:hAnsi="Times New Roman"/>
          <w:sz w:val="24"/>
          <w:szCs w:val="24"/>
        </w:rPr>
        <w:t xml:space="preserve"> </w:t>
      </w:r>
      <w:r>
        <w:rPr>
          <w:rFonts w:ascii="Times New Roman" w:cs="Times New Roman" w:hAnsi="Times New Roman"/>
          <w:sz w:val="24"/>
          <w:szCs w:val="24"/>
        </w:rPr>
        <w:t>slowness of motion and hassle in strolling are equal in patients affected by Parkinson’s ailment.</w:t>
      </w:r>
      <w:r>
        <w:rPr>
          <w:rFonts w:ascii="Times New Roman" w:cs="Times New Roman" w:hAnsi="Times New Roman"/>
          <w:sz w:val="24"/>
          <w:szCs w:val="24"/>
        </w:rPr>
        <w:t xml:space="preserve"> </w:t>
      </w:r>
      <w:r>
        <w:rPr>
          <w:rFonts w:ascii="Times New Roman" w:cs="Times New Roman" w:hAnsi="Times New Roman"/>
          <w:sz w:val="24"/>
          <w:szCs w:val="24"/>
        </w:rPr>
        <w:t xml:space="preserve">Signs and symptoms moreover embody sensory, sleep and emotional issues. It takes place in zero.3% of the populace and it is not unusual place in elderly human beings of 60 years of age or over via way of manner of </w:t>
      </w:r>
      <w:r>
        <w:rPr>
          <w:rFonts w:ascii="Times New Roman" w:cs="Times New Roman" w:hAnsi="Times New Roman"/>
          <w:sz w:val="24"/>
          <w:szCs w:val="24"/>
        </w:rPr>
        <w:t>1</w:t>
      </w:r>
      <w:r>
        <w:rPr>
          <w:rFonts w:ascii="Times New Roman" w:cs="Times New Roman" w:hAnsi="Times New Roman"/>
          <w:sz w:val="24"/>
          <w:szCs w:val="24"/>
        </w:rPr>
        <w:t xml:space="preserve">%. It’s far idiopathic and the motive isn't always recognized. </w:t>
      </w:r>
      <w:r>
        <w:rPr>
          <w:rFonts w:ascii="Times New Roman" w:cs="Times New Roman" w:hAnsi="Times New Roman"/>
          <w:sz w:val="24"/>
          <w:szCs w:val="24"/>
        </w:rPr>
        <w:t>Levodopa</w:t>
      </w:r>
      <w:r>
        <w:rPr>
          <w:rFonts w:ascii="Times New Roman" w:cs="Times New Roman" w:hAnsi="Times New Roman"/>
          <w:sz w:val="24"/>
          <w:szCs w:val="24"/>
        </w:rPr>
        <w:t xml:space="preserve"> (</w:t>
      </w:r>
      <w:r>
        <w:rPr>
          <w:rFonts w:ascii="Times New Roman" w:cs="Times New Roman" w:hAnsi="Times New Roman"/>
          <w:sz w:val="24"/>
          <w:szCs w:val="24"/>
        </w:rPr>
        <w:t>Ldopa</w:t>
      </w:r>
      <w:r>
        <w:rPr>
          <w:rFonts w:ascii="Times New Roman" w:cs="Times New Roman" w:hAnsi="Times New Roman"/>
          <w:sz w:val="24"/>
          <w:szCs w:val="24"/>
        </w:rPr>
        <w:t>) and dopamine agonists are the number one remedies used to manipulate the signs and symptoms and signs and symptoms and symptoms of Parkinson’s ailment.</w:t>
      </w:r>
    </w:p>
    <w:p>
      <w:pPr>
        <w:pStyle w:val="style0"/>
        <w:jc w:val="both"/>
        <w:rPr>
          <w:rFonts w:ascii="Times New Roman" w:cs="Times New Roman" w:hAnsi="Times New Roman"/>
          <w:sz w:val="24"/>
          <w:szCs w:val="24"/>
        </w:rPr>
      </w:pPr>
      <w:r>
        <w:rPr>
          <w:rFonts w:ascii="Times New Roman" w:cs="Times New Roman" w:hAnsi="Times New Roman"/>
          <w:sz w:val="24"/>
          <w:szCs w:val="24"/>
        </w:rPr>
        <w:t>Ropinirole</w:t>
      </w:r>
      <w:r>
        <w:rPr>
          <w:rFonts w:ascii="Times New Roman" w:cs="Times New Roman" w:hAnsi="Times New Roman"/>
          <w:sz w:val="24"/>
          <w:szCs w:val="24"/>
        </w:rPr>
        <w:t>, a brand new non-</w:t>
      </w:r>
      <w:r>
        <w:rPr>
          <w:rFonts w:ascii="Times New Roman" w:cs="Times New Roman" w:hAnsi="Times New Roman"/>
          <w:sz w:val="24"/>
          <w:szCs w:val="24"/>
        </w:rPr>
        <w:t>ergoline</w:t>
      </w:r>
      <w:r>
        <w:rPr>
          <w:rFonts w:ascii="Times New Roman" w:cs="Times New Roman" w:hAnsi="Times New Roman"/>
          <w:sz w:val="24"/>
          <w:szCs w:val="24"/>
        </w:rPr>
        <w:t xml:space="preserve"> dopamine receptor agonist,</w:t>
      </w:r>
      <w:r>
        <w:rPr>
          <w:rFonts w:ascii="Times New Roman" w:cs="Times New Roman" w:hAnsi="Times New Roman"/>
          <w:sz w:val="24"/>
          <w:szCs w:val="24"/>
        </w:rPr>
        <w:t xml:space="preserve"> </w:t>
      </w:r>
      <w:r>
        <w:rPr>
          <w:rFonts w:ascii="Times New Roman" w:cs="Times New Roman" w:hAnsi="Times New Roman"/>
          <w:sz w:val="24"/>
          <w:szCs w:val="24"/>
        </w:rPr>
        <w:t xml:space="preserve">binds particularly to D2-receptors in striatum and </w:t>
      </w:r>
      <w:r>
        <w:rPr>
          <w:rFonts w:ascii="Times New Roman" w:cs="Times New Roman" w:hAnsi="Times New Roman"/>
          <w:sz w:val="24"/>
          <w:szCs w:val="24"/>
        </w:rPr>
        <w:t>substantia</w:t>
      </w:r>
      <w:r>
        <w:rPr>
          <w:rFonts w:ascii="Times New Roman" w:cs="Times New Roman" w:hAnsi="Times New Roman"/>
          <w:sz w:val="24"/>
          <w:szCs w:val="24"/>
        </w:rPr>
        <w:t xml:space="preserve"> </w:t>
      </w:r>
      <w:r>
        <w:rPr>
          <w:rFonts w:ascii="Times New Roman" w:cs="Times New Roman" w:hAnsi="Times New Roman"/>
          <w:sz w:val="24"/>
          <w:szCs w:val="24"/>
        </w:rPr>
        <w:t>nigra</w:t>
      </w:r>
      <w:r>
        <w:rPr>
          <w:rFonts w:ascii="Times New Roman" w:cs="Times New Roman" w:hAnsi="Times New Roman"/>
          <w:sz w:val="24"/>
          <w:szCs w:val="24"/>
        </w:rPr>
        <w:t xml:space="preserve">, with selectivity much like that of dopamine. It is idea to draw its </w:t>
      </w:r>
      <w:r>
        <w:rPr>
          <w:rFonts w:ascii="Times New Roman" w:cs="Times New Roman" w:hAnsi="Times New Roman"/>
          <w:sz w:val="24"/>
          <w:szCs w:val="24"/>
        </w:rPr>
        <w:t>antiparkinsonian</w:t>
      </w:r>
      <w:r>
        <w:rPr>
          <w:rFonts w:ascii="Times New Roman" w:cs="Times New Roman" w:hAnsi="Times New Roman"/>
          <w:sz w:val="24"/>
          <w:szCs w:val="24"/>
        </w:rPr>
        <w:t xml:space="preserve"> motion through improving </w:t>
      </w:r>
      <w:r>
        <w:rPr>
          <w:rFonts w:ascii="Times New Roman" w:cs="Times New Roman" w:hAnsi="Times New Roman"/>
          <w:sz w:val="24"/>
          <w:szCs w:val="24"/>
        </w:rPr>
        <w:t>striatal</w:t>
      </w:r>
      <w:r>
        <w:rPr>
          <w:rFonts w:ascii="Times New Roman" w:cs="Times New Roman" w:hAnsi="Times New Roman"/>
          <w:sz w:val="24"/>
          <w:szCs w:val="24"/>
        </w:rPr>
        <w:t xml:space="preserve"> neuronal firing fees through selective activation of D2-dopamine receptors. ROPI </w:t>
      </w:r>
      <w:r>
        <w:rPr>
          <w:rFonts w:ascii="Times New Roman" w:cs="Times New Roman" w:hAnsi="Times New Roman"/>
          <w:sz w:val="24"/>
          <w:szCs w:val="24"/>
        </w:rPr>
        <w:t>HCl</w:t>
      </w:r>
      <w:r>
        <w:rPr>
          <w:rFonts w:ascii="Times New Roman" w:cs="Times New Roman" w:hAnsi="Times New Roman"/>
          <w:sz w:val="24"/>
          <w:szCs w:val="24"/>
        </w:rPr>
        <w:t xml:space="preserve"> is </w:t>
      </w:r>
      <w:r>
        <w:rPr>
          <w:rFonts w:ascii="Times New Roman" w:cs="Times New Roman" w:hAnsi="Times New Roman"/>
          <w:sz w:val="24"/>
          <w:szCs w:val="24"/>
        </w:rPr>
        <w:t>a</w:t>
      </w:r>
      <w:r>
        <w:rPr>
          <w:rFonts w:ascii="Times New Roman" w:cs="Times New Roman" w:hAnsi="Times New Roman"/>
          <w:sz w:val="24"/>
          <w:szCs w:val="24"/>
        </w:rPr>
        <w:t xml:space="preserve"> extraordinarily hydrophilic, low molecular weight bioactive. Its advocate plasma half of-existence is five–6 </w:t>
      </w:r>
      <w:r>
        <w:rPr>
          <w:rFonts w:ascii="Times New Roman" w:cs="Times New Roman" w:hAnsi="Times New Roman"/>
          <w:sz w:val="24"/>
          <w:szCs w:val="24"/>
        </w:rPr>
        <w:t>h.The</w:t>
      </w:r>
      <w:r>
        <w:rPr>
          <w:rFonts w:ascii="Times New Roman" w:cs="Times New Roman" w:hAnsi="Times New Roman"/>
          <w:sz w:val="24"/>
          <w:szCs w:val="24"/>
        </w:rPr>
        <w:t xml:space="preserve"> bioavailability of ROPI </w:t>
      </w:r>
      <w:r>
        <w:rPr>
          <w:rFonts w:ascii="Times New Roman" w:cs="Times New Roman" w:hAnsi="Times New Roman"/>
          <w:sz w:val="24"/>
          <w:szCs w:val="24"/>
        </w:rPr>
        <w:t>HCl</w:t>
      </w:r>
      <w:r>
        <w:rPr>
          <w:rFonts w:ascii="Times New Roman" w:cs="Times New Roman" w:hAnsi="Times New Roman"/>
          <w:sz w:val="24"/>
          <w:szCs w:val="24"/>
        </w:rPr>
        <w:t xml:space="preserve"> after oral control is 50% due to massive hepatic first by</w:t>
      </w:r>
      <w:r>
        <w:rPr>
          <w:rFonts w:ascii="Times New Roman" w:cs="Times New Roman" w:hAnsi="Times New Roman"/>
          <w:sz w:val="24"/>
          <w:szCs w:val="24"/>
        </w:rPr>
        <w:t xml:space="preserve"> </w:t>
      </w:r>
      <w:r>
        <w:rPr>
          <w:rFonts w:ascii="Times New Roman" w:cs="Times New Roman" w:hAnsi="Times New Roman"/>
          <w:sz w:val="24"/>
          <w:szCs w:val="24"/>
        </w:rPr>
        <w:t>skip me</w:t>
      </w:r>
      <w:r>
        <w:rPr>
          <w:rFonts w:ascii="Times New Roman" w:cs="Times New Roman" w:hAnsi="Times New Roman"/>
          <w:sz w:val="24"/>
          <w:szCs w:val="24"/>
        </w:rPr>
        <w:t>taboli</w:t>
      </w:r>
      <w:r>
        <w:rPr>
          <w:rFonts w:ascii="Times New Roman" w:cs="Times New Roman" w:hAnsi="Times New Roman"/>
          <w:sz w:val="24"/>
          <w:szCs w:val="24"/>
        </w:rPr>
        <w:t>s</w:t>
      </w:r>
      <w:r>
        <w:rPr>
          <w:rFonts w:ascii="Times New Roman" w:cs="Times New Roman" w:hAnsi="Times New Roman"/>
          <w:sz w:val="24"/>
          <w:szCs w:val="24"/>
        </w:rPr>
        <w:t xml:space="preserve">m. </w:t>
      </w:r>
      <w:r>
        <w:rPr>
          <w:rFonts w:ascii="Times New Roman" w:cs="Times New Roman" w:hAnsi="Times New Roman"/>
          <w:sz w:val="24"/>
          <w:szCs w:val="24"/>
        </w:rPr>
        <w:t xml:space="preserve">Currently, ROPI </w:t>
      </w:r>
      <w:r>
        <w:rPr>
          <w:rFonts w:ascii="Times New Roman" w:cs="Times New Roman" w:hAnsi="Times New Roman"/>
          <w:sz w:val="24"/>
          <w:szCs w:val="24"/>
        </w:rPr>
        <w:t>HCl</w:t>
      </w:r>
      <w:r>
        <w:rPr>
          <w:rFonts w:ascii="Times New Roman" w:cs="Times New Roman" w:hAnsi="Times New Roman"/>
          <w:sz w:val="24"/>
          <w:szCs w:val="24"/>
        </w:rPr>
        <w:t xml:space="preserve"> conventional tablet dosage </w:t>
      </w:r>
      <w:r>
        <w:rPr>
          <w:rFonts w:ascii="Times New Roman" w:cs="Times New Roman" w:hAnsi="Times New Roman"/>
          <w:sz w:val="24"/>
          <w:szCs w:val="24"/>
        </w:rPr>
        <w:t>bureaucracy are</w:t>
      </w:r>
      <w:r>
        <w:rPr>
          <w:rFonts w:ascii="Times New Roman" w:cs="Times New Roman" w:hAnsi="Times New Roman"/>
          <w:sz w:val="24"/>
          <w:szCs w:val="24"/>
        </w:rPr>
        <w:t xml:space="preserve"> available in marketplace, which can be not able to acquire enough oral bioavailability. IV management is very nerve-racking and is not advised. Therefore, possibility routes and drug transport systems are needed to beautify its restoration efficacy.</w:t>
      </w:r>
    </w:p>
    <w:p>
      <w:pPr>
        <w:pStyle w:val="style0"/>
        <w:jc w:val="both"/>
        <w:rPr>
          <w:rFonts w:ascii="Times New Roman" w:cs="Times New Roman" w:hAnsi="Times New Roman"/>
          <w:sz w:val="24"/>
          <w:szCs w:val="24"/>
        </w:rPr>
      </w:pPr>
      <w:r>
        <w:rPr>
          <w:rFonts w:ascii="Times New Roman" w:cs="Times New Roman" w:hAnsi="Times New Roman"/>
          <w:sz w:val="24"/>
          <w:szCs w:val="24"/>
        </w:rPr>
        <w:t>The purpose of present study was to prepa</w:t>
      </w:r>
      <w:r>
        <w:rPr>
          <w:rFonts w:ascii="Times New Roman" w:cs="Times New Roman" w:hAnsi="Times New Roman"/>
          <w:sz w:val="24"/>
          <w:szCs w:val="24"/>
        </w:rPr>
        <w:t xml:space="preserve">re </w:t>
      </w:r>
      <w:r>
        <w:rPr>
          <w:rFonts w:ascii="Times New Roman" w:cs="Times New Roman" w:hAnsi="Times New Roman"/>
          <w:sz w:val="24"/>
          <w:szCs w:val="24"/>
        </w:rPr>
        <w:t>niosomal</w:t>
      </w:r>
      <w:r>
        <w:rPr>
          <w:rFonts w:ascii="Times New Roman" w:cs="Times New Roman" w:hAnsi="Times New Roman"/>
          <w:sz w:val="24"/>
          <w:szCs w:val="24"/>
        </w:rPr>
        <w:t xml:space="preserve"> method loaded with </w:t>
      </w:r>
      <w:r>
        <w:rPr>
          <w:rFonts w:ascii="Times New Roman" w:cs="Times New Roman" w:hAnsi="Times New Roman"/>
          <w:sz w:val="24"/>
          <w:szCs w:val="24"/>
        </w:rPr>
        <w:t>R</w:t>
      </w:r>
      <w:r>
        <w:rPr>
          <w:rFonts w:ascii="Times New Roman" w:cs="Times New Roman" w:hAnsi="Times New Roman"/>
          <w:sz w:val="24"/>
          <w:szCs w:val="24"/>
        </w:rPr>
        <w:t>opinirole</w:t>
      </w:r>
      <w:r>
        <w:rPr>
          <w:rFonts w:ascii="Times New Roman" w:cs="Times New Roman" w:hAnsi="Times New Roman"/>
          <w:sz w:val="24"/>
          <w:szCs w:val="24"/>
        </w:rPr>
        <w:t xml:space="preserve"> </w:t>
      </w:r>
      <w:r>
        <w:rPr>
          <w:rFonts w:ascii="Times New Roman" w:cs="Times New Roman" w:hAnsi="Times New Roman"/>
          <w:sz w:val="24"/>
          <w:szCs w:val="24"/>
        </w:rPr>
        <w:t>hcl</w:t>
      </w:r>
      <w:r>
        <w:rPr>
          <w:rFonts w:ascii="Times New Roman" w:cs="Times New Roman" w:hAnsi="Times New Roman"/>
          <w:sz w:val="24"/>
          <w:szCs w:val="24"/>
        </w:rPr>
        <w:t xml:space="preserve"> for nostril to mind drug treatment functions. In the production of </w:t>
      </w:r>
      <w:r>
        <w:rPr>
          <w:rFonts w:ascii="Times New Roman" w:cs="Times New Roman" w:hAnsi="Times New Roman"/>
          <w:sz w:val="24"/>
          <w:szCs w:val="24"/>
        </w:rPr>
        <w:t>niosomes</w:t>
      </w:r>
      <w:r>
        <w:rPr>
          <w:rFonts w:ascii="Times New Roman" w:cs="Times New Roman" w:hAnsi="Times New Roman"/>
          <w:sz w:val="24"/>
          <w:szCs w:val="24"/>
        </w:rPr>
        <w:t>,</w:t>
      </w:r>
      <w:r>
        <w:rPr>
          <w:rFonts w:ascii="Times New Roman" w:cs="Times New Roman" w:hAnsi="Times New Roman"/>
          <w:sz w:val="24"/>
          <w:szCs w:val="24"/>
        </w:rPr>
        <w:t xml:space="preserve"> </w:t>
      </w:r>
      <w:r>
        <w:rPr>
          <w:rFonts w:ascii="Times New Roman" w:cs="Times New Roman" w:hAnsi="Times New Roman"/>
          <w:sz w:val="24"/>
          <w:szCs w:val="24"/>
        </w:rPr>
        <w:t>excessive stress homogenization method turned into</w:t>
      </w:r>
      <w:r>
        <w:rPr>
          <w:rFonts w:ascii="Times New Roman" w:cs="Times New Roman" w:hAnsi="Times New Roman"/>
          <w:sz w:val="24"/>
          <w:szCs w:val="24"/>
        </w:rPr>
        <w:t xml:space="preserve"> </w:t>
      </w:r>
      <w:r>
        <w:rPr>
          <w:rFonts w:ascii="Times New Roman" w:cs="Times New Roman" w:hAnsi="Times New Roman"/>
          <w:sz w:val="24"/>
          <w:szCs w:val="24"/>
        </w:rPr>
        <w:t>used.</w:t>
      </w:r>
      <w:r>
        <w:rPr>
          <w:rFonts w:ascii="Times New Roman" w:cs="Times New Roman" w:hAnsi="Times New Roman"/>
          <w:sz w:val="24"/>
          <w:szCs w:val="24"/>
        </w:rPr>
        <w:t xml:space="preserve"> </w:t>
      </w:r>
      <w:r>
        <w:rPr>
          <w:rFonts w:ascii="Times New Roman" w:cs="Times New Roman" w:hAnsi="Times New Roman"/>
          <w:sz w:val="24"/>
          <w:szCs w:val="24"/>
        </w:rPr>
        <w:t>Ropinirole</w:t>
      </w:r>
      <w:r>
        <w:rPr>
          <w:rFonts w:ascii="Times New Roman" w:cs="Times New Roman" w:hAnsi="Times New Roman"/>
          <w:sz w:val="24"/>
          <w:szCs w:val="24"/>
        </w:rPr>
        <w:t xml:space="preserve"> </w:t>
      </w:r>
      <w:r>
        <w:rPr>
          <w:rFonts w:ascii="Times New Roman" w:cs="Times New Roman" w:hAnsi="Times New Roman"/>
          <w:sz w:val="24"/>
          <w:szCs w:val="24"/>
        </w:rPr>
        <w:t>hcl</w:t>
      </w:r>
      <w:r>
        <w:rPr>
          <w:rFonts w:ascii="Times New Roman" w:cs="Times New Roman" w:hAnsi="Times New Roman"/>
          <w:sz w:val="24"/>
          <w:szCs w:val="24"/>
        </w:rPr>
        <w:t xml:space="preserve"> is BCS magnificence III drug, presenting low permeability. These undesired </w:t>
      </w:r>
      <w:r>
        <w:rPr>
          <w:rFonts w:ascii="Times New Roman" w:cs="Times New Roman" w:hAnsi="Times New Roman"/>
          <w:sz w:val="24"/>
          <w:szCs w:val="24"/>
        </w:rPr>
        <w:t>function</w:t>
      </w:r>
      <w:r>
        <w:rPr>
          <w:rFonts w:ascii="Times New Roman" w:cs="Times New Roman" w:hAnsi="Times New Roman"/>
          <w:sz w:val="24"/>
          <w:szCs w:val="24"/>
        </w:rPr>
        <w:t xml:space="preserve"> of </w:t>
      </w:r>
      <w:r>
        <w:rPr>
          <w:rFonts w:ascii="Times New Roman" w:cs="Times New Roman" w:hAnsi="Times New Roman"/>
          <w:sz w:val="24"/>
          <w:szCs w:val="24"/>
        </w:rPr>
        <w:t>Ropinirole</w:t>
      </w:r>
      <w:r>
        <w:rPr>
          <w:rFonts w:ascii="Times New Roman" w:cs="Times New Roman" w:hAnsi="Times New Roman"/>
          <w:sz w:val="24"/>
          <w:szCs w:val="24"/>
        </w:rPr>
        <w:t xml:space="preserve"> </w:t>
      </w:r>
      <w:r>
        <w:rPr>
          <w:rFonts w:ascii="Times New Roman" w:cs="Times New Roman" w:hAnsi="Times New Roman"/>
          <w:sz w:val="24"/>
          <w:szCs w:val="24"/>
        </w:rPr>
        <w:t>hcl</w:t>
      </w:r>
      <w:r>
        <w:rPr>
          <w:rFonts w:ascii="Times New Roman" w:cs="Times New Roman" w:hAnsi="Times New Roman"/>
          <w:sz w:val="24"/>
          <w:szCs w:val="24"/>
        </w:rPr>
        <w:t xml:space="preserve"> </w:t>
      </w:r>
      <w:r>
        <w:rPr>
          <w:rFonts w:ascii="Times New Roman" w:cs="Times New Roman" w:hAnsi="Times New Roman"/>
          <w:sz w:val="24"/>
          <w:szCs w:val="24"/>
        </w:rPr>
        <w:t xml:space="preserve">lead them to appropriate candidate for </w:t>
      </w:r>
      <w:r>
        <w:rPr>
          <w:rFonts w:ascii="Times New Roman" w:cs="Times New Roman" w:hAnsi="Times New Roman"/>
          <w:sz w:val="24"/>
          <w:szCs w:val="24"/>
        </w:rPr>
        <w:t>niosomal</w:t>
      </w:r>
      <w:r>
        <w:rPr>
          <w:rFonts w:ascii="Times New Roman" w:cs="Times New Roman" w:hAnsi="Times New Roman"/>
          <w:sz w:val="24"/>
          <w:szCs w:val="24"/>
        </w:rPr>
        <w:t xml:space="preserve"> encapsulation.</w:t>
      </w:r>
    </w:p>
    <w:p>
      <w:pPr>
        <w:pStyle w:val="style0"/>
        <w:jc w:val="both"/>
        <w:rPr>
          <w:rFonts w:ascii="Times New Roman" w:cs="Times New Roman" w:hAnsi="Times New Roman"/>
          <w:sz w:val="24"/>
          <w:szCs w:val="24"/>
          <w:shd w:val="clear" w:color="auto" w:fill="ffffff"/>
        </w:rPr>
      </w:pPr>
      <w:r>
        <w:rPr>
          <w:rFonts w:ascii="Times New Roman" w:cs="Times New Roman" w:hAnsi="Times New Roman"/>
          <w:sz w:val="24"/>
          <w:szCs w:val="24"/>
        </w:rPr>
        <w:t xml:space="preserve">So that you can decorate the overall </w:t>
      </w:r>
      <w:r>
        <w:rPr>
          <w:rFonts w:ascii="Times New Roman" w:cs="Times New Roman" w:hAnsi="Times New Roman"/>
          <w:sz w:val="24"/>
          <w:szCs w:val="24"/>
        </w:rPr>
        <w:t>overall</w:t>
      </w:r>
      <w:r>
        <w:rPr>
          <w:rFonts w:ascii="Times New Roman" w:cs="Times New Roman" w:hAnsi="Times New Roman"/>
          <w:sz w:val="24"/>
          <w:szCs w:val="24"/>
        </w:rPr>
        <w:t xml:space="preserve"> performance of the </w:t>
      </w:r>
      <w:r>
        <w:rPr>
          <w:rFonts w:ascii="Times New Roman" w:cs="Times New Roman" w:hAnsi="Times New Roman"/>
          <w:sz w:val="24"/>
          <w:szCs w:val="24"/>
        </w:rPr>
        <w:t>niosomes</w:t>
      </w:r>
      <w:r>
        <w:rPr>
          <w:rFonts w:ascii="Times New Roman" w:cs="Times New Roman" w:hAnsi="Times New Roman"/>
          <w:sz w:val="24"/>
          <w:szCs w:val="24"/>
        </w:rPr>
        <w:t xml:space="preserve">, a combination of non-ionic surfactants of Span 60 and Span 20turned into used for the manufacturing of </w:t>
      </w:r>
      <w:r>
        <w:rPr>
          <w:rFonts w:ascii="Times New Roman" w:cs="Times New Roman" w:hAnsi="Times New Roman"/>
          <w:sz w:val="24"/>
          <w:szCs w:val="24"/>
        </w:rPr>
        <w:t>niosomes</w:t>
      </w:r>
      <w:r>
        <w:rPr>
          <w:rFonts w:ascii="Times New Roman" w:cs="Times New Roman" w:hAnsi="Times New Roman"/>
          <w:sz w:val="24"/>
          <w:szCs w:val="24"/>
        </w:rPr>
        <w:t xml:space="preserve">, because it has been proven in </w:t>
      </w:r>
      <w:r>
        <w:rPr>
          <w:rFonts w:ascii="Times New Roman" w:cs="Times New Roman" w:hAnsi="Times New Roman"/>
          <w:sz w:val="24"/>
          <w:szCs w:val="24"/>
        </w:rPr>
        <w:t>in</w:t>
      </w:r>
      <w:r>
        <w:rPr>
          <w:rFonts w:ascii="Times New Roman" w:cs="Times New Roman" w:hAnsi="Times New Roman"/>
          <w:sz w:val="24"/>
          <w:szCs w:val="24"/>
        </w:rPr>
        <w:t xml:space="preserve"> advance studies that utilization of non-ionic surfactant combos have led more solid, </w:t>
      </w:r>
      <w:r>
        <w:rPr>
          <w:rFonts w:ascii="Times New Roman" w:cs="Times New Roman" w:hAnsi="Times New Roman"/>
          <w:sz w:val="24"/>
          <w:szCs w:val="24"/>
        </w:rPr>
        <w:t>monodisperse</w:t>
      </w:r>
      <w:r>
        <w:rPr>
          <w:rFonts w:ascii="Times New Roman" w:cs="Times New Roman" w:hAnsi="Times New Roman"/>
          <w:sz w:val="24"/>
          <w:szCs w:val="24"/>
        </w:rPr>
        <w:t xml:space="preserve"> and smaller </w:t>
      </w:r>
      <w:r>
        <w:rPr>
          <w:rFonts w:ascii="Times New Roman" w:cs="Times New Roman" w:hAnsi="Times New Roman"/>
          <w:sz w:val="24"/>
          <w:szCs w:val="24"/>
        </w:rPr>
        <w:t>niosomes</w:t>
      </w:r>
      <w:r>
        <w:rPr>
          <w:rFonts w:ascii="Times New Roman" w:cs="Times New Roman" w:hAnsi="Times New Roman"/>
          <w:sz w:val="24"/>
          <w:szCs w:val="24"/>
        </w:rPr>
        <w:t xml:space="preserve">. </w:t>
      </w:r>
      <w:r>
        <w:rPr>
          <w:rFonts w:ascii="Times New Roman" w:cs="Times New Roman" w:hAnsi="Times New Roman"/>
          <w:sz w:val="24"/>
          <w:szCs w:val="24"/>
        </w:rPr>
        <w:t>Noveon</w:t>
      </w:r>
      <w:r>
        <w:rPr>
          <w:rFonts w:ascii="Times New Roman" w:cs="Times New Roman" w:hAnsi="Times New Roman"/>
          <w:sz w:val="24"/>
          <w:szCs w:val="24"/>
        </w:rPr>
        <w:t xml:space="preserve"> aa1 </w:t>
      </w:r>
      <w:r>
        <w:rPr>
          <w:rFonts w:ascii="Times New Roman" w:cs="Times New Roman" w:hAnsi="Times New Roman"/>
          <w:sz w:val="24"/>
          <w:szCs w:val="24"/>
        </w:rPr>
        <w:t>polycarbophil</w:t>
      </w:r>
      <w:r>
        <w:rPr>
          <w:rFonts w:ascii="Times New Roman" w:cs="Times New Roman" w:hAnsi="Times New Roman"/>
          <w:sz w:val="24"/>
          <w:szCs w:val="24"/>
        </w:rPr>
        <w:t xml:space="preserve"> is used as a </w:t>
      </w:r>
      <w:r>
        <w:rPr>
          <w:rFonts w:ascii="Times New Roman" w:cs="Times New Roman" w:hAnsi="Times New Roman"/>
          <w:sz w:val="24"/>
          <w:szCs w:val="24"/>
        </w:rPr>
        <w:t>mucoadhesive</w:t>
      </w:r>
      <w:r>
        <w:rPr>
          <w:rFonts w:ascii="Times New Roman" w:cs="Times New Roman" w:hAnsi="Times New Roman"/>
          <w:sz w:val="24"/>
          <w:szCs w:val="24"/>
        </w:rPr>
        <w:t xml:space="preserve"> </w:t>
      </w:r>
      <w:r>
        <w:rPr>
          <w:rFonts w:ascii="Times New Roman" w:cs="Times New Roman" w:hAnsi="Times New Roman"/>
          <w:sz w:val="24"/>
          <w:szCs w:val="24"/>
        </w:rPr>
        <w:t>agent.</w:t>
      </w:r>
      <w:r>
        <w:rPr>
          <w:rFonts w:ascii="Times New Roman" w:cs="Times New Roman" w:hAnsi="Times New Roman"/>
          <w:sz w:val="24"/>
          <w:szCs w:val="24"/>
        </w:rPr>
        <w:t xml:space="preserve"> </w:t>
      </w:r>
      <w:r>
        <w:rPr>
          <w:rFonts w:ascii="Times New Roman" w:cs="Times New Roman" w:hAnsi="Times New Roman"/>
          <w:sz w:val="24"/>
          <w:szCs w:val="24"/>
        </w:rPr>
        <w:t xml:space="preserve">This polymer serves as an incredible </w:t>
      </w:r>
      <w:r>
        <w:rPr>
          <w:rFonts w:ascii="Times New Roman" w:cs="Times New Roman" w:hAnsi="Times New Roman"/>
          <w:sz w:val="24"/>
          <w:szCs w:val="24"/>
        </w:rPr>
        <w:t>mucoadhesive</w:t>
      </w:r>
      <w:r>
        <w:rPr>
          <w:rFonts w:ascii="Times New Roman" w:cs="Times New Roman" w:hAnsi="Times New Roman"/>
          <w:sz w:val="24"/>
          <w:szCs w:val="24"/>
        </w:rPr>
        <w:t xml:space="preserve"> </w:t>
      </w:r>
      <w:r>
        <w:rPr>
          <w:rFonts w:ascii="Times New Roman" w:cs="Times New Roman" w:hAnsi="Times New Roman"/>
          <w:sz w:val="24"/>
          <w:szCs w:val="24"/>
        </w:rPr>
        <w:t>excipient</w:t>
      </w:r>
      <w:r>
        <w:rPr>
          <w:rFonts w:ascii="Times New Roman" w:cs="Times New Roman" w:hAnsi="Times New Roman"/>
          <w:sz w:val="24"/>
          <w:szCs w:val="24"/>
        </w:rPr>
        <w:t xml:space="preserve"> and has been used considerably to enhance the shipping of lively ingredients to numerous mucous membranes. With the useful </w:t>
      </w:r>
      <w:r>
        <w:rPr>
          <w:rFonts w:ascii="Times New Roman" w:cs="Times New Roman" w:hAnsi="Times New Roman"/>
          <w:sz w:val="24"/>
          <w:szCs w:val="24"/>
        </w:rPr>
        <w:t>useful</w:t>
      </w:r>
      <w:r>
        <w:rPr>
          <w:rFonts w:ascii="Times New Roman" w:cs="Times New Roman" w:hAnsi="Times New Roman"/>
          <w:sz w:val="24"/>
          <w:szCs w:val="24"/>
        </w:rPr>
        <w:t xml:space="preserve"> resource of factorial layout, the proper composition of the </w:t>
      </w:r>
      <w:r>
        <w:rPr>
          <w:rFonts w:ascii="Times New Roman" w:cs="Times New Roman" w:hAnsi="Times New Roman"/>
          <w:sz w:val="24"/>
          <w:szCs w:val="24"/>
        </w:rPr>
        <w:t>niosome</w:t>
      </w:r>
      <w:r>
        <w:rPr>
          <w:rFonts w:ascii="Times New Roman" w:cs="Times New Roman" w:hAnsi="Times New Roman"/>
          <w:sz w:val="24"/>
          <w:szCs w:val="24"/>
        </w:rPr>
        <w:t xml:space="preserve"> formulations turned into optimized. As variables with</w:t>
      </w:r>
      <w:r>
        <w:rPr>
          <w:rFonts w:ascii="Times New Roman" w:cs="Times New Roman" w:hAnsi="Times New Roman"/>
          <w:sz w:val="24"/>
          <w:szCs w:val="24"/>
        </w:rPr>
        <w:t xml:space="preserve"> </w:t>
      </w:r>
      <w:r>
        <w:rPr>
          <w:rFonts w:ascii="Times New Roman" w:cs="Times New Roman" w:hAnsi="Times New Roman"/>
          <w:sz w:val="24"/>
          <w:szCs w:val="24"/>
        </w:rPr>
        <w:t>inside the factorial design, the quantity of cholesterol,</w:t>
      </w:r>
      <w:r>
        <w:rPr>
          <w:rFonts w:ascii="Times New Roman" w:cs="Times New Roman" w:hAnsi="Times New Roman"/>
          <w:sz w:val="24"/>
          <w:szCs w:val="24"/>
        </w:rPr>
        <w:t xml:space="preserve"> </w:t>
      </w:r>
      <w:r>
        <w:rPr>
          <w:rFonts w:ascii="Times New Roman" w:cs="Times New Roman" w:hAnsi="Times New Roman"/>
          <w:sz w:val="24"/>
          <w:szCs w:val="24"/>
        </w:rPr>
        <w:t xml:space="preserve">non ionic surfactants and </w:t>
      </w:r>
      <w:r>
        <w:rPr>
          <w:rFonts w:ascii="Times New Roman" w:cs="Times New Roman" w:hAnsi="Times New Roman"/>
          <w:sz w:val="24"/>
          <w:szCs w:val="24"/>
        </w:rPr>
        <w:t>noveon</w:t>
      </w:r>
      <w:r>
        <w:rPr>
          <w:rFonts w:ascii="Times New Roman" w:cs="Times New Roman" w:hAnsi="Times New Roman"/>
          <w:sz w:val="24"/>
          <w:szCs w:val="24"/>
        </w:rPr>
        <w:t xml:space="preserve"> aa1 </w:t>
      </w:r>
      <w:r>
        <w:rPr>
          <w:rFonts w:ascii="Times New Roman" w:cs="Times New Roman" w:hAnsi="Times New Roman"/>
          <w:sz w:val="24"/>
          <w:szCs w:val="24"/>
        </w:rPr>
        <w:t>polycarbophil</w:t>
      </w:r>
      <w:r>
        <w:rPr>
          <w:rFonts w:ascii="Times New Roman" w:cs="Times New Roman" w:hAnsi="Times New Roman"/>
          <w:sz w:val="24"/>
          <w:szCs w:val="24"/>
        </w:rPr>
        <w:t xml:space="preserve"> changed into added to the composition in an effort to</w:t>
      </w:r>
      <w:r>
        <w:rPr>
          <w:rFonts w:ascii="Times New Roman" w:cs="Times New Roman" w:hAnsi="Times New Roman"/>
          <w:sz w:val="24"/>
          <w:szCs w:val="24"/>
        </w:rPr>
        <w:t xml:space="preserve"> </w:t>
      </w:r>
      <w:r>
        <w:rPr>
          <w:rFonts w:ascii="Times New Roman" w:cs="Times New Roman" w:hAnsi="Times New Roman"/>
          <w:sz w:val="24"/>
          <w:szCs w:val="24"/>
        </w:rPr>
        <w:t xml:space="preserve">examine the importance of the particle length, zeta-capacity, drug launch on drug loading and stability of </w:t>
      </w:r>
      <w:r>
        <w:rPr>
          <w:rFonts w:ascii="Times New Roman" w:cs="Times New Roman" w:hAnsi="Times New Roman"/>
          <w:sz w:val="24"/>
          <w:szCs w:val="24"/>
        </w:rPr>
        <w:t>niosomes</w:t>
      </w:r>
      <w:r>
        <w:rPr>
          <w:rFonts w:ascii="Times New Roman" w:cs="Times New Roman" w:hAnsi="Times New Roman"/>
          <w:sz w:val="24"/>
          <w:szCs w:val="24"/>
          <w:shd w:val="clear" w:color="auto" w:fill="ffffff"/>
        </w:rPr>
        <w:t>.</w:t>
      </w:r>
      <w:r>
        <w:rPr>
          <w:rFonts w:ascii="Times New Roman" w:cs="Times New Roman" w:hAnsi="Times New Roman"/>
          <w:sz w:val="24"/>
          <w:szCs w:val="24"/>
          <w:shd w:val="clear" w:color="auto" w:fill="ffffff"/>
          <w:vertAlign w:val="superscript"/>
        </w:rPr>
        <w:t>[</w:t>
      </w:r>
      <w:r>
        <w:rPr>
          <w:rFonts w:ascii="Times New Roman" w:cs="Times New Roman" w:hAnsi="Times New Roman"/>
          <w:sz w:val="24"/>
          <w:szCs w:val="24"/>
          <w:shd w:val="clear" w:color="auto" w:fill="ffffff"/>
          <w:vertAlign w:val="superscript"/>
        </w:rPr>
        <w:t>14-24</w:t>
      </w:r>
      <w:r>
        <w:rPr>
          <w:rFonts w:ascii="Times New Roman" w:cs="Times New Roman" w:hAnsi="Times New Roman"/>
          <w:sz w:val="24"/>
          <w:szCs w:val="24"/>
          <w:shd w:val="clear" w:color="auto" w:fill="ffffff"/>
          <w:vertAlign w:val="superscript"/>
        </w:rPr>
        <w:t>]</w:t>
      </w:r>
    </w:p>
    <w:p>
      <w:pPr>
        <w:pStyle w:val="style0"/>
        <w:jc w:val="both"/>
        <w:rPr>
          <w:rFonts w:ascii="Times New Roman" w:cs="Times New Roman" w:hAnsi="Times New Roman"/>
          <w:sz w:val="24"/>
          <w:szCs w:val="24"/>
        </w:rPr>
      </w:pPr>
      <w:r>
        <w:rPr>
          <w:rFonts w:ascii="Times New Roman" w:cs="Times New Roman" w:hAnsi="Times New Roman"/>
          <w:sz w:val="24"/>
          <w:szCs w:val="24"/>
        </w:rPr>
        <w:t>2.</w:t>
      </w:r>
      <w:r>
        <w:rPr>
          <w:rFonts w:ascii="Times New Roman" w:cs="Times New Roman" w:hAnsi="Times New Roman"/>
          <w:sz w:val="24"/>
          <w:szCs w:val="24"/>
        </w:rPr>
        <w:t>Materials</w:t>
      </w:r>
      <w:r>
        <w:rPr>
          <w:rFonts w:ascii="Times New Roman" w:cs="Times New Roman" w:hAnsi="Times New Roman"/>
          <w:sz w:val="24"/>
          <w:szCs w:val="24"/>
        </w:rPr>
        <w:t xml:space="preserve"> and Methods</w:t>
      </w:r>
      <w:r>
        <w:rPr>
          <w:rFonts w:ascii="Times New Roman" w:cs="Times New Roman" w:hAnsi="Times New Roman"/>
          <w:sz w:val="24"/>
          <w:szCs w:val="24"/>
        </w:rPr>
        <w:t>:</w:t>
      </w:r>
    </w:p>
    <w:p>
      <w:pPr>
        <w:pStyle w:val="style66"/>
        <w:spacing w:lineRule="auto" w:line="360"/>
        <w:ind w:right="730"/>
        <w:jc w:val="both"/>
        <w:rPr>
          <w:rFonts w:eastAsia="Calibri"/>
        </w:rPr>
      </w:pPr>
      <w:r>
        <w:rPr>
          <w:rFonts w:eastAsia="Calibri"/>
        </w:rPr>
        <w:t>2.1. Materials</w:t>
      </w:r>
    </w:p>
    <w:p>
      <w:pPr>
        <w:pStyle w:val="style66"/>
        <w:spacing w:lineRule="auto" w:line="276"/>
        <w:ind w:right="730"/>
        <w:jc w:val="both"/>
        <w:rPr>
          <w:rFonts w:eastAsia="Calibri"/>
        </w:rPr>
      </w:pPr>
      <w:r>
        <w:rPr>
          <w:rFonts w:eastAsia="Calibri"/>
        </w:rPr>
        <w:t>Ropinirole</w:t>
      </w:r>
      <w:r>
        <w:rPr>
          <w:rFonts w:eastAsia="Calibri"/>
        </w:rPr>
        <w:t xml:space="preserve"> HCL became used as API inside the components. </w:t>
      </w:r>
      <w:r>
        <w:rPr>
          <w:rFonts w:eastAsia="Calibri"/>
        </w:rPr>
        <w:t>Noveon</w:t>
      </w:r>
      <w:r>
        <w:rPr>
          <w:rFonts w:eastAsia="Calibri"/>
        </w:rPr>
        <w:t xml:space="preserve"> AA1 </w:t>
      </w:r>
      <w:r>
        <w:rPr>
          <w:rFonts w:eastAsia="Calibri"/>
        </w:rPr>
        <w:t>Polycarbophil</w:t>
      </w:r>
      <w:r>
        <w:rPr>
          <w:rFonts w:eastAsia="Calibri"/>
        </w:rPr>
        <w:t xml:space="preserve"> was used as a </w:t>
      </w:r>
      <w:r>
        <w:rPr>
          <w:rFonts w:eastAsia="Calibri"/>
        </w:rPr>
        <w:t>mucoadhesive</w:t>
      </w:r>
      <w:r>
        <w:rPr>
          <w:rFonts w:eastAsia="Calibri"/>
        </w:rPr>
        <w:t xml:space="preserve"> agent </w:t>
      </w:r>
      <w:r>
        <w:rPr>
          <w:rFonts w:eastAsia="Calibri"/>
        </w:rPr>
        <w:t>Sorbitan</w:t>
      </w:r>
      <w:r>
        <w:rPr>
          <w:rFonts w:eastAsia="Calibri"/>
        </w:rPr>
        <w:t xml:space="preserve"> </w:t>
      </w:r>
      <w:r>
        <w:rPr>
          <w:rFonts w:eastAsia="Calibri"/>
        </w:rPr>
        <w:t>monosterate</w:t>
      </w:r>
      <w:r>
        <w:rPr>
          <w:rFonts w:eastAsia="Calibri"/>
        </w:rPr>
        <w:t>,</w:t>
      </w:r>
      <w:r>
        <w:rPr>
          <w:rFonts w:eastAsia="Calibri"/>
        </w:rPr>
        <w:t xml:space="preserve"> </w:t>
      </w:r>
      <w:r>
        <w:rPr>
          <w:rFonts w:eastAsia="Calibri"/>
        </w:rPr>
        <w:t>sorbitan</w:t>
      </w:r>
      <w:r>
        <w:rPr>
          <w:rFonts w:eastAsia="Calibri"/>
        </w:rPr>
        <w:t xml:space="preserve"> </w:t>
      </w:r>
      <w:r>
        <w:rPr>
          <w:rFonts w:eastAsia="Calibri"/>
        </w:rPr>
        <w:t>monolaurate</w:t>
      </w:r>
      <w:r>
        <w:rPr>
          <w:rFonts w:eastAsia="Calibri"/>
        </w:rPr>
        <w:t xml:space="preserve"> had been used as non ionic surfactants. </w:t>
      </w:r>
      <w:r>
        <w:rPr>
          <w:rFonts w:eastAsia="Calibri"/>
        </w:rPr>
        <w:t>Ldl</w:t>
      </w:r>
      <w:r>
        <w:rPr>
          <w:rFonts w:eastAsia="Calibri"/>
        </w:rPr>
        <w:t xml:space="preserve"> cholesterol as membrane stabilizing agent. Sodium chloride, disodium hydrogen phosphate and potassium </w:t>
      </w:r>
      <w:r>
        <w:rPr>
          <w:rFonts w:eastAsia="Calibri"/>
        </w:rPr>
        <w:t>dihydrogen</w:t>
      </w:r>
      <w:r>
        <w:rPr>
          <w:rFonts w:eastAsia="Calibri"/>
        </w:rPr>
        <w:t xml:space="preserve"> phosphate were used for buffer solution. Water used turned into </w:t>
      </w:r>
      <w:r>
        <w:rPr>
          <w:rFonts w:eastAsia="Calibri"/>
        </w:rPr>
        <w:t>Milli</w:t>
      </w:r>
      <w:r>
        <w:rPr>
          <w:rFonts w:eastAsia="Calibri"/>
        </w:rPr>
        <w:t>-Q water.</w:t>
      </w:r>
    </w:p>
    <w:p>
      <w:pPr>
        <w:pStyle w:val="style66"/>
        <w:spacing w:lineRule="auto" w:line="276"/>
        <w:ind w:right="730"/>
        <w:jc w:val="both"/>
        <w:rPr>
          <w:rFonts w:eastAsia="Calibri"/>
        </w:rPr>
      </w:pPr>
    </w:p>
    <w:p>
      <w:pPr>
        <w:pStyle w:val="style66"/>
        <w:spacing w:lineRule="auto" w:line="360"/>
        <w:ind w:right="730"/>
        <w:jc w:val="both"/>
        <w:rPr>
          <w:rFonts w:eastAsia="Calibri"/>
        </w:rPr>
      </w:pPr>
      <w:r>
        <w:rPr>
          <w:rFonts w:eastAsia="Calibri"/>
        </w:rPr>
        <w:t>2.2.</w:t>
      </w:r>
      <w:r>
        <w:rPr>
          <w:rFonts w:eastAsia="Calibri"/>
        </w:rPr>
        <w:t xml:space="preserve"> Preparation</w:t>
      </w:r>
      <w:r>
        <w:rPr>
          <w:rFonts w:eastAsia="Calibri"/>
        </w:rPr>
        <w:t xml:space="preserve"> of </w:t>
      </w:r>
      <w:r>
        <w:rPr>
          <w:rFonts w:eastAsia="Calibri"/>
        </w:rPr>
        <w:t>niosomes</w:t>
      </w:r>
    </w:p>
    <w:p>
      <w:pPr>
        <w:pStyle w:val="style66"/>
        <w:spacing w:lineRule="auto" w:line="360"/>
        <w:ind w:right="730"/>
        <w:jc w:val="both"/>
        <w:rPr>
          <w:rFonts w:eastAsia="Calibri"/>
        </w:rPr>
      </w:pPr>
      <w:r>
        <w:rPr>
          <w:rFonts w:eastAsia="Calibri"/>
        </w:rPr>
        <w:t xml:space="preserve">1. Choice of </w:t>
      </w:r>
      <w:r>
        <w:rPr>
          <w:rFonts w:eastAsia="Calibri"/>
        </w:rPr>
        <w:t>M</w:t>
      </w:r>
      <w:r>
        <w:rPr>
          <w:rFonts w:eastAsia="Calibri"/>
        </w:rPr>
        <w:t>ucoadhesive</w:t>
      </w:r>
      <w:r>
        <w:rPr>
          <w:rFonts w:eastAsia="Calibri"/>
        </w:rPr>
        <w:t xml:space="preserve"> polymer</w:t>
      </w:r>
    </w:p>
    <w:p>
      <w:pPr>
        <w:pStyle w:val="style66"/>
        <w:spacing w:lineRule="auto" w:line="276"/>
        <w:ind w:right="730"/>
        <w:jc w:val="both"/>
        <w:rPr>
          <w:rFonts w:eastAsia="Calibri"/>
        </w:rPr>
      </w:pPr>
      <w:r>
        <w:rPr>
          <w:rFonts w:eastAsia="Calibri"/>
        </w:rPr>
        <w:t xml:space="preserve">With the selected </w:t>
      </w:r>
      <w:r>
        <w:rPr>
          <w:rFonts w:eastAsia="Calibri"/>
        </w:rPr>
        <w:t>mucoadhesive</w:t>
      </w:r>
      <w:r>
        <w:rPr>
          <w:rFonts w:eastAsia="Calibri"/>
        </w:rPr>
        <w:t xml:space="preserve"> polymer </w:t>
      </w:r>
      <w:r>
        <w:rPr>
          <w:rFonts w:eastAsia="Calibri"/>
        </w:rPr>
        <w:t>niosomes</w:t>
      </w:r>
      <w:r>
        <w:rPr>
          <w:rFonts w:eastAsia="Calibri"/>
        </w:rPr>
        <w:t xml:space="preserve"> were organized the use of different </w:t>
      </w:r>
      <w:r>
        <w:rPr>
          <w:rFonts w:eastAsia="Calibri"/>
        </w:rPr>
        <w:t>mucoadhesive</w:t>
      </w:r>
      <w:r>
        <w:rPr>
          <w:rFonts w:eastAsia="Calibri"/>
        </w:rPr>
        <w:t xml:space="preserve"> agents and had been evaluated for the particle size, zeta capacity ,PDI, %cumulative drug release, % Entrapment performance and </w:t>
      </w:r>
      <w:r>
        <w:rPr>
          <w:rFonts w:eastAsia="Calibri"/>
        </w:rPr>
        <w:t>Mucin</w:t>
      </w:r>
      <w:r>
        <w:rPr>
          <w:rFonts w:eastAsia="Calibri"/>
        </w:rPr>
        <w:t xml:space="preserve"> binding efficiency. Choice of </w:t>
      </w:r>
      <w:r>
        <w:rPr>
          <w:rFonts w:eastAsia="Calibri"/>
        </w:rPr>
        <w:t>mucoadhesive</w:t>
      </w:r>
      <w:r>
        <w:rPr>
          <w:rFonts w:eastAsia="Calibri"/>
        </w:rPr>
        <w:t xml:space="preserve"> polymer turned into made primarily based on minimal particle size and narrow PDI and having most entrapment performance and </w:t>
      </w:r>
      <w:r>
        <w:rPr>
          <w:rFonts w:eastAsia="Calibri"/>
        </w:rPr>
        <w:t>mucin</w:t>
      </w:r>
      <w:r>
        <w:rPr>
          <w:rFonts w:eastAsia="Calibri"/>
        </w:rPr>
        <w:t xml:space="preserve"> binding capacity.</w:t>
      </w:r>
    </w:p>
    <w:p>
      <w:pPr>
        <w:pStyle w:val="style66"/>
        <w:spacing w:lineRule="auto" w:line="276"/>
        <w:ind w:right="730"/>
        <w:jc w:val="both"/>
        <w:rPr>
          <w:rFonts w:eastAsia="Calibri"/>
        </w:rPr>
      </w:pPr>
    </w:p>
    <w:p>
      <w:pPr>
        <w:pStyle w:val="style66"/>
        <w:spacing w:lineRule="auto" w:line="360"/>
        <w:ind w:right="730"/>
        <w:jc w:val="both"/>
        <w:rPr>
          <w:rFonts w:eastAsia="Calibri"/>
        </w:rPr>
      </w:pPr>
      <w:r>
        <w:rPr>
          <w:rFonts w:eastAsia="Calibri"/>
        </w:rPr>
        <w:t xml:space="preserve">2. Preparation </w:t>
      </w:r>
      <w:r>
        <w:rPr>
          <w:rFonts w:eastAsia="Calibri"/>
        </w:rPr>
        <w:t xml:space="preserve">technique </w:t>
      </w:r>
    </w:p>
    <w:p>
      <w:pPr>
        <w:pStyle w:val="style66"/>
        <w:spacing w:lineRule="auto" w:line="276"/>
        <w:ind w:right="730"/>
        <w:jc w:val="both"/>
        <w:rPr>
          <w:rFonts w:eastAsia="Calibri"/>
        </w:rPr>
      </w:pPr>
      <w:r>
        <w:rPr>
          <w:rFonts w:eastAsia="Calibri"/>
        </w:rPr>
        <w:t xml:space="preserve">The </w:t>
      </w:r>
      <w:r>
        <w:rPr>
          <w:rFonts w:eastAsia="Calibri"/>
        </w:rPr>
        <w:t>Noveon</w:t>
      </w:r>
      <w:r>
        <w:rPr>
          <w:rFonts w:eastAsia="Calibri"/>
        </w:rPr>
        <w:t xml:space="preserve"> AA1 </w:t>
      </w:r>
      <w:r>
        <w:rPr>
          <w:rFonts w:eastAsia="Calibri"/>
        </w:rPr>
        <w:t>Polycarbophil</w:t>
      </w:r>
      <w:r>
        <w:rPr>
          <w:rFonts w:eastAsia="Calibri"/>
        </w:rPr>
        <w:t xml:space="preserve"> lined </w:t>
      </w:r>
      <w:r>
        <w:rPr>
          <w:rFonts w:eastAsia="Calibri"/>
        </w:rPr>
        <w:t>mucoadhesive</w:t>
      </w:r>
      <w:r>
        <w:rPr>
          <w:rFonts w:eastAsia="Calibri"/>
        </w:rPr>
        <w:t xml:space="preserve"> </w:t>
      </w:r>
      <w:r>
        <w:rPr>
          <w:rFonts w:eastAsia="Calibri"/>
        </w:rPr>
        <w:t>niosomes</w:t>
      </w:r>
      <w:r>
        <w:rPr>
          <w:rFonts w:eastAsia="Calibri"/>
        </w:rPr>
        <w:t xml:space="preserve"> have been prepared by way of ethanol injection technique where the organic phase containing lipid dispersion of cholesterol drug and non ionic surfactants turned into injected into aqueous segment containing </w:t>
      </w:r>
      <w:r>
        <w:rPr>
          <w:rFonts w:eastAsia="Calibri"/>
        </w:rPr>
        <w:t>noveon</w:t>
      </w:r>
      <w:r>
        <w:rPr>
          <w:rFonts w:eastAsia="Calibri"/>
        </w:rPr>
        <w:t xml:space="preserve"> aa1 </w:t>
      </w:r>
      <w:r>
        <w:rPr>
          <w:rFonts w:eastAsia="Calibri"/>
        </w:rPr>
        <w:t>polycarbophil</w:t>
      </w:r>
      <w:r>
        <w:rPr>
          <w:rFonts w:eastAsia="Calibri"/>
        </w:rPr>
        <w:t xml:space="preserve">. First </w:t>
      </w:r>
      <w:r>
        <w:rPr>
          <w:rFonts w:eastAsia="Calibri"/>
        </w:rPr>
        <w:t>off ,the</w:t>
      </w:r>
      <w:r>
        <w:rPr>
          <w:rFonts w:eastAsia="Calibri"/>
        </w:rPr>
        <w:t xml:space="preserve"> </w:t>
      </w:r>
      <w:r>
        <w:rPr>
          <w:rFonts w:eastAsia="Calibri"/>
        </w:rPr>
        <w:t>noveon</w:t>
      </w:r>
      <w:r>
        <w:rPr>
          <w:rFonts w:eastAsia="Calibri"/>
        </w:rPr>
        <w:t xml:space="preserve"> aa1 </w:t>
      </w:r>
      <w:r>
        <w:rPr>
          <w:rFonts w:eastAsia="Calibri"/>
        </w:rPr>
        <w:t>polycarbophil</w:t>
      </w:r>
      <w:r>
        <w:rPr>
          <w:rFonts w:eastAsia="Calibri"/>
        </w:rPr>
        <w:t xml:space="preserve"> solution become prepared the usage of Ph 6.Eight phosphate buffer. Required amounts of Span 20</w:t>
      </w:r>
      <w:r>
        <w:rPr>
          <w:rFonts w:eastAsia="Calibri"/>
        </w:rPr>
        <w:t>,Span</w:t>
      </w:r>
      <w:r>
        <w:rPr>
          <w:rFonts w:eastAsia="Calibri"/>
        </w:rPr>
        <w:t xml:space="preserve"> 60 and cholesterol in distinc</w:t>
      </w:r>
      <w:r>
        <w:rPr>
          <w:rFonts w:eastAsia="Calibri"/>
        </w:rPr>
        <w:t>t molar ratios viz.1:0.25,1:0.5,1:75</w:t>
      </w:r>
      <w:r>
        <w:rPr>
          <w:rFonts w:eastAsia="Calibri"/>
        </w:rPr>
        <w:t xml:space="preserve">,1;1 have been dissolved in 2 ml of ethanol with the assist of </w:t>
      </w:r>
      <w:r>
        <w:rPr>
          <w:rFonts w:eastAsia="Calibri"/>
        </w:rPr>
        <w:t>sonication</w:t>
      </w:r>
      <w:r>
        <w:rPr>
          <w:rFonts w:eastAsia="Calibri"/>
        </w:rPr>
        <w:t xml:space="preserve"> and mild heating. Weighed amount of </w:t>
      </w:r>
      <w:r>
        <w:rPr>
          <w:rFonts w:eastAsia="Calibri"/>
        </w:rPr>
        <w:t>Ropinirole</w:t>
      </w:r>
      <w:r>
        <w:rPr>
          <w:rFonts w:eastAsia="Calibri"/>
        </w:rPr>
        <w:t xml:space="preserve"> HCL turned into introduced to the above </w:t>
      </w:r>
      <w:r>
        <w:rPr>
          <w:rFonts w:eastAsia="Calibri"/>
        </w:rPr>
        <w:t>ethanolic</w:t>
      </w:r>
      <w:r>
        <w:rPr>
          <w:rFonts w:eastAsia="Calibri"/>
        </w:rPr>
        <w:t xml:space="preserve"> solution followed by </w:t>
      </w:r>
      <w:r>
        <w:rPr>
          <w:rFonts w:eastAsia="Calibri"/>
        </w:rPr>
        <w:t>sonication</w:t>
      </w:r>
      <w:r>
        <w:rPr>
          <w:rFonts w:eastAsia="Calibri"/>
        </w:rPr>
        <w:t xml:space="preserve"> till entire dissolution.</w:t>
      </w:r>
      <w:r>
        <w:rPr>
          <w:rFonts w:eastAsia="Calibri"/>
        </w:rPr>
        <w:t xml:space="preserve"> </w:t>
      </w:r>
      <w:r>
        <w:rPr>
          <w:rFonts w:eastAsia="Calibri"/>
        </w:rPr>
        <w:t>The</w:t>
      </w:r>
      <w:r>
        <w:rPr>
          <w:rFonts w:eastAsia="Calibri"/>
        </w:rPr>
        <w:t xml:space="preserve"> </w:t>
      </w:r>
      <w:r>
        <w:rPr>
          <w:rFonts w:eastAsia="Calibri"/>
        </w:rPr>
        <w:t>ethanolic</w:t>
      </w:r>
      <w:r>
        <w:rPr>
          <w:rFonts w:eastAsia="Calibri"/>
        </w:rPr>
        <w:t xml:space="preserve"> phase become then swiftly injected in a defined volume of </w:t>
      </w:r>
      <w:r>
        <w:rPr>
          <w:rFonts w:eastAsia="Calibri"/>
        </w:rPr>
        <w:t>noveon</w:t>
      </w:r>
      <w:r>
        <w:rPr>
          <w:rFonts w:eastAsia="Calibri"/>
        </w:rPr>
        <w:t xml:space="preserve"> aa1 </w:t>
      </w:r>
      <w:r>
        <w:rPr>
          <w:rFonts w:eastAsia="Calibri"/>
        </w:rPr>
        <w:t>polycarbophil</w:t>
      </w:r>
      <w:r>
        <w:rPr>
          <w:rFonts w:eastAsia="Calibri"/>
        </w:rPr>
        <w:t xml:space="preserve"> solution in phosphate buffer under magnetic stirrer accompanied by excessive pressure homogenization for required homogenization cycles.</w:t>
      </w:r>
      <w:r>
        <w:rPr>
          <w:rFonts w:eastAsia="Calibri"/>
        </w:rPr>
        <w:t xml:space="preserve"> The resulting </w:t>
      </w:r>
      <w:r>
        <w:rPr>
          <w:rFonts w:eastAsia="Calibri"/>
        </w:rPr>
        <w:t>niosomal</w:t>
      </w:r>
      <w:r>
        <w:rPr>
          <w:rFonts w:eastAsia="Calibri"/>
        </w:rPr>
        <w:t xml:space="preserve"> dispersion was stored on magnetic stirring for 1 h at room temperature observed by means of rotary evaporator at 60°c for complete evaporation of ethanol.</w:t>
      </w:r>
      <w:r>
        <w:rPr>
          <w:rFonts w:eastAsia="Calibri"/>
        </w:rPr>
        <w:t xml:space="preserve"> </w:t>
      </w:r>
      <w:r>
        <w:rPr>
          <w:rFonts w:eastAsia="Calibri"/>
        </w:rPr>
        <w:t>The final volume was made and stored in fridge conditions until similarly use.</w:t>
      </w:r>
    </w:p>
    <w:tbl>
      <w:tblPr>
        <w:tblStyle w:val="style154"/>
        <w:tblpPr w:leftFromText="180" w:rightFromText="180" w:topFromText="0" w:bottomFromText="0" w:vertAnchor="text" w:horzAnchor="margin" w:tblpX="108" w:tblpY="136"/>
        <w:tblW w:w="0" w:type="auto"/>
        <w:tblLook w:val="04A0" w:firstRow="1" w:lastRow="0" w:firstColumn="1" w:lastColumn="0" w:noHBand="0" w:noVBand="1"/>
      </w:tblPr>
      <w:tblGrid>
        <w:gridCol w:w="5637"/>
        <w:gridCol w:w="3940"/>
      </w:tblGrid>
      <w:tr>
        <w:trPr/>
        <w:tc>
          <w:tcPr>
            <w:tcW w:w="6228" w:type="dxa"/>
            <w:tcBorders/>
          </w:tcPr>
          <w:p>
            <w:pPr>
              <w:pStyle w:val="style0"/>
              <w:tabs>
                <w:tab w:val="left" w:leader="none" w:pos="4070"/>
              </w:tabs>
              <w:spacing w:before="8"/>
              <w:rPr>
                <w:rFonts w:ascii="Times New Roman" w:cs="Times New Roman" w:eastAsia="Times New Roman" w:hAnsi="Times New Roman"/>
                <w:sz w:val="24"/>
                <w:szCs w:val="24"/>
              </w:rPr>
            </w:pPr>
            <w:r>
              <w:rPr>
                <w:rFonts w:ascii="Times New Roman" w:cs="Times New Roman" w:eastAsia="Times New Roman" w:hAnsi="Times New Roman"/>
                <w:noProof/>
                <w:sz w:val="24"/>
                <w:szCs w:val="24"/>
              </w:rPr>
              <w:pict>
                <v:line id="1026" stroked="t" from="194.35pt,1.0pt" to="194.35pt,72.95pt" style="position:absolute;z-index:5;mso-position-horizontal-relative:text;mso-position-vertical-relative:text;mso-width-relative:page;mso-height-relative:page;mso-wrap-distance-left:0.0pt;mso-wrap-distance-right:0.0pt;visibility:visible;">
                  <v:stroke color="#4a7ebb"/>
                  <v:fill/>
                </v:line>
              </w:pict>
            </w:r>
            <w:r>
              <w:rPr>
                <w:rFonts w:ascii="Times New Roman" w:cs="Times New Roman" w:eastAsia="Times New Roman" w:hAnsi="Times New Roman"/>
                <w:sz w:val="24"/>
                <w:szCs w:val="24"/>
              </w:rPr>
              <w:t xml:space="preserve">                     Dependent variables</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 xml:space="preserve">         Level</w:t>
            </w:r>
          </w:p>
          <w:p>
            <w:pPr>
              <w:pStyle w:val="style0"/>
              <w:tabs>
                <w:tab w:val="left" w:leader="none" w:pos="4070"/>
              </w:tabs>
              <w:spacing w:before="8"/>
              <w:rPr>
                <w:rFonts w:ascii="Times New Roman" w:cs="Times New Roman" w:eastAsia="Times New Roman" w:hAnsi="Times New Roman"/>
                <w:sz w:val="24"/>
                <w:szCs w:val="24"/>
              </w:rPr>
            </w:pPr>
            <w:r>
              <w:rPr>
                <w:rFonts w:ascii="Times New Roman" w:cs="Times New Roman" w:eastAsia="Times New Roman" w:hAnsi="Times New Roman"/>
                <w:noProof/>
                <w:sz w:val="24"/>
                <w:szCs w:val="24"/>
              </w:rPr>
              <w:pict>
                <v:shapetype id="_x0000_t32" coordsize="21600,21600" o:spt="32" o:oned="t" path="m,l21600,21600e">
                  <v:path arrowok="t" fillok="f" o:connecttype="none"/>
                  <o:lock v:ext="edit" shapetype="t"/>
                </v:shapetype>
                <v:shape id="1028" type="#_x0000_t32" filled="f" style="position:absolute;margin-left:194.35pt;margin-top:-0.05pt;width:90.8pt;height:0.65pt;z-index:2;mso-position-horizontal-relative:text;mso-position-vertical-relative:text;mso-width-percent:0;mso-height-percent:0;mso-width-relative:page;mso-height-relative:page;mso-wrap-distance-left:0.0pt;mso-wrap-distance-right:0.0pt;visibility:visible;">
                  <v:fill/>
                  <v:path o:connecttype="none" fillok="f" arrowok="t"/>
                </v:shape>
              </w:pict>
            </w:r>
            <w:r>
              <w:rPr>
                <w:rFonts w:ascii="Times New Roman" w:cs="Times New Roman" w:eastAsia="Times New Roman" w:hAnsi="Times New Roman"/>
                <w:noProof/>
                <w:sz w:val="24"/>
                <w:szCs w:val="24"/>
              </w:rPr>
              <w:pict>
                <v:shape id="1029" type="#_x0000_t32" filled="f" style="position:absolute;margin-left:244.9pt;margin-top:0.85pt;width:0.6pt;height:58.2pt;z-index:4;mso-position-horizontal-relative:text;mso-position-vertical-relative:text;mso-width-percent:0;mso-height-percent:0;mso-width-relative:page;mso-height-relative:page;mso-wrap-distance-left:0.0pt;mso-wrap-distance-right:0.0pt;visibility:visible;">
                  <v:fill/>
                  <v:path o:connecttype="none" fillok="f" arrowok="t"/>
                </v:shape>
              </w:pic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 xml:space="preserve">   low      High</w:t>
            </w:r>
          </w:p>
        </w:tc>
        <w:tc>
          <w:tcPr>
            <w:tcW w:w="4412" w:type="dxa"/>
            <w:tcBorders/>
          </w:tcPr>
          <w:p>
            <w:pPr>
              <w:pStyle w:val="style0"/>
              <w:spacing w:before="8"/>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Independent Variables</w:t>
            </w:r>
          </w:p>
        </w:tc>
      </w:tr>
      <w:tr>
        <w:tblPrEx/>
        <w:trPr/>
        <w:tc>
          <w:tcPr>
            <w:tcW w:w="6228" w:type="dxa"/>
            <w:tcBorders/>
          </w:tcPr>
          <w:p>
            <w:pPr>
              <w:pStyle w:val="style0"/>
              <w:tabs>
                <w:tab w:val="left" w:leader="none" w:pos="4245"/>
                <w:tab w:val="right" w:leader="none" w:pos="6012"/>
              </w:tabs>
              <w:spacing w:before="8"/>
              <w:rPr>
                <w:rFonts w:ascii="Times New Roman" w:cs="Times New Roman" w:eastAsia="Times New Roman" w:hAnsi="Times New Roman"/>
                <w:sz w:val="24"/>
                <w:szCs w:val="24"/>
              </w:rPr>
            </w:pPr>
            <w:r>
              <w:rPr>
                <w:rFonts w:ascii="Times New Roman" w:cs="Times New Roman" w:eastAsia="Times New Roman" w:hAnsi="Times New Roman"/>
                <w:noProof/>
                <w:sz w:val="24"/>
                <w:szCs w:val="24"/>
              </w:rPr>
              <w:pict>
                <v:shape id="1030" type="#_x0000_t32" filled="f" style="position:absolute;margin-left:194.15pt;margin-top:3.05pt;width:0.0pt;height:4.4pt;z-index:3;mso-position-horizontal-relative:text;mso-position-vertical-relative:text;mso-width-percent:0;mso-height-percent:0;mso-width-relative:page;mso-height-relative:page;mso-wrap-distance-left:0.0pt;mso-wrap-distance-right:0.0pt;visibility:visible;">
                  <v:fill/>
                  <v:path o:connecttype="none" fillok="f" arrowok="t"/>
                </v:shape>
              </w:pict>
            </w:r>
            <w:r>
              <w:rPr>
                <w:rFonts w:ascii="Times New Roman" w:cs="Times New Roman" w:eastAsia="Times New Roman" w:hAnsi="Times New Roman"/>
                <w:sz w:val="24"/>
                <w:szCs w:val="24"/>
              </w:rPr>
              <w:t>X1:Cholesterol:Surfactant Ratio</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-1             1</w:t>
            </w:r>
          </w:p>
        </w:tc>
        <w:tc>
          <w:tcPr>
            <w:tcW w:w="4412" w:type="dxa"/>
            <w:tcBorders/>
          </w:tcPr>
          <w:p>
            <w:pPr>
              <w:pStyle w:val="style0"/>
              <w:spacing w:before="8"/>
              <w:rPr>
                <w:rFonts w:ascii="Times New Roman" w:cs="Times New Roman" w:eastAsia="Times New Roman" w:hAnsi="Times New Roman"/>
                <w:sz w:val="24"/>
                <w:szCs w:val="24"/>
              </w:rPr>
            </w:pPr>
            <w:r>
              <w:rPr>
                <w:rFonts w:ascii="Times New Roman" w:cs="Times New Roman" w:eastAsia="Times New Roman" w:hAnsi="Times New Roman"/>
                <w:sz w:val="24"/>
                <w:szCs w:val="24"/>
              </w:rPr>
              <w:t>Y1:Particle Size(nm)</w:t>
            </w:r>
          </w:p>
        </w:tc>
      </w:tr>
      <w:tr>
        <w:tblPrEx/>
        <w:trPr/>
        <w:tc>
          <w:tcPr>
            <w:tcW w:w="6228" w:type="dxa"/>
            <w:tcBorders/>
          </w:tcPr>
          <w:p>
            <w:pPr>
              <w:pStyle w:val="style0"/>
              <w:tabs>
                <w:tab w:val="left" w:leader="none" w:pos="4295"/>
              </w:tabs>
              <w:spacing w:before="8"/>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X2:Noveon AA 1 </w:t>
            </w:r>
            <w:r>
              <w:rPr>
                <w:rFonts w:ascii="Times New Roman" w:cs="Times New Roman" w:eastAsia="Times New Roman" w:hAnsi="Times New Roman"/>
                <w:sz w:val="24"/>
                <w:szCs w:val="24"/>
              </w:rPr>
              <w:t>Polycarbophil</w:t>
            </w:r>
            <w:r>
              <w:rPr>
                <w:rFonts w:ascii="Times New Roman" w:cs="Times New Roman" w:eastAsia="Times New Roman" w:hAnsi="Times New Roman"/>
                <w:sz w:val="24"/>
                <w:szCs w:val="24"/>
              </w:rPr>
              <w:t>(%w/v)</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0.25        1</w:t>
            </w:r>
          </w:p>
        </w:tc>
        <w:tc>
          <w:tcPr>
            <w:tcW w:w="4412" w:type="dxa"/>
            <w:tcBorders/>
          </w:tcPr>
          <w:p>
            <w:pPr>
              <w:pStyle w:val="style0"/>
              <w:spacing w:before="8"/>
              <w:rPr>
                <w:rFonts w:ascii="Times New Roman" w:cs="Times New Roman" w:eastAsia="Times New Roman" w:hAnsi="Times New Roman"/>
                <w:sz w:val="24"/>
                <w:szCs w:val="24"/>
              </w:rPr>
            </w:pPr>
            <w:r>
              <w:rPr>
                <w:rFonts w:ascii="Times New Roman" w:cs="Times New Roman" w:eastAsia="Times New Roman" w:hAnsi="Times New Roman"/>
                <w:sz w:val="24"/>
                <w:szCs w:val="24"/>
              </w:rPr>
              <w:t>Y2</w:t>
            </w:r>
            <w:r>
              <w:rPr>
                <w:rFonts w:ascii="Times New Roman" w:cs="Times New Roman" w:eastAsia="Times New Roman" w:hAnsi="Times New Roman"/>
                <w:sz w:val="24"/>
                <w:szCs w:val="24"/>
              </w:rPr>
              <w:t>:Cumulative</w:t>
            </w:r>
            <w:r>
              <w:rPr>
                <w:rFonts w:ascii="Times New Roman" w:cs="Times New Roman" w:eastAsia="Times New Roman" w:hAnsi="Times New Roman"/>
                <w:sz w:val="24"/>
                <w:szCs w:val="24"/>
              </w:rPr>
              <w:t xml:space="preserve"> drug release(%)</w:t>
            </w:r>
          </w:p>
        </w:tc>
      </w:tr>
      <w:tr>
        <w:tblPrEx/>
        <w:trPr/>
        <w:tc>
          <w:tcPr>
            <w:tcW w:w="6228" w:type="dxa"/>
            <w:tcBorders/>
          </w:tcPr>
          <w:p>
            <w:pPr>
              <w:pStyle w:val="style0"/>
              <w:tabs>
                <w:tab w:val="left" w:leader="none" w:pos="4395"/>
              </w:tabs>
              <w:spacing w:before="8"/>
              <w:rPr>
                <w:rFonts w:ascii="Times New Roman" w:cs="Times New Roman" w:eastAsia="Times New Roman" w:hAnsi="Times New Roman"/>
                <w:sz w:val="24"/>
                <w:szCs w:val="24"/>
              </w:rPr>
            </w:pPr>
            <w:r>
              <w:rPr>
                <w:rFonts w:ascii="Times New Roman" w:cs="Times New Roman" w:eastAsia="Times New Roman" w:hAnsi="Times New Roman"/>
                <w:sz w:val="24"/>
                <w:szCs w:val="24"/>
              </w:rPr>
              <w:t>X3:Homogenization Cycles(</w:t>
            </w:r>
            <w:r>
              <w:rPr>
                <w:rFonts w:ascii="Times New Roman" w:cs="Times New Roman" w:eastAsia="Times New Roman" w:hAnsi="Times New Roman"/>
                <w:sz w:val="24"/>
                <w:szCs w:val="24"/>
              </w:rPr>
              <w:t>Nos</w:t>
            </w:r>
            <w:r>
              <w:rPr>
                <w:rFonts w:ascii="Times New Roman" w:cs="Times New Roman" w:eastAsia="Times New Roman" w:hAnsi="Times New Roman"/>
                <w:sz w:val="24"/>
                <w:szCs w:val="24"/>
              </w:rPr>
              <w:t>)</w:t>
            </w:r>
            <w:r>
              <w:rPr>
                <w:rFonts w:ascii="Times New Roman" w:cs="Times New Roman" w:eastAsia="Times New Roman" w:hAnsi="Times New Roman"/>
                <w:sz w:val="24"/>
                <w:szCs w:val="24"/>
              </w:rPr>
              <w:tab/>
            </w:r>
            <w:r>
              <w:rPr>
                <w:rFonts w:ascii="Times New Roman" w:cs="Times New Roman" w:eastAsia="Times New Roman" w:hAnsi="Times New Roman"/>
                <w:sz w:val="24"/>
                <w:szCs w:val="24"/>
              </w:rPr>
              <w:t>1           4</w:t>
            </w:r>
          </w:p>
        </w:tc>
        <w:tc>
          <w:tcPr>
            <w:tcW w:w="4412" w:type="dxa"/>
            <w:tcBorders/>
          </w:tcPr>
          <w:p>
            <w:pPr>
              <w:pStyle w:val="style0"/>
              <w:spacing w:before="8"/>
              <w:rPr>
                <w:rFonts w:ascii="Times New Roman" w:cs="Times New Roman" w:eastAsia="Times New Roman" w:hAnsi="Times New Roman"/>
                <w:sz w:val="24"/>
                <w:szCs w:val="24"/>
              </w:rPr>
            </w:pPr>
            <w:r>
              <w:rPr>
                <w:rFonts w:ascii="Times New Roman" w:cs="Times New Roman" w:eastAsia="Times New Roman" w:hAnsi="Times New Roman"/>
                <w:sz w:val="24"/>
                <w:szCs w:val="24"/>
              </w:rPr>
              <w:t>Y3</w:t>
            </w:r>
            <w:r>
              <w:rPr>
                <w:rFonts w:ascii="Times New Roman" w:cs="Times New Roman" w:eastAsia="Times New Roman" w:hAnsi="Times New Roman"/>
                <w:sz w:val="24"/>
                <w:szCs w:val="24"/>
              </w:rPr>
              <w:t>:Entrapment</w:t>
            </w:r>
            <w:r>
              <w:rPr>
                <w:rFonts w:ascii="Times New Roman" w:cs="Times New Roman" w:eastAsia="Times New Roman" w:hAnsi="Times New Roman"/>
                <w:sz w:val="24"/>
                <w:szCs w:val="24"/>
              </w:rPr>
              <w:t xml:space="preserve"> efficiency(%)</w:t>
            </w:r>
          </w:p>
        </w:tc>
      </w:tr>
    </w:tbl>
    <w:p>
      <w:pPr>
        <w:pStyle w:val="style66"/>
        <w:spacing w:lineRule="auto" w:line="276"/>
        <w:ind w:right="730"/>
        <w:jc w:val="both"/>
        <w:rPr>
          <w:rFonts w:eastAsia="Calibri"/>
        </w:rPr>
      </w:pPr>
      <w:r>
        <w:rPr>
          <w:rFonts w:eastAsia="Calibri"/>
        </w:rPr>
        <w:t xml:space="preserve">                              </w:t>
      </w:r>
      <w:r>
        <w:t>Table no.1 Dependent and independent variables</w:t>
      </w:r>
    </w:p>
    <w:p>
      <w:pPr>
        <w:pStyle w:val="style66"/>
        <w:spacing w:lineRule="auto" w:line="360"/>
        <w:ind w:right="730"/>
        <w:jc w:val="both"/>
        <w:rPr>
          <w:rFonts w:eastAsia="Calibri"/>
        </w:rPr>
      </w:pPr>
    </w:p>
    <w:p>
      <w:pPr>
        <w:pStyle w:val="style66"/>
        <w:spacing w:lineRule="auto" w:line="276"/>
        <w:ind w:right="730"/>
        <w:jc w:val="both"/>
        <w:rPr>
          <w:rFonts w:eastAsia="Calibri"/>
        </w:rPr>
      </w:pPr>
    </w:p>
    <w:p>
      <w:pPr>
        <w:pStyle w:val="style66"/>
        <w:spacing w:lineRule="auto" w:line="276"/>
        <w:ind w:right="730"/>
        <w:jc w:val="both"/>
        <w:rPr>
          <w:rFonts w:eastAsia="Calibri"/>
        </w:rPr>
      </w:pPr>
      <w:r>
        <w:rPr>
          <w:rFonts w:eastAsia="Calibri"/>
        </w:rPr>
        <w:t>2.3</w:t>
      </w:r>
      <w:r>
        <w:rPr>
          <w:rFonts w:eastAsia="Calibri"/>
        </w:rPr>
        <w:t>.Optimization</w:t>
      </w:r>
      <w:r>
        <w:rPr>
          <w:rFonts w:eastAsia="Calibri"/>
        </w:rPr>
        <w:t xml:space="preserve"> of </w:t>
      </w:r>
      <w:r>
        <w:rPr>
          <w:rFonts w:eastAsia="Calibri"/>
        </w:rPr>
        <w:t>Noveon</w:t>
      </w:r>
      <w:r>
        <w:rPr>
          <w:rFonts w:eastAsia="Calibri"/>
        </w:rPr>
        <w:t xml:space="preserve"> AA1 </w:t>
      </w:r>
      <w:r>
        <w:rPr>
          <w:rFonts w:eastAsia="Calibri"/>
        </w:rPr>
        <w:t>Polycarobophile</w:t>
      </w:r>
      <w:r>
        <w:rPr>
          <w:rFonts w:eastAsia="Calibri"/>
        </w:rPr>
        <w:t xml:space="preserve"> coated </w:t>
      </w:r>
      <w:r>
        <w:rPr>
          <w:rFonts w:eastAsia="Calibri"/>
        </w:rPr>
        <w:t>mucoadhesive</w:t>
      </w:r>
      <w:r>
        <w:rPr>
          <w:rFonts w:eastAsia="Calibri"/>
        </w:rPr>
        <w:t xml:space="preserve"> </w:t>
      </w:r>
      <w:r>
        <w:rPr>
          <w:rFonts w:eastAsia="Calibri"/>
        </w:rPr>
        <w:t>niosome</w:t>
      </w:r>
      <w:r>
        <w:rPr>
          <w:rFonts w:eastAsia="Calibri"/>
        </w:rPr>
        <w:t xml:space="preserve"> of </w:t>
      </w:r>
      <w:r>
        <w:rPr>
          <w:rFonts w:eastAsia="Calibri"/>
        </w:rPr>
        <w:t>Ropinirole</w:t>
      </w:r>
      <w:r>
        <w:rPr>
          <w:rFonts w:eastAsia="Calibri"/>
        </w:rPr>
        <w:t xml:space="preserve"> HCL</w:t>
      </w:r>
    </w:p>
    <w:p>
      <w:pPr>
        <w:pStyle w:val="style66"/>
        <w:spacing w:lineRule="auto" w:line="276"/>
        <w:ind w:right="730"/>
        <w:jc w:val="both"/>
        <w:rPr>
          <w:rFonts w:eastAsia="Calibri"/>
        </w:rPr>
      </w:pPr>
      <w:r>
        <w:t>Throughout initial trials,</w:t>
      </w:r>
      <w:r>
        <w:rPr>
          <w:rFonts w:eastAsia="Calibri"/>
        </w:rPr>
        <w:t xml:space="preserve"> </w:t>
      </w:r>
      <w:r>
        <w:t>numerous parameters had been investigated,</w:t>
      </w:r>
      <w:r>
        <w:rPr>
          <w:rFonts w:eastAsia="Calibri"/>
        </w:rPr>
        <w:t xml:space="preserve"> </w:t>
      </w:r>
      <w:r>
        <w:t>which had extremely good effects on particle length,</w:t>
      </w:r>
      <w:r>
        <w:rPr>
          <w:rFonts w:eastAsia="Calibri"/>
        </w:rPr>
        <w:t xml:space="preserve"> </w:t>
      </w:r>
      <w:r>
        <w:t>%EE,</w:t>
      </w:r>
      <w:r>
        <w:rPr>
          <w:rFonts w:eastAsia="Calibri"/>
        </w:rPr>
        <w:t xml:space="preserve"> </w:t>
      </w:r>
      <w:r>
        <w:t xml:space="preserve">cumulative drug release. Several trails were accomplished to evaluate the impact of the elements on the formation of </w:t>
      </w:r>
      <w:r>
        <w:t>niosomes</w:t>
      </w:r>
      <w:r>
        <w:t>.</w:t>
      </w:r>
      <w:r>
        <w:rPr>
          <w:rFonts w:eastAsia="Calibri"/>
        </w:rPr>
        <w:t xml:space="preserve"> </w:t>
      </w:r>
      <w:r>
        <w:t xml:space="preserve">Significant composite layout become implemented to analyze the impact of impartial </w:t>
      </w:r>
      <w:r>
        <w:rPr>
          <w:rFonts w:eastAsia="Calibri"/>
        </w:rPr>
        <w:t>variables</w:t>
      </w:r>
      <w:r>
        <w:t xml:space="preserve"> which might be X1=Ratio of </w:t>
      </w:r>
      <w:r>
        <w:t>Chol</w:t>
      </w:r>
      <w:r>
        <w:t>:Span</w:t>
      </w:r>
      <w:r>
        <w:t xml:space="preserve"> 20:Span 60,X2=</w:t>
      </w:r>
      <w:r>
        <w:t>Conc</w:t>
      </w:r>
      <w:r>
        <w:t xml:space="preserve"> of </w:t>
      </w:r>
      <w:r>
        <w:t>Noveon</w:t>
      </w:r>
      <w:r>
        <w:t xml:space="preserve"> aa1 </w:t>
      </w:r>
      <w:r>
        <w:t>polycarbophil</w:t>
      </w:r>
      <w:r>
        <w:t xml:space="preserve">, </w:t>
      </w:r>
      <w:r>
        <w:t xml:space="preserve">X3=Homogenization </w:t>
      </w:r>
      <w:r>
        <w:t xml:space="preserve">cycles on based </w:t>
      </w:r>
      <w:r>
        <w:t xml:space="preserve">variables </w:t>
      </w:r>
      <w:r>
        <w:t>Y1=Particle</w:t>
      </w:r>
      <w:r>
        <w:rPr>
          <w:rFonts w:eastAsia="Calibri"/>
        </w:rPr>
        <w:t xml:space="preserve"> length,Y2=%Cumulative drug release,Y3=%Entrapment performance the use of design-expert software </w:t>
      </w:r>
      <w:r>
        <w:rPr>
          <w:rFonts w:eastAsia="Calibri"/>
        </w:rPr>
        <w:t>program.The</w:t>
      </w:r>
      <w:r>
        <w:rPr>
          <w:rFonts w:eastAsia="Calibri"/>
        </w:rPr>
        <w:t xml:space="preserve"> unbiased and structured </w:t>
      </w:r>
      <w:r>
        <w:rPr>
          <w:rFonts w:eastAsia="Calibri"/>
        </w:rPr>
        <w:t>varaibles</w:t>
      </w:r>
      <w:r>
        <w:rPr>
          <w:rFonts w:eastAsia="Calibri"/>
        </w:rPr>
        <w:t xml:space="preserve"> are proven in </w:t>
      </w:r>
      <w:r>
        <w:rPr>
          <w:rFonts w:eastAsia="Calibri"/>
        </w:rPr>
        <w:t>table,in</w:t>
      </w:r>
      <w:r>
        <w:rPr>
          <w:rFonts w:eastAsia="Calibri"/>
        </w:rPr>
        <w:t xml:space="preserve"> conjunction with their high,</w:t>
      </w:r>
      <w:r>
        <w:rPr>
          <w:rFonts w:eastAsia="Calibri"/>
        </w:rPr>
        <w:t xml:space="preserve"> </w:t>
      </w:r>
      <w:r>
        <w:rPr>
          <w:rFonts w:eastAsia="Calibri"/>
        </w:rPr>
        <w:t>medium and low stages.</w:t>
      </w:r>
      <w:r>
        <w:rPr>
          <w:rFonts w:eastAsia="Calibri"/>
        </w:rPr>
        <w:t xml:space="preserve"> </w:t>
      </w:r>
      <w:r>
        <w:rPr>
          <w:rFonts w:eastAsia="Calibri"/>
        </w:rPr>
        <w:t xml:space="preserve">Fifteen batches of </w:t>
      </w:r>
      <w:r>
        <w:rPr>
          <w:rFonts w:eastAsia="Calibri"/>
        </w:rPr>
        <w:t>mucoadhesive</w:t>
      </w:r>
      <w:r>
        <w:rPr>
          <w:rFonts w:eastAsia="Calibri"/>
        </w:rPr>
        <w:t xml:space="preserve"> agent </w:t>
      </w:r>
      <w:r>
        <w:rPr>
          <w:rFonts w:eastAsia="Calibri"/>
        </w:rPr>
        <w:t>Ropinirole</w:t>
      </w:r>
      <w:r>
        <w:rPr>
          <w:rFonts w:eastAsia="Calibri"/>
        </w:rPr>
        <w:t xml:space="preserve"> </w:t>
      </w:r>
      <w:r>
        <w:rPr>
          <w:rFonts w:eastAsia="Calibri"/>
        </w:rPr>
        <w:t>Hcl</w:t>
      </w:r>
      <w:r>
        <w:rPr>
          <w:rFonts w:eastAsia="Calibri"/>
        </w:rPr>
        <w:t xml:space="preserve"> </w:t>
      </w:r>
      <w:r>
        <w:rPr>
          <w:rFonts w:eastAsia="Calibri"/>
        </w:rPr>
        <w:t>niosomes</w:t>
      </w:r>
      <w:r>
        <w:rPr>
          <w:rFonts w:eastAsia="Calibri"/>
        </w:rPr>
        <w:t>,</w:t>
      </w:r>
      <w:r>
        <w:rPr>
          <w:rFonts w:eastAsia="Calibri"/>
        </w:rPr>
        <w:t xml:space="preserve"> </w:t>
      </w:r>
      <w:r>
        <w:rPr>
          <w:rFonts w:eastAsia="Calibri"/>
        </w:rPr>
        <w:t>consisting of 5 centre factors batches,</w:t>
      </w:r>
      <w:r>
        <w:rPr>
          <w:rFonts w:eastAsia="Calibri"/>
        </w:rPr>
        <w:t xml:space="preserve"> </w:t>
      </w:r>
      <w:r>
        <w:rPr>
          <w:rFonts w:eastAsia="Calibri"/>
        </w:rPr>
        <w:t>were</w:t>
      </w:r>
      <w:r>
        <w:rPr>
          <w:rFonts w:eastAsia="Calibri"/>
        </w:rPr>
        <w:t xml:space="preserve"> f</w:t>
      </w:r>
      <w:r>
        <w:rPr>
          <w:rFonts w:eastAsia="Calibri"/>
        </w:rPr>
        <w:t xml:space="preserve">ormulated as proposed with the aid of </w:t>
      </w:r>
      <w:r>
        <w:rPr>
          <w:rFonts w:eastAsia="Calibri"/>
        </w:rPr>
        <w:t>experimentle</w:t>
      </w:r>
      <w:r>
        <w:rPr>
          <w:rFonts w:eastAsia="Calibri"/>
        </w:rPr>
        <w:t xml:space="preserve"> design and evaluated for inspecting the consequences of impartial </w:t>
      </w:r>
      <w:r>
        <w:rPr>
          <w:rFonts w:eastAsia="Calibri"/>
        </w:rPr>
        <w:t>variables</w:t>
      </w:r>
      <w:r>
        <w:rPr>
          <w:rFonts w:eastAsia="Calibri"/>
        </w:rPr>
        <w:t xml:space="preserve"> on structured </w:t>
      </w:r>
      <w:r>
        <w:rPr>
          <w:rFonts w:eastAsia="Calibri"/>
        </w:rPr>
        <w:t>varaiables</w:t>
      </w:r>
      <w:r>
        <w:rPr>
          <w:rFonts w:eastAsia="Calibri"/>
        </w:rPr>
        <w:t>.</w:t>
      </w:r>
      <w:r>
        <w:rPr>
          <w:rFonts w:eastAsia="Calibri"/>
        </w:rPr>
        <w:t xml:space="preserve"> </w:t>
      </w:r>
      <w:r>
        <w:rPr>
          <w:rFonts w:eastAsia="Calibri"/>
        </w:rPr>
        <w:t xml:space="preserve">A P price ˂ 0.05 become taken into consideration as extensive adjusted multiple correlation </w:t>
      </w:r>
      <w:r>
        <w:rPr>
          <w:rFonts w:eastAsia="Calibri"/>
        </w:rPr>
        <w:t>coefficient</w:t>
      </w:r>
      <w:r>
        <w:rPr>
          <w:rFonts w:eastAsia="Calibri"/>
        </w:rPr>
        <w:t xml:space="preserve"> and represented graphically via 3-d response floor plots furnished by means of the software </w:t>
      </w:r>
      <w:r>
        <w:rPr>
          <w:rFonts w:eastAsia="Calibri"/>
        </w:rPr>
        <w:t>program.</w:t>
      </w:r>
      <w:r>
        <w:rPr>
          <w:rFonts w:eastAsia="Calibri"/>
        </w:rPr>
        <w:t xml:space="preserve"> </w:t>
      </w:r>
      <w:r>
        <w:rPr>
          <w:rFonts w:eastAsia="Calibri"/>
        </w:rPr>
        <w:t xml:space="preserve">Following approach validation all of the experiments were achieved the usage of the optimized </w:t>
      </w:r>
      <w:r>
        <w:rPr>
          <w:rFonts w:eastAsia="Calibri"/>
        </w:rPr>
        <w:t>mucoadhesive</w:t>
      </w:r>
      <w:r>
        <w:rPr>
          <w:rFonts w:eastAsia="Calibri"/>
        </w:rPr>
        <w:t xml:space="preserve"> agent covered </w:t>
      </w:r>
      <w:r>
        <w:rPr>
          <w:rFonts w:eastAsia="Calibri"/>
        </w:rPr>
        <w:t>niosme</w:t>
      </w:r>
      <w:r>
        <w:rPr>
          <w:rFonts w:eastAsia="Calibri"/>
        </w:rPr>
        <w:t xml:space="preserve"> of RP-HCL </w:t>
      </w:r>
      <w:r>
        <w:rPr>
          <w:rFonts w:eastAsia="Calibri"/>
        </w:rPr>
        <w:t>Niosomes</w:t>
      </w:r>
      <w:r>
        <w:rPr>
          <w:rFonts w:eastAsia="Calibri"/>
        </w:rPr>
        <w:t>.</w:t>
      </w:r>
    </w:p>
    <w:p>
      <w:pPr>
        <w:pStyle w:val="style66"/>
        <w:spacing w:lineRule="auto" w:line="276"/>
        <w:ind w:right="730"/>
        <w:jc w:val="both"/>
        <w:rPr>
          <w:rFonts w:eastAsia="Calibri"/>
        </w:rPr>
      </w:pPr>
    </w:p>
    <w:p>
      <w:pPr>
        <w:pStyle w:val="style66"/>
        <w:spacing w:lineRule="auto" w:line="276"/>
        <w:ind w:right="730"/>
        <w:jc w:val="both"/>
        <w:rPr>
          <w:rFonts w:eastAsia="Calibri"/>
        </w:rPr>
      </w:pPr>
      <w:r>
        <w:rPr>
          <w:rFonts w:eastAsia="Calibri"/>
        </w:rPr>
        <w:t>2.4</w:t>
      </w:r>
      <w:r>
        <w:rPr>
          <w:rFonts w:eastAsia="Calibri"/>
        </w:rPr>
        <w:t>.Vesicle</w:t>
      </w:r>
      <w:r>
        <w:rPr>
          <w:rFonts w:eastAsia="Calibri"/>
        </w:rPr>
        <w:t xml:space="preserve"> length and Morphology evaluation</w:t>
      </w:r>
    </w:p>
    <w:p>
      <w:pPr>
        <w:pStyle w:val="style66"/>
        <w:spacing w:lineRule="auto" w:line="276"/>
        <w:ind w:right="730"/>
        <w:jc w:val="both"/>
        <w:rPr>
          <w:rFonts w:eastAsia="Calibri"/>
        </w:rPr>
      </w:pPr>
      <w:r>
        <w:rPr>
          <w:rFonts w:eastAsia="Calibri"/>
        </w:rPr>
        <w:t xml:space="preserve">The common diameter of the </w:t>
      </w:r>
      <w:r>
        <w:rPr>
          <w:rFonts w:eastAsia="Calibri"/>
        </w:rPr>
        <w:t>niosomes</w:t>
      </w:r>
      <w:r>
        <w:rPr>
          <w:rFonts w:eastAsia="Calibri"/>
        </w:rPr>
        <w:t xml:space="preserve"> (z-average), </w:t>
      </w:r>
      <w:r>
        <w:rPr>
          <w:rFonts w:eastAsia="Calibri"/>
        </w:rPr>
        <w:t>polydispersity</w:t>
      </w:r>
      <w:r>
        <w:rPr>
          <w:rFonts w:eastAsia="Calibri"/>
        </w:rPr>
        <w:t xml:space="preserve"> index (PDI) and zeta-ability of all of the formulations had been measured using </w:t>
      </w:r>
      <w:r>
        <w:rPr>
          <w:rFonts w:eastAsia="Calibri"/>
        </w:rPr>
        <w:t>Zetasizer</w:t>
      </w:r>
      <w:r>
        <w:rPr>
          <w:rFonts w:eastAsia="Calibri"/>
        </w:rPr>
        <w:t xml:space="preserve"> </w:t>
      </w:r>
      <w:r>
        <w:rPr>
          <w:rFonts w:eastAsia="Calibri"/>
        </w:rPr>
        <w:t>Nano</w:t>
      </w:r>
      <w:r>
        <w:rPr>
          <w:rFonts w:eastAsia="Calibri"/>
        </w:rPr>
        <w:t xml:space="preserve"> ZS .The </w:t>
      </w:r>
      <w:r>
        <w:rPr>
          <w:rFonts w:eastAsia="Calibri"/>
        </w:rPr>
        <w:t>niosomal</w:t>
      </w:r>
      <w:r>
        <w:rPr>
          <w:rFonts w:eastAsia="Calibri"/>
        </w:rPr>
        <w:t xml:space="preserve"> formulations (20 </w:t>
      </w:r>
      <w:r>
        <w:rPr>
          <w:rFonts w:eastAsia="Calibri"/>
        </w:rPr>
        <w:t>μL</w:t>
      </w:r>
      <w:r>
        <w:rPr>
          <w:rFonts w:eastAsia="Calibri"/>
        </w:rPr>
        <w:t xml:space="preserve">) were diluted with water (15 </w:t>
      </w:r>
      <w:r>
        <w:rPr>
          <w:rFonts w:eastAsia="Calibri"/>
        </w:rPr>
        <w:t>mL</w:t>
      </w:r>
      <w:r>
        <w:rPr>
          <w:rFonts w:eastAsia="Calibri"/>
        </w:rPr>
        <w:t>) earlier than measurements that allows you to keep away from multi-scattering phenomenon. The measurements were finished in triplicate.</w:t>
      </w:r>
    </w:p>
    <w:p>
      <w:pPr>
        <w:pStyle w:val="style66"/>
        <w:spacing w:lineRule="auto" w:line="276"/>
        <w:ind w:right="730"/>
        <w:jc w:val="both"/>
        <w:rPr>
          <w:rFonts w:eastAsia="Calibri"/>
        </w:rPr>
      </w:pPr>
    </w:p>
    <w:tbl>
      <w:tblPr>
        <w:tblW w:w="95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5"/>
        <w:gridCol w:w="1422"/>
        <w:gridCol w:w="1445"/>
        <w:gridCol w:w="1354"/>
        <w:gridCol w:w="1743"/>
        <w:gridCol w:w="1528"/>
        <w:gridCol w:w="968"/>
      </w:tblGrid>
      <w:tr>
        <w:trPr>
          <w:trHeight w:val="847" w:hRule="atLeast"/>
        </w:trPr>
        <w:tc>
          <w:tcPr>
            <w:tcW w:w="1085"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Batch Code</w:t>
            </w:r>
          </w:p>
        </w:tc>
        <w:tc>
          <w:tcPr>
            <w:tcW w:w="1422"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Ropinirole</w:t>
            </w:r>
            <w:r>
              <w:rPr>
                <w:rFonts w:ascii="Times New Roman" w:cs="Times New Roman" w:hAnsi="Times New Roman"/>
                <w:sz w:val="24"/>
                <w:szCs w:val="24"/>
              </w:rPr>
              <w:t xml:space="preserve"> HCL</w:t>
            </w:r>
          </w:p>
          <w:p>
            <w:pPr>
              <w:pStyle w:val="style157"/>
              <w:jc w:val="center"/>
              <w:rPr>
                <w:rFonts w:ascii="Times New Roman" w:cs="Times New Roman" w:hAnsi="Times New Roman"/>
                <w:sz w:val="24"/>
                <w:szCs w:val="24"/>
              </w:rPr>
            </w:pPr>
            <w:r>
              <w:rPr>
                <w:rFonts w:ascii="Times New Roman" w:cs="Times New Roman" w:hAnsi="Times New Roman"/>
                <w:sz w:val="24"/>
                <w:szCs w:val="24"/>
              </w:rPr>
              <w:t>(mg)</w:t>
            </w:r>
          </w:p>
        </w:tc>
        <w:tc>
          <w:tcPr>
            <w:tcW w:w="1445"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Cholesterol</w:t>
            </w:r>
          </w:p>
          <w:p>
            <w:pPr>
              <w:pStyle w:val="style157"/>
              <w:jc w:val="center"/>
              <w:rPr>
                <w:rFonts w:ascii="Times New Roman" w:cs="Times New Roman" w:hAnsi="Times New Roman"/>
                <w:sz w:val="24"/>
                <w:szCs w:val="24"/>
              </w:rPr>
            </w:pPr>
            <w:r>
              <w:rPr>
                <w:rFonts w:ascii="Times New Roman" w:cs="Times New Roman" w:hAnsi="Times New Roman"/>
                <w:sz w:val="24"/>
                <w:szCs w:val="24"/>
              </w:rPr>
              <w:t>(mg)</w:t>
            </w:r>
          </w:p>
        </w:tc>
        <w:tc>
          <w:tcPr>
            <w:tcW w:w="1354"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Span 20   (mg)</w:t>
            </w:r>
          </w:p>
        </w:tc>
        <w:tc>
          <w:tcPr>
            <w:tcW w:w="1743"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Span 60</w:t>
            </w:r>
          </w:p>
          <w:p>
            <w:pPr>
              <w:pStyle w:val="style157"/>
              <w:jc w:val="center"/>
              <w:rPr>
                <w:rFonts w:ascii="Times New Roman" w:cs="Times New Roman" w:hAnsi="Times New Roman"/>
                <w:sz w:val="24"/>
                <w:szCs w:val="24"/>
              </w:rPr>
            </w:pPr>
            <w:r>
              <w:rPr>
                <w:rFonts w:ascii="Times New Roman" w:cs="Times New Roman" w:hAnsi="Times New Roman"/>
                <w:sz w:val="24"/>
                <w:szCs w:val="24"/>
              </w:rPr>
              <w:t>(mg)</w:t>
            </w:r>
          </w:p>
        </w:tc>
        <w:tc>
          <w:tcPr>
            <w:tcW w:w="1528"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Noveon</w:t>
            </w:r>
            <w:r>
              <w:rPr>
                <w:rFonts w:ascii="Times New Roman" w:cs="Times New Roman" w:hAnsi="Times New Roman"/>
                <w:sz w:val="24"/>
                <w:szCs w:val="24"/>
              </w:rPr>
              <w:t xml:space="preserve"> AA1 </w:t>
            </w:r>
            <w:r>
              <w:rPr>
                <w:rFonts w:ascii="Times New Roman" w:cs="Times New Roman" w:hAnsi="Times New Roman"/>
                <w:sz w:val="24"/>
                <w:szCs w:val="24"/>
              </w:rPr>
              <w:t>Polycarbophil</w:t>
            </w:r>
          </w:p>
          <w:p>
            <w:pPr>
              <w:pStyle w:val="style157"/>
              <w:jc w:val="center"/>
              <w:rPr>
                <w:rFonts w:ascii="Times New Roman" w:cs="Times New Roman" w:hAnsi="Times New Roman"/>
                <w:sz w:val="24"/>
                <w:szCs w:val="24"/>
              </w:rPr>
            </w:pPr>
            <w:r>
              <w:rPr>
                <w:rFonts w:ascii="Times New Roman" w:cs="Times New Roman" w:hAnsi="Times New Roman"/>
                <w:sz w:val="24"/>
                <w:szCs w:val="24"/>
              </w:rPr>
              <w:t>(%w/v)</w:t>
            </w:r>
          </w:p>
        </w:tc>
        <w:tc>
          <w:tcPr>
            <w:tcW w:w="968"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Ethanol</w:t>
            </w:r>
          </w:p>
          <w:p>
            <w:pPr>
              <w:pStyle w:val="style157"/>
              <w:jc w:val="center"/>
              <w:rPr>
                <w:rFonts w:ascii="Times New Roman" w:cs="Times New Roman" w:hAnsi="Times New Roman"/>
                <w:sz w:val="24"/>
                <w:szCs w:val="24"/>
              </w:rPr>
            </w:pPr>
            <w:r>
              <w:rPr>
                <w:rFonts w:ascii="Times New Roman" w:cs="Times New Roman" w:hAnsi="Times New Roman"/>
                <w:sz w:val="24"/>
                <w:szCs w:val="24"/>
              </w:rPr>
              <w:t>(ml)</w:t>
            </w:r>
          </w:p>
        </w:tc>
      </w:tr>
      <w:tr>
        <w:tblPrEx/>
        <w:trPr>
          <w:trHeight w:val="343" w:hRule="atLeast"/>
        </w:trPr>
        <w:tc>
          <w:tcPr>
            <w:tcW w:w="1085"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F1</w:t>
            </w:r>
          </w:p>
        </w:tc>
        <w:tc>
          <w:tcPr>
            <w:tcW w:w="1422"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25</w:t>
            </w:r>
          </w:p>
        </w:tc>
        <w:tc>
          <w:tcPr>
            <w:tcW w:w="1445"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27.3</w:t>
            </w:r>
          </w:p>
        </w:tc>
        <w:tc>
          <w:tcPr>
            <w:tcW w:w="1354"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36.4</w:t>
            </w:r>
          </w:p>
        </w:tc>
        <w:tc>
          <w:tcPr>
            <w:tcW w:w="1743"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18.2</w:t>
            </w:r>
          </w:p>
        </w:tc>
        <w:tc>
          <w:tcPr>
            <w:tcW w:w="1528"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0.625</w:t>
            </w:r>
          </w:p>
        </w:tc>
        <w:tc>
          <w:tcPr>
            <w:tcW w:w="968"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2</w:t>
            </w:r>
          </w:p>
        </w:tc>
      </w:tr>
      <w:tr>
        <w:tblPrEx/>
        <w:trPr>
          <w:trHeight w:val="298" w:hRule="atLeast"/>
        </w:trPr>
        <w:tc>
          <w:tcPr>
            <w:tcW w:w="1085"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F2</w:t>
            </w:r>
          </w:p>
        </w:tc>
        <w:tc>
          <w:tcPr>
            <w:tcW w:w="1422"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25</w:t>
            </w:r>
          </w:p>
        </w:tc>
        <w:tc>
          <w:tcPr>
            <w:tcW w:w="1445"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27.3</w:t>
            </w:r>
          </w:p>
        </w:tc>
        <w:tc>
          <w:tcPr>
            <w:tcW w:w="1354"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36.4</w:t>
            </w:r>
          </w:p>
        </w:tc>
        <w:tc>
          <w:tcPr>
            <w:tcW w:w="1743"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18.2</w:t>
            </w:r>
          </w:p>
        </w:tc>
        <w:tc>
          <w:tcPr>
            <w:tcW w:w="1528"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0.625</w:t>
            </w:r>
          </w:p>
        </w:tc>
        <w:tc>
          <w:tcPr>
            <w:tcW w:w="968"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2</w:t>
            </w:r>
          </w:p>
        </w:tc>
      </w:tr>
      <w:tr>
        <w:tblPrEx/>
        <w:trPr>
          <w:trHeight w:val="352" w:hRule="atLeast"/>
        </w:trPr>
        <w:tc>
          <w:tcPr>
            <w:tcW w:w="1085"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F3</w:t>
            </w:r>
          </w:p>
        </w:tc>
        <w:tc>
          <w:tcPr>
            <w:tcW w:w="1422"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25</w:t>
            </w:r>
          </w:p>
        </w:tc>
        <w:tc>
          <w:tcPr>
            <w:tcW w:w="1445"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18.2</w:t>
            </w:r>
          </w:p>
        </w:tc>
        <w:tc>
          <w:tcPr>
            <w:tcW w:w="1354"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27.3</w:t>
            </w:r>
          </w:p>
        </w:tc>
        <w:tc>
          <w:tcPr>
            <w:tcW w:w="1743"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36.4</w:t>
            </w:r>
          </w:p>
        </w:tc>
        <w:tc>
          <w:tcPr>
            <w:tcW w:w="1528"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1</w:t>
            </w:r>
          </w:p>
        </w:tc>
        <w:tc>
          <w:tcPr>
            <w:tcW w:w="968"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2</w:t>
            </w:r>
          </w:p>
        </w:tc>
      </w:tr>
      <w:tr>
        <w:tblPrEx/>
        <w:trPr>
          <w:trHeight w:val="307" w:hRule="atLeast"/>
        </w:trPr>
        <w:tc>
          <w:tcPr>
            <w:tcW w:w="1085"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F4</w:t>
            </w:r>
          </w:p>
        </w:tc>
        <w:tc>
          <w:tcPr>
            <w:tcW w:w="1422"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25</w:t>
            </w:r>
          </w:p>
        </w:tc>
        <w:tc>
          <w:tcPr>
            <w:tcW w:w="1445"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27.3</w:t>
            </w:r>
          </w:p>
        </w:tc>
        <w:tc>
          <w:tcPr>
            <w:tcW w:w="1354"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36.4</w:t>
            </w:r>
          </w:p>
        </w:tc>
        <w:tc>
          <w:tcPr>
            <w:tcW w:w="1743"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18.2</w:t>
            </w:r>
          </w:p>
        </w:tc>
        <w:tc>
          <w:tcPr>
            <w:tcW w:w="1528"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0.625</w:t>
            </w:r>
          </w:p>
        </w:tc>
        <w:tc>
          <w:tcPr>
            <w:tcW w:w="968"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2</w:t>
            </w:r>
          </w:p>
        </w:tc>
      </w:tr>
      <w:tr>
        <w:tblPrEx/>
        <w:trPr>
          <w:trHeight w:val="361" w:hRule="atLeast"/>
        </w:trPr>
        <w:tc>
          <w:tcPr>
            <w:tcW w:w="1085"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F5</w:t>
            </w:r>
          </w:p>
        </w:tc>
        <w:tc>
          <w:tcPr>
            <w:tcW w:w="1422"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25</w:t>
            </w:r>
          </w:p>
        </w:tc>
        <w:tc>
          <w:tcPr>
            <w:tcW w:w="1445"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36.4</w:t>
            </w:r>
          </w:p>
        </w:tc>
        <w:tc>
          <w:tcPr>
            <w:tcW w:w="1354"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18.2</w:t>
            </w:r>
          </w:p>
        </w:tc>
        <w:tc>
          <w:tcPr>
            <w:tcW w:w="1743"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27.4</w:t>
            </w:r>
          </w:p>
        </w:tc>
        <w:tc>
          <w:tcPr>
            <w:tcW w:w="1528"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0.625</w:t>
            </w:r>
          </w:p>
        </w:tc>
        <w:tc>
          <w:tcPr>
            <w:tcW w:w="968"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2</w:t>
            </w:r>
          </w:p>
        </w:tc>
      </w:tr>
      <w:tr>
        <w:tblPrEx/>
        <w:trPr>
          <w:trHeight w:val="307" w:hRule="atLeast"/>
        </w:trPr>
        <w:tc>
          <w:tcPr>
            <w:tcW w:w="1085"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F6</w:t>
            </w:r>
          </w:p>
        </w:tc>
        <w:tc>
          <w:tcPr>
            <w:tcW w:w="1422"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25</w:t>
            </w:r>
          </w:p>
        </w:tc>
        <w:tc>
          <w:tcPr>
            <w:tcW w:w="1445"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27.3</w:t>
            </w:r>
          </w:p>
        </w:tc>
        <w:tc>
          <w:tcPr>
            <w:tcW w:w="1354"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36.4</w:t>
            </w:r>
          </w:p>
        </w:tc>
        <w:tc>
          <w:tcPr>
            <w:tcW w:w="1743"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18.2</w:t>
            </w:r>
          </w:p>
        </w:tc>
        <w:tc>
          <w:tcPr>
            <w:tcW w:w="1528"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0.625</w:t>
            </w:r>
          </w:p>
        </w:tc>
        <w:tc>
          <w:tcPr>
            <w:tcW w:w="968"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2</w:t>
            </w:r>
          </w:p>
        </w:tc>
      </w:tr>
      <w:tr>
        <w:tblPrEx/>
        <w:trPr>
          <w:trHeight w:val="352" w:hRule="atLeast"/>
        </w:trPr>
        <w:tc>
          <w:tcPr>
            <w:tcW w:w="1085"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F7</w:t>
            </w:r>
          </w:p>
        </w:tc>
        <w:tc>
          <w:tcPr>
            <w:tcW w:w="1422"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25</w:t>
            </w:r>
          </w:p>
        </w:tc>
        <w:tc>
          <w:tcPr>
            <w:tcW w:w="1445"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27.3</w:t>
            </w:r>
          </w:p>
        </w:tc>
        <w:tc>
          <w:tcPr>
            <w:tcW w:w="1354"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36.4</w:t>
            </w:r>
          </w:p>
        </w:tc>
        <w:tc>
          <w:tcPr>
            <w:tcW w:w="1743"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18.2</w:t>
            </w:r>
          </w:p>
        </w:tc>
        <w:tc>
          <w:tcPr>
            <w:tcW w:w="1528"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1</w:t>
            </w:r>
          </w:p>
        </w:tc>
        <w:tc>
          <w:tcPr>
            <w:tcW w:w="968"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2</w:t>
            </w:r>
          </w:p>
        </w:tc>
      </w:tr>
      <w:tr>
        <w:tblPrEx/>
        <w:trPr>
          <w:trHeight w:val="316" w:hRule="atLeast"/>
        </w:trPr>
        <w:tc>
          <w:tcPr>
            <w:tcW w:w="1085"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F8</w:t>
            </w:r>
          </w:p>
        </w:tc>
        <w:tc>
          <w:tcPr>
            <w:tcW w:w="1422"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25</w:t>
            </w:r>
          </w:p>
        </w:tc>
        <w:tc>
          <w:tcPr>
            <w:tcW w:w="1445"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36.4</w:t>
            </w:r>
          </w:p>
        </w:tc>
        <w:tc>
          <w:tcPr>
            <w:tcW w:w="1354"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18.2</w:t>
            </w:r>
          </w:p>
        </w:tc>
        <w:tc>
          <w:tcPr>
            <w:tcW w:w="1743"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27.3</w:t>
            </w:r>
          </w:p>
        </w:tc>
        <w:tc>
          <w:tcPr>
            <w:tcW w:w="1528"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1</w:t>
            </w:r>
          </w:p>
        </w:tc>
        <w:tc>
          <w:tcPr>
            <w:tcW w:w="968"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2</w:t>
            </w:r>
          </w:p>
        </w:tc>
      </w:tr>
      <w:tr>
        <w:tblPrEx/>
        <w:trPr>
          <w:trHeight w:val="361" w:hRule="atLeast"/>
        </w:trPr>
        <w:tc>
          <w:tcPr>
            <w:tcW w:w="1085"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F9</w:t>
            </w:r>
          </w:p>
        </w:tc>
        <w:tc>
          <w:tcPr>
            <w:tcW w:w="1422"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25</w:t>
            </w:r>
          </w:p>
        </w:tc>
        <w:tc>
          <w:tcPr>
            <w:tcW w:w="1445"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36.4</w:t>
            </w:r>
          </w:p>
        </w:tc>
        <w:tc>
          <w:tcPr>
            <w:tcW w:w="1354"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18.2</w:t>
            </w:r>
          </w:p>
        </w:tc>
        <w:tc>
          <w:tcPr>
            <w:tcW w:w="1743"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27.3</w:t>
            </w:r>
          </w:p>
        </w:tc>
        <w:tc>
          <w:tcPr>
            <w:tcW w:w="1528"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0.25</w:t>
            </w:r>
          </w:p>
        </w:tc>
        <w:tc>
          <w:tcPr>
            <w:tcW w:w="968"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2</w:t>
            </w:r>
          </w:p>
        </w:tc>
      </w:tr>
      <w:tr>
        <w:tblPrEx/>
        <w:trPr>
          <w:trHeight w:val="325" w:hRule="atLeast"/>
        </w:trPr>
        <w:tc>
          <w:tcPr>
            <w:tcW w:w="1085"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F10</w:t>
            </w:r>
          </w:p>
        </w:tc>
        <w:tc>
          <w:tcPr>
            <w:tcW w:w="1422"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25</w:t>
            </w:r>
          </w:p>
        </w:tc>
        <w:tc>
          <w:tcPr>
            <w:tcW w:w="1445"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18.2</w:t>
            </w:r>
          </w:p>
        </w:tc>
        <w:tc>
          <w:tcPr>
            <w:tcW w:w="1354"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27.3</w:t>
            </w:r>
          </w:p>
        </w:tc>
        <w:tc>
          <w:tcPr>
            <w:tcW w:w="1743"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36.4</w:t>
            </w:r>
          </w:p>
        </w:tc>
        <w:tc>
          <w:tcPr>
            <w:tcW w:w="1528"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0.625</w:t>
            </w:r>
          </w:p>
        </w:tc>
        <w:tc>
          <w:tcPr>
            <w:tcW w:w="968"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2</w:t>
            </w:r>
          </w:p>
        </w:tc>
      </w:tr>
      <w:tr>
        <w:tblPrEx/>
        <w:trPr>
          <w:trHeight w:val="361" w:hRule="atLeast"/>
        </w:trPr>
        <w:tc>
          <w:tcPr>
            <w:tcW w:w="1085"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F11</w:t>
            </w:r>
          </w:p>
        </w:tc>
        <w:tc>
          <w:tcPr>
            <w:tcW w:w="1422"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25</w:t>
            </w:r>
          </w:p>
        </w:tc>
        <w:tc>
          <w:tcPr>
            <w:tcW w:w="1445"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27.3</w:t>
            </w:r>
          </w:p>
        </w:tc>
        <w:tc>
          <w:tcPr>
            <w:tcW w:w="1354"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36.4</w:t>
            </w:r>
          </w:p>
        </w:tc>
        <w:tc>
          <w:tcPr>
            <w:tcW w:w="1743"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18.2</w:t>
            </w:r>
          </w:p>
        </w:tc>
        <w:tc>
          <w:tcPr>
            <w:tcW w:w="1528"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0.625</w:t>
            </w:r>
          </w:p>
        </w:tc>
        <w:tc>
          <w:tcPr>
            <w:tcW w:w="968"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2</w:t>
            </w:r>
          </w:p>
        </w:tc>
      </w:tr>
      <w:tr>
        <w:tblPrEx/>
        <w:trPr>
          <w:trHeight w:val="316" w:hRule="atLeast"/>
        </w:trPr>
        <w:tc>
          <w:tcPr>
            <w:tcW w:w="1085"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F12</w:t>
            </w:r>
          </w:p>
        </w:tc>
        <w:tc>
          <w:tcPr>
            <w:tcW w:w="1422"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25</w:t>
            </w:r>
          </w:p>
        </w:tc>
        <w:tc>
          <w:tcPr>
            <w:tcW w:w="1445"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18.2</w:t>
            </w:r>
          </w:p>
        </w:tc>
        <w:tc>
          <w:tcPr>
            <w:tcW w:w="1354"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27.3</w:t>
            </w:r>
          </w:p>
        </w:tc>
        <w:tc>
          <w:tcPr>
            <w:tcW w:w="1743"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36.4</w:t>
            </w:r>
          </w:p>
        </w:tc>
        <w:tc>
          <w:tcPr>
            <w:tcW w:w="1528"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0.25</w:t>
            </w:r>
          </w:p>
        </w:tc>
        <w:tc>
          <w:tcPr>
            <w:tcW w:w="968"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2</w:t>
            </w:r>
          </w:p>
        </w:tc>
      </w:tr>
      <w:tr>
        <w:tblPrEx/>
        <w:trPr>
          <w:trHeight w:val="370" w:hRule="atLeast"/>
        </w:trPr>
        <w:tc>
          <w:tcPr>
            <w:tcW w:w="1085"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F13</w:t>
            </w:r>
          </w:p>
        </w:tc>
        <w:tc>
          <w:tcPr>
            <w:tcW w:w="1422"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25</w:t>
            </w:r>
          </w:p>
        </w:tc>
        <w:tc>
          <w:tcPr>
            <w:tcW w:w="1445"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27.3</w:t>
            </w:r>
          </w:p>
        </w:tc>
        <w:tc>
          <w:tcPr>
            <w:tcW w:w="1354"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36.4</w:t>
            </w:r>
          </w:p>
        </w:tc>
        <w:tc>
          <w:tcPr>
            <w:tcW w:w="1743"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18.2</w:t>
            </w:r>
          </w:p>
        </w:tc>
        <w:tc>
          <w:tcPr>
            <w:tcW w:w="1528"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0.625</w:t>
            </w:r>
          </w:p>
        </w:tc>
        <w:tc>
          <w:tcPr>
            <w:tcW w:w="968"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2</w:t>
            </w:r>
          </w:p>
        </w:tc>
      </w:tr>
      <w:tr>
        <w:tblPrEx/>
        <w:trPr>
          <w:trHeight w:val="325" w:hRule="atLeast"/>
        </w:trPr>
        <w:tc>
          <w:tcPr>
            <w:tcW w:w="1085"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F14</w:t>
            </w:r>
          </w:p>
        </w:tc>
        <w:tc>
          <w:tcPr>
            <w:tcW w:w="1422"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25</w:t>
            </w:r>
          </w:p>
        </w:tc>
        <w:tc>
          <w:tcPr>
            <w:tcW w:w="1445"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27.3</w:t>
            </w:r>
          </w:p>
        </w:tc>
        <w:tc>
          <w:tcPr>
            <w:tcW w:w="1354"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36.4</w:t>
            </w:r>
          </w:p>
        </w:tc>
        <w:tc>
          <w:tcPr>
            <w:tcW w:w="1743"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18.2</w:t>
            </w:r>
          </w:p>
        </w:tc>
        <w:tc>
          <w:tcPr>
            <w:tcW w:w="1528"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0.625</w:t>
            </w:r>
          </w:p>
        </w:tc>
        <w:tc>
          <w:tcPr>
            <w:tcW w:w="968"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2</w:t>
            </w:r>
          </w:p>
        </w:tc>
      </w:tr>
      <w:tr>
        <w:tblPrEx/>
        <w:trPr>
          <w:trHeight w:val="289" w:hRule="atLeast"/>
        </w:trPr>
        <w:tc>
          <w:tcPr>
            <w:tcW w:w="1085"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F15</w:t>
            </w:r>
          </w:p>
        </w:tc>
        <w:tc>
          <w:tcPr>
            <w:tcW w:w="1422"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25</w:t>
            </w:r>
          </w:p>
        </w:tc>
        <w:tc>
          <w:tcPr>
            <w:tcW w:w="1445"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27.3</w:t>
            </w:r>
          </w:p>
        </w:tc>
        <w:tc>
          <w:tcPr>
            <w:tcW w:w="1354"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36.4</w:t>
            </w:r>
          </w:p>
        </w:tc>
        <w:tc>
          <w:tcPr>
            <w:tcW w:w="1743"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18.2</w:t>
            </w:r>
          </w:p>
        </w:tc>
        <w:tc>
          <w:tcPr>
            <w:tcW w:w="1528"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0.25</w:t>
            </w:r>
          </w:p>
        </w:tc>
        <w:tc>
          <w:tcPr>
            <w:tcW w:w="968" w:type="dxa"/>
            <w:tcBorders/>
          </w:tcPr>
          <w:p>
            <w:pPr>
              <w:pStyle w:val="style157"/>
              <w:jc w:val="center"/>
              <w:rPr>
                <w:rFonts w:ascii="Times New Roman" w:cs="Times New Roman" w:hAnsi="Times New Roman"/>
                <w:sz w:val="24"/>
                <w:szCs w:val="24"/>
              </w:rPr>
            </w:pPr>
            <w:r>
              <w:rPr>
                <w:rFonts w:ascii="Times New Roman" w:cs="Times New Roman" w:hAnsi="Times New Roman"/>
                <w:sz w:val="24"/>
                <w:szCs w:val="24"/>
              </w:rPr>
              <w:t>2</w:t>
            </w:r>
          </w:p>
        </w:tc>
      </w:tr>
    </w:tbl>
    <w:p>
      <w:pPr>
        <w:pStyle w:val="style0"/>
        <w:jc w:val="both"/>
        <w:rPr>
          <w:rFonts w:ascii="Times New Roman" w:cs="Times New Roman" w:hAnsi="Times New Roman"/>
          <w:sz w:val="24"/>
          <w:szCs w:val="24"/>
        </w:rPr>
      </w:pPr>
      <w:r>
        <w:t xml:space="preserve">                     </w:t>
      </w:r>
      <w:r>
        <w:rPr>
          <w:rFonts w:ascii="Times New Roman" w:cs="Times New Roman" w:hAnsi="Times New Roman"/>
          <w:sz w:val="24"/>
          <w:szCs w:val="24"/>
        </w:rPr>
        <w:t xml:space="preserve">  Table No-2 Composition of formulation batches by Central Composite Design</w:t>
      </w:r>
    </w:p>
    <w:p>
      <w:pPr>
        <w:pStyle w:val="style66"/>
        <w:spacing w:lineRule="auto" w:line="276"/>
        <w:ind w:right="730"/>
        <w:jc w:val="both"/>
        <w:rPr>
          <w:rFonts w:eastAsia="Calibri"/>
        </w:rPr>
      </w:pPr>
      <w:r>
        <w:rPr>
          <w:rFonts w:eastAsia="Calibri"/>
        </w:rPr>
        <w:t>2.5</w:t>
      </w:r>
      <w:r>
        <w:rPr>
          <w:rFonts w:eastAsia="Calibri"/>
        </w:rPr>
        <w:t>.Fourier</w:t>
      </w:r>
      <w:r>
        <w:rPr>
          <w:rFonts w:eastAsia="Calibri"/>
        </w:rPr>
        <w:t xml:space="preserve"> remodel Infrared Spectroscopy</w:t>
      </w:r>
    </w:p>
    <w:p>
      <w:pPr>
        <w:pStyle w:val="style66"/>
        <w:spacing w:lineRule="auto" w:line="276"/>
        <w:ind w:right="730"/>
        <w:jc w:val="both"/>
        <w:rPr>
          <w:rFonts w:eastAsia="Calibri"/>
        </w:rPr>
      </w:pPr>
      <w:r>
        <w:rPr>
          <w:rFonts w:eastAsia="Calibri"/>
        </w:rPr>
        <w:t xml:space="preserve">The interactions among the non-ionic surfactants, drugs, and different membrane additives had been studied with the aid of FTIR spectroscopy. The FTIR analysis of all the person parts, bodily aggregate of the components, and one </w:t>
      </w:r>
      <w:r>
        <w:rPr>
          <w:rFonts w:eastAsia="Calibri"/>
        </w:rPr>
        <w:t>niosomal</w:t>
      </w:r>
      <w:r>
        <w:rPr>
          <w:rFonts w:eastAsia="Calibri"/>
        </w:rPr>
        <w:t xml:space="preserve"> formula (dried </w:t>
      </w:r>
      <w:r>
        <w:rPr>
          <w:rFonts w:eastAsia="Calibri"/>
        </w:rPr>
        <w:t>niosomes</w:t>
      </w:r>
      <w:r>
        <w:rPr>
          <w:rFonts w:eastAsia="Calibri"/>
        </w:rPr>
        <w:t xml:space="preserve">, dried in clear out paper at room temperature) have been accomplished. The spectra were amassed by means of the FTIR spectrophotometer within the </w:t>
      </w:r>
      <w:r>
        <w:rPr>
          <w:rFonts w:eastAsia="Calibri"/>
        </w:rPr>
        <w:t>wa</w:t>
      </w:r>
      <w:r>
        <w:rPr>
          <w:rFonts w:eastAsia="Calibri"/>
        </w:rPr>
        <w:t>venumber</w:t>
      </w:r>
      <w:r>
        <w:rPr>
          <w:rFonts w:eastAsia="Calibri"/>
        </w:rPr>
        <w:t xml:space="preserve"> variety of 400</w:t>
      </w:r>
      <w:r>
        <w:rPr>
          <w:rFonts w:eastAsia="Calibri"/>
        </w:rPr>
        <w:t>–4500 cm−</w:t>
      </w:r>
      <w:r>
        <w:rPr>
          <w:rFonts w:eastAsia="Calibri"/>
        </w:rPr>
        <w:t>1 and with a resolution of 4</w:t>
      </w:r>
      <w:r>
        <w:rPr>
          <w:rFonts w:eastAsia="Calibri"/>
        </w:rPr>
        <w:t xml:space="preserve">cm−1 The spectral statistics changed into analyzed with the aid of </w:t>
      </w:r>
      <w:r>
        <w:rPr>
          <w:rFonts w:eastAsia="Calibri"/>
        </w:rPr>
        <w:t>the  software</w:t>
      </w:r>
      <w:r>
        <w:rPr>
          <w:rFonts w:eastAsia="Calibri"/>
        </w:rPr>
        <w:t xml:space="preserve"> program The measurements have been carried out at room temperature. All the measurements have been accomplished in triplicate.</w:t>
      </w:r>
    </w:p>
    <w:p>
      <w:pPr>
        <w:pStyle w:val="style66"/>
        <w:spacing w:lineRule="auto" w:line="276"/>
        <w:ind w:right="730"/>
        <w:jc w:val="both"/>
        <w:rPr>
          <w:rFonts w:eastAsia="Calibri"/>
        </w:rPr>
      </w:pPr>
    </w:p>
    <w:p>
      <w:pPr>
        <w:pStyle w:val="style66"/>
        <w:spacing w:lineRule="auto" w:line="276"/>
        <w:ind w:right="730"/>
        <w:jc w:val="both"/>
        <w:rPr>
          <w:rFonts w:eastAsia="Calibri"/>
        </w:rPr>
      </w:pPr>
      <w:r>
        <w:rPr>
          <w:rFonts w:eastAsia="Calibri"/>
        </w:rPr>
        <w:t>2.6</w:t>
      </w:r>
      <w:r>
        <w:rPr>
          <w:rFonts w:eastAsia="Calibri"/>
        </w:rPr>
        <w:t>.Thermal</w:t>
      </w:r>
      <w:r>
        <w:rPr>
          <w:rFonts w:eastAsia="Calibri"/>
        </w:rPr>
        <w:t xml:space="preserve"> analysis</w:t>
      </w:r>
    </w:p>
    <w:p>
      <w:pPr>
        <w:pStyle w:val="style66"/>
        <w:spacing w:lineRule="auto" w:line="276"/>
        <w:ind w:right="730"/>
        <w:jc w:val="both"/>
        <w:rPr>
          <w:rFonts w:eastAsia="Calibri"/>
        </w:rPr>
      </w:pPr>
      <w:r>
        <w:rPr>
          <w:rFonts w:eastAsia="Calibri"/>
        </w:rPr>
        <w:t xml:space="preserve">The physical country of the </w:t>
      </w:r>
      <w:r>
        <w:rPr>
          <w:rFonts w:eastAsia="Calibri"/>
        </w:rPr>
        <w:t>Ropinirole</w:t>
      </w:r>
      <w:r>
        <w:rPr>
          <w:rFonts w:eastAsia="Calibri"/>
        </w:rPr>
        <w:t xml:space="preserve"> </w:t>
      </w:r>
      <w:r>
        <w:rPr>
          <w:rFonts w:eastAsia="Calibri"/>
        </w:rPr>
        <w:t>Hydrochloride  within</w:t>
      </w:r>
      <w:r>
        <w:rPr>
          <w:rFonts w:eastAsia="Calibri"/>
        </w:rPr>
        <w:t xml:space="preserve"> the selected formula have been analyzed through using Differential Scanning </w:t>
      </w:r>
      <w:r>
        <w:rPr>
          <w:rFonts w:eastAsia="Calibri"/>
        </w:rPr>
        <w:t>Calorimetry</w:t>
      </w:r>
      <w:r>
        <w:rPr>
          <w:rFonts w:eastAsia="Calibri"/>
        </w:rPr>
        <w:t xml:space="preserve"> (DSC 823e, </w:t>
      </w:r>
      <w:r>
        <w:rPr>
          <w:rFonts w:eastAsia="Calibri"/>
        </w:rPr>
        <w:t>Mettler</w:t>
      </w:r>
      <w:r>
        <w:rPr>
          <w:rFonts w:eastAsia="Calibri"/>
        </w:rPr>
        <w:t xml:space="preserve"> Toledo, </w:t>
      </w:r>
      <w:r>
        <w:rPr>
          <w:rFonts w:eastAsia="Calibri"/>
        </w:rPr>
        <w:t>america</w:t>
      </w:r>
      <w:r>
        <w:rPr>
          <w:rFonts w:eastAsia="Calibri"/>
        </w:rPr>
        <w:t>). The natural drug (powder</w:t>
      </w:r>
      <w:r>
        <w:rPr>
          <w:rFonts w:eastAsia="Calibri"/>
        </w:rPr>
        <w:t>)turned</w:t>
      </w:r>
      <w:r>
        <w:rPr>
          <w:rFonts w:eastAsia="Calibri"/>
        </w:rPr>
        <w:t xml:space="preserve"> into weighed correctly in aluminum pan, which were further closed with cap having a tiny hollow on it. The thermal scanning </w:t>
      </w:r>
      <w:r>
        <w:rPr>
          <w:rFonts w:eastAsia="Calibri"/>
        </w:rPr>
        <w:t>become</w:t>
      </w:r>
      <w:r>
        <w:rPr>
          <w:rFonts w:eastAsia="Calibri"/>
        </w:rPr>
        <w:t xml:space="preserve"> conducted at a fee of 5 °C/min from 25 °C to 260 °C. The scans were recorded beneath the nitrogen fuel go with the flow at a price of fifty </w:t>
      </w:r>
      <w:r>
        <w:rPr>
          <w:rFonts w:eastAsia="Calibri"/>
        </w:rPr>
        <w:t>mL</w:t>
      </w:r>
      <w:r>
        <w:rPr>
          <w:rFonts w:eastAsia="Calibri"/>
        </w:rPr>
        <w:t>/min.</w:t>
      </w:r>
    </w:p>
    <w:p>
      <w:pPr>
        <w:pStyle w:val="style66"/>
        <w:spacing w:lineRule="auto" w:line="276"/>
        <w:ind w:right="730"/>
        <w:jc w:val="both"/>
        <w:rPr>
          <w:rFonts w:eastAsia="Calibri"/>
        </w:rPr>
      </w:pPr>
    </w:p>
    <w:p>
      <w:pPr>
        <w:pStyle w:val="style66"/>
        <w:spacing w:lineRule="auto" w:line="276"/>
        <w:ind w:right="730"/>
        <w:jc w:val="both"/>
        <w:rPr>
          <w:rFonts w:eastAsia="Calibri"/>
        </w:rPr>
      </w:pPr>
      <w:r>
        <w:rPr>
          <w:rFonts w:eastAsia="Calibri"/>
        </w:rPr>
        <w:t>2.7. Drug entrapment performance</w:t>
      </w:r>
    </w:p>
    <w:p>
      <w:pPr>
        <w:pStyle w:val="style66"/>
        <w:spacing w:lineRule="auto" w:line="276"/>
        <w:ind w:right="730"/>
        <w:jc w:val="both"/>
        <w:rPr>
          <w:rFonts w:eastAsia="Calibri"/>
        </w:rPr>
      </w:pPr>
      <w:r>
        <w:rPr>
          <w:rFonts w:eastAsia="Calibri"/>
        </w:rPr>
        <w:t>For the willpower of drug entrapment efficiency, the formulations have been extremely-</w:t>
      </w:r>
      <w:r>
        <w:rPr>
          <w:rFonts w:eastAsia="Calibri"/>
        </w:rPr>
        <w:t>centrifuged  at</w:t>
      </w:r>
      <w:r>
        <w:rPr>
          <w:rFonts w:eastAsia="Calibri"/>
        </w:rPr>
        <w:t xml:space="preserve"> 4 °C at a speed of 28 000 rpm for 1 h. The supernatant changed into accrued, and the pellets were washed twice with water. The water </w:t>
      </w:r>
      <w:r>
        <w:rPr>
          <w:rFonts w:eastAsia="Calibri"/>
        </w:rPr>
        <w:t>become</w:t>
      </w:r>
      <w:r>
        <w:rPr>
          <w:rFonts w:eastAsia="Calibri"/>
        </w:rPr>
        <w:t xml:space="preserve"> accrued, and centrifugation was repeated. The drug attention turned into measured in supernatants after washing steps. The share of entrapment performance (%EE) of medicine became calculated using the following equation</w:t>
      </w:r>
    </w:p>
    <w:p>
      <w:pPr>
        <w:pStyle w:val="style66"/>
        <w:spacing w:lineRule="auto" w:line="276"/>
        <w:ind w:right="730"/>
        <w:jc w:val="both"/>
        <w:rPr>
          <w:rFonts w:eastAsia="Calibri"/>
        </w:rPr>
      </w:pPr>
      <w:r>
        <w:rPr>
          <w:rFonts w:eastAsia="Calibri"/>
        </w:rPr>
        <w:t xml:space="preserve">                                               </w:t>
      </w:r>
      <w:r>
        <w:rPr>
          <w:rFonts w:eastAsia="Calibri"/>
        </w:rPr>
        <w:t>%EE = [(Qt -</w:t>
      </w:r>
      <w:r>
        <w:rPr>
          <w:rFonts w:eastAsia="Calibri"/>
        </w:rPr>
        <w:t>Qr</w:t>
      </w:r>
      <w:r>
        <w:rPr>
          <w:rFonts w:eastAsia="Calibri"/>
        </w:rPr>
        <w:t>)/ Qt] x100</w:t>
      </w:r>
    </w:p>
    <w:p>
      <w:pPr>
        <w:pStyle w:val="style66"/>
        <w:spacing w:lineRule="auto" w:line="276"/>
        <w:ind w:right="730"/>
        <w:jc w:val="both"/>
        <w:rPr>
          <w:rFonts w:eastAsia="Calibri"/>
        </w:rPr>
      </w:pPr>
      <w:r>
        <w:rPr>
          <w:rFonts w:eastAsia="Calibri"/>
        </w:rPr>
        <w:t xml:space="preserve">In which, Qt is the amount of the drug used initially for the </w:t>
      </w:r>
      <w:r>
        <w:rPr>
          <w:rFonts w:eastAsia="Calibri"/>
        </w:rPr>
        <w:t>practise</w:t>
      </w:r>
      <w:r>
        <w:rPr>
          <w:rFonts w:eastAsia="Calibri"/>
        </w:rPr>
        <w:t xml:space="preserve"> of formula and </w:t>
      </w:r>
      <w:r>
        <w:rPr>
          <w:rFonts w:eastAsia="Calibri"/>
        </w:rPr>
        <w:t>Qr</w:t>
      </w:r>
      <w:r>
        <w:rPr>
          <w:rFonts w:eastAsia="Calibri"/>
        </w:rPr>
        <w:t xml:space="preserve"> is the amount of the drug present within the supernatants. All the drug entrapment performance assessments have been repeated 3 times.</w:t>
      </w:r>
    </w:p>
    <w:p>
      <w:pPr>
        <w:pStyle w:val="style66"/>
        <w:spacing w:lineRule="auto" w:line="276"/>
        <w:ind w:right="730"/>
        <w:jc w:val="both"/>
        <w:rPr>
          <w:rFonts w:eastAsia="Calibri"/>
        </w:rPr>
      </w:pPr>
    </w:p>
    <w:p>
      <w:pPr>
        <w:pStyle w:val="style66"/>
        <w:spacing w:lineRule="auto" w:line="276"/>
        <w:ind w:right="730"/>
        <w:jc w:val="both"/>
        <w:rPr>
          <w:rFonts w:eastAsia="Calibri"/>
        </w:rPr>
      </w:pPr>
      <w:r>
        <w:rPr>
          <w:rFonts w:eastAsia="Calibri"/>
        </w:rPr>
        <w:t>2.8</w:t>
      </w:r>
      <w:r>
        <w:rPr>
          <w:rFonts w:eastAsia="Calibri"/>
        </w:rPr>
        <w:t>.In</w:t>
      </w:r>
      <w:r>
        <w:rPr>
          <w:rFonts w:eastAsia="Calibri"/>
        </w:rPr>
        <w:t>-vitro drug release evaluation</w:t>
      </w:r>
    </w:p>
    <w:p>
      <w:pPr>
        <w:pStyle w:val="style66"/>
        <w:spacing w:lineRule="auto" w:line="276"/>
        <w:ind w:right="730"/>
        <w:jc w:val="both"/>
        <w:rPr>
          <w:rFonts w:eastAsia="Calibri"/>
          <w:vertAlign w:val="superscript"/>
        </w:rPr>
      </w:pPr>
      <w:r>
        <w:rPr>
          <w:rFonts w:eastAsia="Calibri"/>
        </w:rPr>
        <w:t xml:space="preserve">In vitro drug diffusion of formulations (F1 to F9) were finished by means of the usage of dialysis membrane (Mw cut-off 12,000–14,000 </w:t>
      </w:r>
      <w:r>
        <w:rPr>
          <w:rFonts w:eastAsia="Calibri"/>
        </w:rPr>
        <w:t>Dal</w:t>
      </w:r>
      <w:r>
        <w:rPr>
          <w:rFonts w:eastAsia="Calibri"/>
        </w:rPr>
        <w:t xml:space="preserve">. </w:t>
      </w:r>
      <w:r>
        <w:rPr>
          <w:rFonts w:eastAsia="Calibri"/>
        </w:rPr>
        <w:t>HiMedia</w:t>
      </w:r>
      <w:r>
        <w:rPr>
          <w:rFonts w:eastAsia="Calibri"/>
        </w:rPr>
        <w:t xml:space="preserve">, Mumbai, India) formerly soaked in phosphate buffer pH 6.8 for 8 hr. The membrane was established between donor and receptor compartment of Franz diffusion mobile (20 ml) (Orchid medical, India), with 500 rpm maintained at 37±zero.5 0C. The receptor compartment was full of phosphate buffer pH 6.6. The weighed amount of formulated nasal gel (equivalent to 3 mg of </w:t>
      </w:r>
      <w:r>
        <w:rPr>
          <w:rFonts w:eastAsia="Calibri"/>
        </w:rPr>
        <w:t>RopiniroleHCl</w:t>
      </w:r>
      <w:r>
        <w:rPr>
          <w:rFonts w:eastAsia="Calibri"/>
        </w:rPr>
        <w:t>) turned into positioned over the membrane, cautiously without air bubble. A 1ml of aliquot was withdrawn periodically at an interval 30 min, 1, 2, three, four, five</w:t>
      </w:r>
      <w:r>
        <w:rPr>
          <w:rFonts w:eastAsia="Calibri"/>
        </w:rPr>
        <w:t>,  and</w:t>
      </w:r>
      <w:r>
        <w:rPr>
          <w:rFonts w:eastAsia="Calibri"/>
        </w:rPr>
        <w:t xml:space="preserve"> 6hr and identical volume of phosphate buffer (pH 6.8) became changed to maintain sink condition. After an appropriate dilution, samples had been </w:t>
      </w:r>
      <w:r>
        <w:rPr>
          <w:rFonts w:eastAsia="Calibri"/>
        </w:rPr>
        <w:t>analysed</w:t>
      </w:r>
      <w:r>
        <w:rPr>
          <w:rFonts w:eastAsia="Calibri"/>
        </w:rPr>
        <w:t xml:space="preserve"> </w:t>
      </w:r>
      <w:r>
        <w:rPr>
          <w:rFonts w:eastAsia="Calibri"/>
        </w:rPr>
        <w:t>spectro</w:t>
      </w:r>
      <w:r>
        <w:rPr>
          <w:rFonts w:eastAsia="Calibri"/>
        </w:rPr>
        <w:t xml:space="preserve">- </w:t>
      </w:r>
      <w:r>
        <w:rPr>
          <w:rFonts w:eastAsia="Calibri"/>
        </w:rPr>
        <w:t>photom</w:t>
      </w:r>
      <w:r>
        <w:rPr>
          <w:rFonts w:eastAsia="Calibri"/>
        </w:rPr>
        <w:t>etrically</w:t>
      </w:r>
      <w:r>
        <w:rPr>
          <w:rFonts w:eastAsia="Calibri"/>
        </w:rPr>
        <w:t xml:space="preserve"> at λ max 250 </w:t>
      </w:r>
      <w:r>
        <w:rPr>
          <w:rFonts w:eastAsia="Calibri"/>
        </w:rPr>
        <w:t>nm</w:t>
      </w:r>
      <w:r>
        <w:rPr>
          <w:rFonts w:eastAsia="Calibri"/>
          <w:vertAlign w:val="superscript"/>
        </w:rPr>
        <w:t>(</w:t>
      </w:r>
      <w:r>
        <w:rPr>
          <w:rFonts w:eastAsia="Calibri"/>
          <w:vertAlign w:val="superscript"/>
        </w:rPr>
        <w:t>24-26)</w:t>
      </w:r>
    </w:p>
    <w:p>
      <w:pPr>
        <w:pStyle w:val="style66"/>
        <w:spacing w:lineRule="auto" w:line="276"/>
        <w:ind w:right="730"/>
        <w:jc w:val="both"/>
        <w:rPr>
          <w:rFonts w:eastAsia="Calibri"/>
          <w:vertAlign w:val="superscript"/>
        </w:rPr>
      </w:pPr>
    </w:p>
    <w:p>
      <w:pPr>
        <w:pStyle w:val="style66"/>
        <w:spacing w:lineRule="auto" w:line="276"/>
        <w:ind w:right="730"/>
        <w:jc w:val="both"/>
        <w:rPr>
          <w:rFonts w:eastAsia="Calibri"/>
        </w:rPr>
      </w:pPr>
      <w:r>
        <w:rPr>
          <w:rFonts w:eastAsia="Calibri"/>
        </w:rPr>
        <w:t>2.9</w:t>
      </w:r>
      <w:r>
        <w:rPr>
          <w:rFonts w:eastAsia="Calibri"/>
        </w:rPr>
        <w:t>.Nasal</w:t>
      </w:r>
      <w:r>
        <w:rPr>
          <w:rFonts w:eastAsia="Calibri"/>
        </w:rPr>
        <w:t xml:space="preserve"> Mucosal permeation study</w:t>
      </w:r>
    </w:p>
    <w:p>
      <w:pPr>
        <w:pStyle w:val="style66"/>
        <w:spacing w:lineRule="auto" w:line="276"/>
        <w:ind w:right="730"/>
        <w:jc w:val="both"/>
        <w:rPr>
          <w:rFonts w:eastAsia="Calibri"/>
        </w:rPr>
      </w:pPr>
      <w:r>
        <w:rPr>
          <w:rFonts w:eastAsia="Calibri"/>
        </w:rPr>
        <w:t xml:space="preserve">Ex vivo nasal permeation examine become executed in Franz Diffusion cellular the use of goat nasal mucosa. Goat head changed into acquired within 15 min of sacrifice of goat from neighborhood slaughterhouse. The nostril changed into separated from the pinnacle and the nasal septum turned into absolutely exposed following which the nasal mucosa changed into carefully removed the usage of forceps and surgical scissors. The mucosal tissues have been immediately immersed in Phosphate Buffer, pH 6.Eight. The receptor </w:t>
      </w:r>
      <w:r>
        <w:rPr>
          <w:rFonts w:eastAsia="Calibri"/>
        </w:rPr>
        <w:t>vessel become filled with 10 ml release medium and stirred continuously with magnetic stirrer at 350 rpm. Freshly excised goat nasal mucosa turned into then carefully installed between receptor and donor vessels of Franz Diffusion mobile. The air bubbles that have been gift on the floor of the receptor chamber turned into carefully eliminated through lightly tilting the diffusion cells</w:t>
      </w:r>
      <w:r>
        <w:rPr>
          <w:rFonts w:eastAsia="Calibri"/>
        </w:rPr>
        <w:t>..</w:t>
      </w:r>
      <w:r>
        <w:rPr>
          <w:rFonts w:eastAsia="Calibri"/>
        </w:rPr>
        <w:t xml:space="preserve"> At predetermined time periods (0.Five</w:t>
      </w:r>
      <w:r>
        <w:rPr>
          <w:rFonts w:eastAsia="Calibri"/>
        </w:rPr>
        <w:t>,1,2,four,and</w:t>
      </w:r>
      <w:r>
        <w:rPr>
          <w:rFonts w:eastAsia="Calibri"/>
        </w:rPr>
        <w:t xml:space="preserve"> 6,)2ml of  samples were accrued from the receptor compartment and replaced with a fresh receptor medium to keep sink conditions. All of the amassed samples </w:t>
      </w:r>
      <w:r>
        <w:rPr>
          <w:rFonts w:eastAsia="Calibri"/>
        </w:rPr>
        <w:t>were  analyzed</w:t>
      </w:r>
      <w:r>
        <w:rPr>
          <w:rFonts w:eastAsia="Calibri"/>
        </w:rPr>
        <w:t xml:space="preserve"> for via </w:t>
      </w:r>
      <w:r>
        <w:rPr>
          <w:rFonts w:eastAsia="Calibri"/>
        </w:rPr>
        <w:t>Uv</w:t>
      </w:r>
      <w:r>
        <w:rPr>
          <w:rFonts w:eastAsia="Calibri"/>
        </w:rPr>
        <w:t xml:space="preserve"> visible Spectrometry.</w:t>
      </w:r>
    </w:p>
    <w:p>
      <w:pPr>
        <w:pStyle w:val="style66"/>
        <w:spacing w:lineRule="auto" w:line="276"/>
        <w:ind w:right="730"/>
        <w:jc w:val="both"/>
        <w:rPr>
          <w:rFonts w:eastAsia="Calibri"/>
        </w:rPr>
      </w:pPr>
    </w:p>
    <w:p>
      <w:pPr>
        <w:pStyle w:val="style66"/>
        <w:spacing w:lineRule="auto" w:line="276"/>
        <w:ind w:right="730"/>
        <w:jc w:val="both"/>
        <w:rPr>
          <w:rFonts w:eastAsia="Calibri"/>
        </w:rPr>
      </w:pPr>
      <w:r>
        <w:rPr>
          <w:rFonts w:eastAsia="Calibri"/>
        </w:rPr>
        <w:t>2.10</w:t>
      </w:r>
      <w:r>
        <w:rPr>
          <w:rFonts w:eastAsia="Calibri"/>
        </w:rPr>
        <w:t>.Mucoadhesive</w:t>
      </w:r>
      <w:r>
        <w:rPr>
          <w:rFonts w:eastAsia="Calibri"/>
        </w:rPr>
        <w:t xml:space="preserve"> potency of </w:t>
      </w:r>
      <w:r>
        <w:rPr>
          <w:rFonts w:eastAsia="Calibri"/>
        </w:rPr>
        <w:t>Niosomal</w:t>
      </w:r>
      <w:r>
        <w:rPr>
          <w:rFonts w:eastAsia="Calibri"/>
        </w:rPr>
        <w:t xml:space="preserve"> formulation</w:t>
      </w:r>
    </w:p>
    <w:p>
      <w:pPr>
        <w:pStyle w:val="style66"/>
        <w:spacing w:lineRule="auto" w:line="276"/>
        <w:ind w:right="730"/>
        <w:jc w:val="both"/>
        <w:rPr>
          <w:rFonts w:eastAsia="Calibri"/>
        </w:rPr>
      </w:pPr>
      <w:r>
        <w:rPr>
          <w:rFonts w:eastAsia="Calibri"/>
        </w:rPr>
        <w:t xml:space="preserve">The </w:t>
      </w:r>
      <w:r>
        <w:rPr>
          <w:rFonts w:eastAsia="Calibri"/>
        </w:rPr>
        <w:t>mucoadhesive</w:t>
      </w:r>
      <w:r>
        <w:rPr>
          <w:rFonts w:eastAsia="Calibri"/>
        </w:rPr>
        <w:t xml:space="preserve"> potency of </w:t>
      </w:r>
      <w:r>
        <w:rPr>
          <w:rFonts w:eastAsia="Calibri"/>
        </w:rPr>
        <w:t>Niosomal</w:t>
      </w:r>
      <w:r>
        <w:rPr>
          <w:rFonts w:eastAsia="Calibri"/>
        </w:rPr>
        <w:t xml:space="preserve"> method changed into decided through their </w:t>
      </w:r>
      <w:r>
        <w:rPr>
          <w:rFonts w:eastAsia="Calibri"/>
        </w:rPr>
        <w:t>mucin</w:t>
      </w:r>
      <w:r>
        <w:rPr>
          <w:rFonts w:eastAsia="Calibri"/>
        </w:rPr>
        <w:t xml:space="preserve"> binding efficacy as defined by Yin and associates. </w:t>
      </w:r>
      <w:r>
        <w:rPr>
          <w:rFonts w:eastAsia="Calibri"/>
        </w:rPr>
        <w:t>In short.</w:t>
      </w:r>
      <w:r>
        <w:rPr>
          <w:rFonts w:eastAsia="Calibri"/>
        </w:rPr>
        <w:t xml:space="preserve"> 2 ml of porc</w:t>
      </w:r>
      <w:r>
        <w:rPr>
          <w:rFonts w:eastAsia="Calibri"/>
        </w:rPr>
        <w:t xml:space="preserve">ine </w:t>
      </w:r>
      <w:r>
        <w:rPr>
          <w:rFonts w:eastAsia="Calibri"/>
        </w:rPr>
        <w:t>mucin</w:t>
      </w:r>
      <w:r>
        <w:rPr>
          <w:rFonts w:eastAsia="Calibri"/>
        </w:rPr>
        <w:t xml:space="preserve"> suspension </w:t>
      </w:r>
      <w:r>
        <w:rPr>
          <w:rFonts w:eastAsia="Calibri"/>
        </w:rPr>
        <w:t>( 0.5</w:t>
      </w:r>
      <w:r>
        <w:rPr>
          <w:rFonts w:eastAsia="Calibri"/>
        </w:rPr>
        <w:t xml:space="preserve"> mg/ml ) in phosphate buffer (pH 7.4) become incubated with same quantity of </w:t>
      </w:r>
      <w:r>
        <w:rPr>
          <w:rFonts w:eastAsia="Calibri"/>
        </w:rPr>
        <w:t>niosomal</w:t>
      </w:r>
      <w:r>
        <w:rPr>
          <w:rFonts w:eastAsia="Calibri"/>
        </w:rPr>
        <w:t xml:space="preserve"> co</w:t>
      </w:r>
      <w:r>
        <w:rPr>
          <w:rFonts w:eastAsia="Calibri"/>
        </w:rPr>
        <w:t>mponents at 37 ᵒ</w:t>
      </w:r>
      <w:r>
        <w:rPr>
          <w:rFonts w:eastAsia="Calibri"/>
        </w:rPr>
        <w:t xml:space="preserve">C for 60min. After the incubation duration, the samples were centrifuged at 65000g for 20 min. The unfastened </w:t>
      </w:r>
      <w:r>
        <w:rPr>
          <w:rFonts w:eastAsia="Calibri"/>
        </w:rPr>
        <w:t>mucin</w:t>
      </w:r>
      <w:r>
        <w:rPr>
          <w:rFonts w:eastAsia="Calibri"/>
        </w:rPr>
        <w:t xml:space="preserve"> within the supernatant turned into measured with the aid of UV spectrometry (251 nm) and the </w:t>
      </w:r>
      <w:r>
        <w:rPr>
          <w:rFonts w:eastAsia="Calibri"/>
        </w:rPr>
        <w:t>mucin</w:t>
      </w:r>
      <w:r>
        <w:rPr>
          <w:rFonts w:eastAsia="Calibri"/>
        </w:rPr>
        <w:t xml:space="preserve"> binding performance became determined via equation referred to below</w:t>
      </w:r>
    </w:p>
    <w:p>
      <w:pPr>
        <w:pStyle w:val="style66"/>
        <w:spacing w:lineRule="auto" w:line="276"/>
        <w:ind w:right="730"/>
        <w:jc w:val="both"/>
        <w:rPr>
          <w:rFonts w:eastAsia="Calibri"/>
        </w:rPr>
      </w:pPr>
      <w:r>
        <w:rPr>
          <w:rFonts w:eastAsia="Calibri"/>
        </w:rPr>
        <w:t xml:space="preserve">            </w:t>
      </w:r>
      <w:r>
        <w:rPr>
          <w:rFonts w:eastAsia="Calibri"/>
        </w:rPr>
        <w:t>Muc</w:t>
      </w:r>
      <w:r>
        <w:rPr>
          <w:rFonts w:eastAsia="Calibri"/>
        </w:rPr>
        <w:t>in</w:t>
      </w:r>
      <w:r>
        <w:rPr>
          <w:rFonts w:eastAsia="Calibri"/>
        </w:rPr>
        <w:t xml:space="preserve"> binding </w:t>
      </w:r>
      <w:r>
        <w:rPr>
          <w:rFonts w:eastAsia="Calibri"/>
        </w:rPr>
        <w:t>efficacy(</w:t>
      </w:r>
      <w:r>
        <w:rPr>
          <w:rFonts w:eastAsia="Calibri"/>
        </w:rPr>
        <w:t xml:space="preserve">%)=(general </w:t>
      </w:r>
      <w:r>
        <w:rPr>
          <w:rFonts w:eastAsia="Calibri"/>
        </w:rPr>
        <w:t>Mucin</w:t>
      </w:r>
      <w:r>
        <w:rPr>
          <w:rFonts w:eastAsia="Calibri"/>
        </w:rPr>
        <w:t xml:space="preserve">-unassociated </w:t>
      </w:r>
      <w:r>
        <w:rPr>
          <w:rFonts w:eastAsia="Calibri"/>
        </w:rPr>
        <w:t>Mucin</w:t>
      </w:r>
      <w:r>
        <w:rPr>
          <w:rFonts w:eastAsia="Calibri"/>
        </w:rPr>
        <w:t>)/general Mucin×100</w:t>
      </w:r>
    </w:p>
    <w:p>
      <w:pPr>
        <w:pStyle w:val="style66"/>
        <w:spacing w:lineRule="auto" w:line="276"/>
        <w:ind w:right="730"/>
        <w:jc w:val="both"/>
        <w:rPr>
          <w:rFonts w:eastAsia="Calibri"/>
        </w:rPr>
      </w:pPr>
    </w:p>
    <w:p>
      <w:pPr>
        <w:pStyle w:val="style66"/>
        <w:spacing w:lineRule="auto" w:line="276"/>
        <w:ind w:right="730"/>
        <w:jc w:val="both"/>
        <w:rPr>
          <w:rFonts w:eastAsia="Calibri"/>
        </w:rPr>
      </w:pPr>
      <w:r>
        <w:rPr>
          <w:rFonts w:eastAsia="Calibri"/>
        </w:rPr>
        <w:t>2.11.</w:t>
      </w:r>
      <w:r>
        <w:rPr>
          <w:rFonts w:eastAsia="Calibri"/>
        </w:rPr>
        <w:t xml:space="preserve"> </w:t>
      </w:r>
      <w:r>
        <w:rPr>
          <w:rFonts w:eastAsia="Calibri"/>
        </w:rPr>
        <w:t>Balance observe</w:t>
      </w:r>
    </w:p>
    <w:p>
      <w:pPr>
        <w:pStyle w:val="style66"/>
        <w:spacing w:lineRule="auto" w:line="276"/>
        <w:ind w:right="730"/>
        <w:jc w:val="both"/>
        <w:rPr>
          <w:rFonts w:eastAsia="Calibri"/>
        </w:rPr>
      </w:pPr>
      <w:r>
        <w:rPr>
          <w:rFonts w:eastAsia="Calibri"/>
        </w:rPr>
        <w:t>Optimized batch changed into sealed in glass vials with rubber caps and saved beneath ambient temperature and moisture condition(25°c and 60% RH)for a duration of one months in stability chamber(</w:t>
      </w:r>
      <w:r>
        <w:rPr>
          <w:rFonts w:eastAsia="Calibri"/>
        </w:rPr>
        <w:t>Remi</w:t>
      </w:r>
      <w:r>
        <w:rPr>
          <w:rFonts w:eastAsia="Calibri"/>
        </w:rPr>
        <w:t xml:space="preserve"> gadgets).The stability samples have been evaluated on the premise of size of particle size, PDI, Zeta ability ,entrapment efficiency % cumulative release</w:t>
      </w:r>
    </w:p>
    <w:p>
      <w:pPr>
        <w:pStyle w:val="style66"/>
        <w:spacing w:lineRule="auto" w:line="276"/>
        <w:ind w:right="730"/>
        <w:jc w:val="both"/>
        <w:rPr>
          <w:rFonts w:eastAsia="Calibri"/>
        </w:rPr>
      </w:pPr>
      <w:r>
        <w:rPr>
          <w:rFonts w:eastAsia="Calibri"/>
        </w:rPr>
        <w:t>3</w:t>
      </w:r>
      <w:r>
        <w:rPr>
          <w:rFonts w:eastAsia="Calibri"/>
        </w:rPr>
        <w:t>.</w:t>
      </w:r>
      <w:r>
        <w:rPr>
          <w:rFonts w:eastAsia="Calibri"/>
        </w:rPr>
        <w:t xml:space="preserve"> </w:t>
      </w:r>
      <w:r>
        <w:rPr>
          <w:rFonts w:eastAsia="Calibri"/>
        </w:rPr>
        <w:t>Outcomes and Discussions</w:t>
      </w:r>
    </w:p>
    <w:p>
      <w:pPr>
        <w:pStyle w:val="style0"/>
        <w:rPr>
          <w:rFonts w:ascii="Times New Roman" w:cs="Times New Roman" w:hAnsi="Times New Roman"/>
          <w:sz w:val="24"/>
          <w:szCs w:val="24"/>
        </w:rPr>
      </w:pPr>
      <w:r>
        <w:rPr>
          <w:rFonts w:ascii="Times New Roman" w:cs="Times New Roman" w:hAnsi="Times New Roman"/>
          <w:sz w:val="24"/>
          <w:szCs w:val="24"/>
        </w:rPr>
        <w:t>3</w:t>
      </w:r>
      <w:r>
        <w:rPr>
          <w:rFonts w:ascii="Times New Roman" w:cs="Times New Roman" w:hAnsi="Times New Roman"/>
          <w:sz w:val="24"/>
          <w:szCs w:val="24"/>
        </w:rPr>
        <w:t>.1</w:t>
      </w:r>
      <w:r>
        <w:rPr>
          <w:rFonts w:ascii="Times New Roman" w:cs="Times New Roman" w:hAnsi="Times New Roman"/>
          <w:sz w:val="24"/>
          <w:szCs w:val="24"/>
        </w:rPr>
        <w:t>.Selection</w:t>
      </w:r>
      <w:r>
        <w:rPr>
          <w:rFonts w:ascii="Times New Roman" w:cs="Times New Roman" w:hAnsi="Times New Roman"/>
          <w:sz w:val="24"/>
          <w:szCs w:val="24"/>
        </w:rPr>
        <w:t xml:space="preserve"> of </w:t>
      </w:r>
      <w:r>
        <w:rPr>
          <w:rFonts w:ascii="Times New Roman" w:cs="Times New Roman" w:hAnsi="Times New Roman"/>
          <w:sz w:val="24"/>
          <w:szCs w:val="24"/>
        </w:rPr>
        <w:t>Mucoadhesive</w:t>
      </w:r>
      <w:r>
        <w:rPr>
          <w:rFonts w:ascii="Times New Roman" w:cs="Times New Roman" w:hAnsi="Times New Roman"/>
          <w:sz w:val="24"/>
          <w:szCs w:val="24"/>
        </w:rPr>
        <w:t xml:space="preserve"> Polymer.</w:t>
      </w:r>
    </w:p>
    <w:p>
      <w:pPr>
        <w:pStyle w:val="style0"/>
        <w:rPr>
          <w:rFonts w:ascii="Times New Roman" w:cs="Times New Roman" w:hAnsi="Times New Roman"/>
          <w:sz w:val="24"/>
          <w:szCs w:val="24"/>
        </w:rPr>
      </w:pPr>
      <w:r>
        <w:rPr>
          <w:rFonts w:ascii="Times New Roman" w:cs="Times New Roman" w:hAnsi="Times New Roman"/>
          <w:sz w:val="24"/>
          <w:szCs w:val="24"/>
        </w:rPr>
        <w:t xml:space="preserve">The preliminary trial batches had been executed for the screening of the unique forms of </w:t>
      </w:r>
      <w:r>
        <w:rPr>
          <w:rFonts w:ascii="Times New Roman" w:cs="Times New Roman" w:hAnsi="Times New Roman"/>
          <w:sz w:val="24"/>
          <w:szCs w:val="24"/>
        </w:rPr>
        <w:t>mucoadhesive</w:t>
      </w:r>
      <w:r>
        <w:rPr>
          <w:rFonts w:ascii="Times New Roman" w:cs="Times New Roman" w:hAnsi="Times New Roman"/>
          <w:sz w:val="24"/>
          <w:szCs w:val="24"/>
        </w:rPr>
        <w:t xml:space="preserve"> dealers for the preparation of </w:t>
      </w:r>
      <w:r>
        <w:rPr>
          <w:rFonts w:ascii="Times New Roman" w:cs="Times New Roman" w:hAnsi="Times New Roman"/>
          <w:sz w:val="24"/>
          <w:szCs w:val="24"/>
        </w:rPr>
        <w:t>niosomal</w:t>
      </w:r>
      <w:r>
        <w:rPr>
          <w:rFonts w:ascii="Times New Roman" w:cs="Times New Roman" w:hAnsi="Times New Roman"/>
          <w:sz w:val="24"/>
          <w:szCs w:val="24"/>
        </w:rPr>
        <w:t xml:space="preserve"> formula. Choice of </w:t>
      </w:r>
      <w:r>
        <w:rPr>
          <w:rFonts w:ascii="Times New Roman" w:cs="Times New Roman" w:hAnsi="Times New Roman"/>
          <w:sz w:val="24"/>
          <w:szCs w:val="24"/>
        </w:rPr>
        <w:t>mucoadhesive</w:t>
      </w:r>
      <w:r>
        <w:rPr>
          <w:rFonts w:ascii="Times New Roman" w:cs="Times New Roman" w:hAnsi="Times New Roman"/>
          <w:sz w:val="24"/>
          <w:szCs w:val="24"/>
        </w:rPr>
        <w:t xml:space="preserve"> polymer was done on the idea of Particle length, PDI, Zeta potential, % Cumulative drug launch, %Entrapment efficiency and </w:t>
      </w:r>
      <w:r>
        <w:rPr>
          <w:rFonts w:ascii="Times New Roman" w:cs="Times New Roman" w:hAnsi="Times New Roman"/>
          <w:sz w:val="24"/>
          <w:szCs w:val="24"/>
        </w:rPr>
        <w:t>Mucin</w:t>
      </w:r>
      <w:r>
        <w:rPr>
          <w:rFonts w:ascii="Times New Roman" w:cs="Times New Roman" w:hAnsi="Times New Roman"/>
          <w:sz w:val="24"/>
          <w:szCs w:val="24"/>
        </w:rPr>
        <w:t xml:space="preserve"> binding efficiency.</w:t>
      </w:r>
    </w:p>
    <w:p>
      <w:pPr>
        <w:pStyle w:val="style0"/>
        <w:rPr>
          <w:rFonts w:ascii="Times New Roman" w:cs="Times New Roman" w:hAnsi="Times New Roman"/>
          <w:sz w:val="24"/>
          <w:szCs w:val="24"/>
        </w:rPr>
      </w:pPr>
      <w:r>
        <w:rPr>
          <w:rFonts w:ascii="Times New Roman" w:cs="Times New Roman" w:hAnsi="Times New Roman"/>
          <w:sz w:val="24"/>
          <w:szCs w:val="24"/>
        </w:rPr>
        <w:t xml:space="preserve">From the trail batches it was determined that </w:t>
      </w:r>
      <w:r>
        <w:rPr>
          <w:rFonts w:ascii="Times New Roman" w:cs="Times New Roman" w:hAnsi="Times New Roman"/>
          <w:sz w:val="24"/>
          <w:szCs w:val="24"/>
        </w:rPr>
        <w:t>Noveon</w:t>
      </w:r>
      <w:r>
        <w:rPr>
          <w:rFonts w:ascii="Times New Roman" w:cs="Times New Roman" w:hAnsi="Times New Roman"/>
          <w:sz w:val="24"/>
          <w:szCs w:val="24"/>
        </w:rPr>
        <w:t xml:space="preserve"> AA1 </w:t>
      </w:r>
      <w:r>
        <w:rPr>
          <w:rFonts w:ascii="Times New Roman" w:cs="Times New Roman" w:hAnsi="Times New Roman"/>
          <w:sz w:val="24"/>
          <w:szCs w:val="24"/>
        </w:rPr>
        <w:t>Polycarbophil</w:t>
      </w:r>
      <w:r>
        <w:rPr>
          <w:rFonts w:ascii="Times New Roman" w:cs="Times New Roman" w:hAnsi="Times New Roman"/>
          <w:sz w:val="24"/>
          <w:szCs w:val="24"/>
        </w:rPr>
        <w:t xml:space="preserve"> changed into most appropriate </w:t>
      </w:r>
      <w:r>
        <w:rPr>
          <w:rFonts w:ascii="Times New Roman" w:cs="Times New Roman" w:hAnsi="Times New Roman"/>
          <w:sz w:val="24"/>
          <w:szCs w:val="24"/>
        </w:rPr>
        <w:t>mucoadhesive</w:t>
      </w:r>
      <w:r>
        <w:rPr>
          <w:rFonts w:ascii="Times New Roman" w:cs="Times New Roman" w:hAnsi="Times New Roman"/>
          <w:sz w:val="24"/>
          <w:szCs w:val="24"/>
        </w:rPr>
        <w:t xml:space="preserve"> agent for this study as it gi</w:t>
      </w:r>
      <w:r>
        <w:rPr>
          <w:rFonts w:ascii="Times New Roman" w:cs="Times New Roman" w:hAnsi="Times New Roman"/>
          <w:sz w:val="24"/>
          <w:szCs w:val="24"/>
        </w:rPr>
        <w:t>ves minimum Particle length(158</w:t>
      </w:r>
      <w:r>
        <w:rPr>
          <w:rFonts w:ascii="Times New Roman" w:cs="Times New Roman" w:hAnsi="Times New Roman"/>
          <w:sz w:val="24"/>
          <w:szCs w:val="24"/>
        </w:rPr>
        <w:t>nm),PDI(0</w:t>
      </w:r>
      <w:r>
        <w:rPr>
          <w:rFonts w:ascii="Times New Roman" w:cs="Times New Roman" w:hAnsi="Times New Roman"/>
          <w:sz w:val="24"/>
          <w:szCs w:val="24"/>
        </w:rPr>
        <w:t>.223),</w:t>
      </w:r>
      <w:r>
        <w:rPr>
          <w:rFonts w:ascii="Times New Roman" w:cs="Times New Roman" w:hAnsi="Times New Roman"/>
          <w:sz w:val="24"/>
          <w:szCs w:val="24"/>
        </w:rPr>
        <w:t>Zeta</w:t>
      </w:r>
      <w:r>
        <w:rPr>
          <w:rFonts w:ascii="Times New Roman" w:cs="Times New Roman" w:hAnsi="Times New Roman"/>
          <w:sz w:val="24"/>
          <w:szCs w:val="24"/>
        </w:rPr>
        <w:t xml:space="preserve"> </w:t>
      </w:r>
      <w:r>
        <w:rPr>
          <w:rFonts w:ascii="Times New Roman" w:cs="Times New Roman" w:hAnsi="Times New Roman"/>
          <w:sz w:val="24"/>
          <w:szCs w:val="24"/>
        </w:rPr>
        <w:t>capability(-11mV),cumulative drug launch(74</w:t>
      </w:r>
      <w:r>
        <w:rPr>
          <w:rFonts w:ascii="Times New Roman" w:cs="Times New Roman" w:hAnsi="Times New Roman"/>
          <w:sz w:val="24"/>
          <w:szCs w:val="24"/>
        </w:rPr>
        <w:t>%),entrapment efficiency(84.5</w:t>
      </w:r>
      <w:r>
        <w:rPr>
          <w:rFonts w:ascii="Times New Roman" w:cs="Times New Roman" w:hAnsi="Times New Roman"/>
          <w:sz w:val="24"/>
          <w:szCs w:val="24"/>
        </w:rPr>
        <w:t xml:space="preserve">.5) with maximum </w:t>
      </w:r>
      <w:r>
        <w:rPr>
          <w:rFonts w:ascii="Times New Roman" w:cs="Times New Roman" w:hAnsi="Times New Roman"/>
          <w:sz w:val="24"/>
          <w:szCs w:val="24"/>
        </w:rPr>
        <w:t>mucin</w:t>
      </w:r>
      <w:r>
        <w:rPr>
          <w:rFonts w:ascii="Times New Roman" w:cs="Times New Roman" w:hAnsi="Times New Roman"/>
          <w:sz w:val="24"/>
          <w:szCs w:val="24"/>
        </w:rPr>
        <w:t xml:space="preserve"> b</w:t>
      </w:r>
      <w:r>
        <w:rPr>
          <w:rFonts w:ascii="Times New Roman" w:cs="Times New Roman" w:hAnsi="Times New Roman"/>
          <w:sz w:val="24"/>
          <w:szCs w:val="24"/>
        </w:rPr>
        <w:t>inding efficiency of 72.4</w:t>
      </w:r>
      <w:r>
        <w:rPr>
          <w:rFonts w:ascii="Times New Roman" w:cs="Times New Roman" w:hAnsi="Times New Roman"/>
          <w:sz w:val="24"/>
          <w:szCs w:val="24"/>
        </w:rPr>
        <w:t>%</w:t>
      </w:r>
    </w:p>
    <w:tbl>
      <w:tblPr>
        <w:tblStyle w:val="style154"/>
        <w:tblW w:w="10516" w:type="dxa"/>
        <w:jc w:val="center"/>
        <w:tblInd w:w="-1097" w:type="dxa"/>
        <w:tblLook w:val="04A0" w:firstRow="1" w:lastRow="0" w:firstColumn="1" w:lastColumn="0" w:noHBand="0" w:noVBand="1"/>
      </w:tblPr>
      <w:tblGrid>
        <w:gridCol w:w="1776"/>
        <w:gridCol w:w="1440"/>
        <w:gridCol w:w="1271"/>
        <w:gridCol w:w="1489"/>
        <w:gridCol w:w="1724"/>
        <w:gridCol w:w="1724"/>
        <w:gridCol w:w="1092"/>
      </w:tblGrid>
      <w:tr>
        <w:trPr>
          <w:trHeight w:val="328" w:hRule="atLeast"/>
          <w:jc w:val="center"/>
        </w:trPr>
        <w:tc>
          <w:tcPr>
            <w:tcW w:w="1776"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 xml:space="preserve">Name Of </w:t>
            </w:r>
            <w:r>
              <w:rPr>
                <w:rFonts w:ascii="Times New Roman" w:cs="Times New Roman" w:hAnsi="Times New Roman"/>
                <w:sz w:val="24"/>
                <w:szCs w:val="24"/>
              </w:rPr>
              <w:t>Mucoadhesive</w:t>
            </w:r>
            <w:r>
              <w:rPr>
                <w:rFonts w:ascii="Times New Roman" w:cs="Times New Roman" w:hAnsi="Times New Roman"/>
                <w:sz w:val="24"/>
                <w:szCs w:val="24"/>
              </w:rPr>
              <w:t xml:space="preserve"> Agent</w:t>
            </w:r>
          </w:p>
        </w:tc>
        <w:tc>
          <w:tcPr>
            <w:tcW w:w="1440"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Particle size(nm)</w:t>
            </w:r>
          </w:p>
        </w:tc>
        <w:tc>
          <w:tcPr>
            <w:tcW w:w="1271"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PDI</w:t>
            </w:r>
          </w:p>
        </w:tc>
        <w:tc>
          <w:tcPr>
            <w:tcW w:w="1489"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Zeta potential</w:t>
            </w:r>
          </w:p>
        </w:tc>
        <w:tc>
          <w:tcPr>
            <w:tcW w:w="1724"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%Entrapment Efficiency</w:t>
            </w:r>
          </w:p>
        </w:tc>
        <w:tc>
          <w:tcPr>
            <w:tcW w:w="1724"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%Cumulative Release</w:t>
            </w:r>
          </w:p>
        </w:tc>
        <w:tc>
          <w:tcPr>
            <w:tcW w:w="1092"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Mucin</w:t>
            </w:r>
            <w:r>
              <w:rPr>
                <w:rFonts w:ascii="Times New Roman" w:cs="Times New Roman" w:hAnsi="Times New Roman"/>
                <w:sz w:val="24"/>
                <w:szCs w:val="24"/>
              </w:rPr>
              <w:t xml:space="preserve">    Binding</w:t>
            </w:r>
          </w:p>
        </w:tc>
      </w:tr>
      <w:tr>
        <w:tblPrEx/>
        <w:trPr>
          <w:trHeight w:val="328" w:hRule="atLeast"/>
          <w:jc w:val="center"/>
        </w:trPr>
        <w:tc>
          <w:tcPr>
            <w:tcW w:w="1776"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Xanthan</w:t>
            </w:r>
            <w:r>
              <w:rPr>
                <w:rFonts w:ascii="Times New Roman" w:cs="Times New Roman" w:hAnsi="Times New Roman"/>
                <w:sz w:val="24"/>
                <w:szCs w:val="24"/>
              </w:rPr>
              <w:t xml:space="preserve"> Gum</w:t>
            </w:r>
          </w:p>
        </w:tc>
        <w:tc>
          <w:tcPr>
            <w:tcW w:w="1440"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228</w:t>
            </w:r>
          </w:p>
        </w:tc>
        <w:tc>
          <w:tcPr>
            <w:tcW w:w="1271"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0.443</w:t>
            </w:r>
          </w:p>
        </w:tc>
        <w:tc>
          <w:tcPr>
            <w:tcW w:w="1489"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-30mV</w:t>
            </w:r>
          </w:p>
        </w:tc>
        <w:tc>
          <w:tcPr>
            <w:tcW w:w="1724"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78</w:t>
            </w:r>
          </w:p>
        </w:tc>
        <w:tc>
          <w:tcPr>
            <w:tcW w:w="1724"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63</w:t>
            </w:r>
          </w:p>
        </w:tc>
        <w:tc>
          <w:tcPr>
            <w:tcW w:w="1092"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51</w:t>
            </w:r>
          </w:p>
        </w:tc>
      </w:tr>
      <w:tr>
        <w:tblPrEx/>
        <w:trPr>
          <w:trHeight w:val="328" w:hRule="atLeast"/>
          <w:jc w:val="center"/>
        </w:trPr>
        <w:tc>
          <w:tcPr>
            <w:tcW w:w="1776"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Noveon</w:t>
            </w:r>
            <w:r>
              <w:rPr>
                <w:rFonts w:ascii="Times New Roman" w:cs="Times New Roman" w:hAnsi="Times New Roman"/>
                <w:sz w:val="24"/>
                <w:szCs w:val="24"/>
              </w:rPr>
              <w:t xml:space="preserve"> AA 1 </w:t>
            </w:r>
            <w:r>
              <w:rPr>
                <w:rFonts w:ascii="Times New Roman" w:cs="Times New Roman" w:hAnsi="Times New Roman"/>
                <w:sz w:val="24"/>
                <w:szCs w:val="24"/>
              </w:rPr>
              <w:t>Polycarbophil</w:t>
            </w:r>
          </w:p>
        </w:tc>
        <w:tc>
          <w:tcPr>
            <w:tcW w:w="1440"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158</w:t>
            </w:r>
          </w:p>
        </w:tc>
        <w:tc>
          <w:tcPr>
            <w:tcW w:w="1271"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0.223</w:t>
            </w:r>
          </w:p>
        </w:tc>
        <w:tc>
          <w:tcPr>
            <w:tcW w:w="1489"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-11mV</w:t>
            </w:r>
          </w:p>
        </w:tc>
        <w:tc>
          <w:tcPr>
            <w:tcW w:w="1724"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84.5</w:t>
            </w:r>
          </w:p>
        </w:tc>
        <w:tc>
          <w:tcPr>
            <w:tcW w:w="1724"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74</w:t>
            </w:r>
          </w:p>
        </w:tc>
        <w:tc>
          <w:tcPr>
            <w:tcW w:w="1092"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72.4</w:t>
            </w:r>
          </w:p>
        </w:tc>
      </w:tr>
      <w:tr>
        <w:tblPrEx/>
        <w:trPr>
          <w:trHeight w:val="314" w:hRule="atLeast"/>
          <w:jc w:val="center"/>
        </w:trPr>
        <w:tc>
          <w:tcPr>
            <w:tcW w:w="1776"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Carbapol</w:t>
            </w:r>
            <w:r>
              <w:rPr>
                <w:rFonts w:ascii="Times New Roman" w:cs="Times New Roman" w:hAnsi="Times New Roman"/>
                <w:sz w:val="24"/>
                <w:szCs w:val="24"/>
              </w:rPr>
              <w:t xml:space="preserve"> 971 P NF</w:t>
            </w:r>
          </w:p>
        </w:tc>
        <w:tc>
          <w:tcPr>
            <w:tcW w:w="1440"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198</w:t>
            </w:r>
          </w:p>
        </w:tc>
        <w:tc>
          <w:tcPr>
            <w:tcW w:w="1271"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0.334</w:t>
            </w:r>
          </w:p>
        </w:tc>
        <w:tc>
          <w:tcPr>
            <w:tcW w:w="1489"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-20mV</w:t>
            </w:r>
          </w:p>
        </w:tc>
        <w:tc>
          <w:tcPr>
            <w:tcW w:w="1724"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72</w:t>
            </w:r>
          </w:p>
        </w:tc>
        <w:tc>
          <w:tcPr>
            <w:tcW w:w="1724"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65</w:t>
            </w:r>
          </w:p>
        </w:tc>
        <w:tc>
          <w:tcPr>
            <w:tcW w:w="1092"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46</w:t>
            </w:r>
          </w:p>
        </w:tc>
      </w:tr>
      <w:tr>
        <w:tblPrEx/>
        <w:trPr>
          <w:trHeight w:val="343" w:hRule="atLeast"/>
          <w:jc w:val="center"/>
        </w:trPr>
        <w:tc>
          <w:tcPr>
            <w:tcW w:w="1776"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Guar gum</w:t>
            </w:r>
          </w:p>
        </w:tc>
        <w:tc>
          <w:tcPr>
            <w:tcW w:w="1440"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176</w:t>
            </w:r>
          </w:p>
        </w:tc>
        <w:tc>
          <w:tcPr>
            <w:tcW w:w="1271"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0.350</w:t>
            </w:r>
          </w:p>
        </w:tc>
        <w:tc>
          <w:tcPr>
            <w:tcW w:w="1489"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-28mV</w:t>
            </w:r>
          </w:p>
        </w:tc>
        <w:tc>
          <w:tcPr>
            <w:tcW w:w="1724"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70</w:t>
            </w:r>
          </w:p>
        </w:tc>
        <w:tc>
          <w:tcPr>
            <w:tcW w:w="1724"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61</w:t>
            </w:r>
          </w:p>
        </w:tc>
        <w:tc>
          <w:tcPr>
            <w:tcW w:w="1092" w:type="dxa"/>
            <w:tcBorders/>
          </w:tcPr>
          <w:p>
            <w:pPr>
              <w:pStyle w:val="style0"/>
              <w:jc w:val="center"/>
              <w:rPr>
                <w:rFonts w:ascii="Times New Roman" w:cs="Times New Roman" w:hAnsi="Times New Roman"/>
                <w:sz w:val="24"/>
                <w:szCs w:val="24"/>
              </w:rPr>
            </w:pPr>
            <w:r>
              <w:rPr>
                <w:rFonts w:ascii="Times New Roman" w:cs="Times New Roman" w:hAnsi="Times New Roman"/>
                <w:sz w:val="24"/>
                <w:szCs w:val="24"/>
              </w:rPr>
              <w:t>59</w:t>
            </w:r>
          </w:p>
        </w:tc>
      </w:tr>
    </w:tbl>
    <w:p>
      <w:pPr>
        <w:pStyle w:val="style0"/>
        <w:jc w:val="both"/>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 xml:space="preserve">    </w:t>
      </w:r>
      <w:r>
        <w:rPr>
          <w:rFonts w:ascii="Times New Roman" w:cs="Times New Roman" w:hAnsi="Times New Roman"/>
          <w:sz w:val="24"/>
          <w:szCs w:val="24"/>
        </w:rPr>
        <w:t xml:space="preserve"> Table no 3.Screening </w:t>
      </w:r>
      <w:r>
        <w:rPr>
          <w:rFonts w:ascii="Times New Roman" w:cs="Times New Roman" w:hAnsi="Times New Roman"/>
          <w:sz w:val="24"/>
          <w:szCs w:val="24"/>
        </w:rPr>
        <w:t>Of</w:t>
      </w:r>
      <w:r>
        <w:rPr>
          <w:rFonts w:ascii="Times New Roman" w:cs="Times New Roman" w:hAnsi="Times New Roman"/>
          <w:sz w:val="24"/>
          <w:szCs w:val="24"/>
        </w:rPr>
        <w:t xml:space="preserve"> </w:t>
      </w:r>
      <w:r>
        <w:rPr>
          <w:rFonts w:ascii="Times New Roman" w:cs="Times New Roman" w:hAnsi="Times New Roman"/>
          <w:sz w:val="24"/>
          <w:szCs w:val="24"/>
        </w:rPr>
        <w:t>Mucoadhesive</w:t>
      </w:r>
      <w:r>
        <w:rPr>
          <w:rFonts w:ascii="Times New Roman" w:cs="Times New Roman" w:hAnsi="Times New Roman"/>
          <w:sz w:val="24"/>
          <w:szCs w:val="24"/>
        </w:rPr>
        <w:t xml:space="preserve"> Agent</w:t>
      </w:r>
    </w:p>
    <w:p>
      <w:pPr>
        <w:pStyle w:val="style66"/>
        <w:spacing w:lineRule="auto" w:line="276"/>
        <w:ind w:right="730"/>
        <w:jc w:val="both"/>
        <w:rPr>
          <w:rFonts w:eastAsia="Calibri"/>
        </w:rPr>
      </w:pPr>
    </w:p>
    <w:p>
      <w:pPr>
        <w:pStyle w:val="style66"/>
        <w:spacing w:lineRule="auto" w:line="276"/>
        <w:ind w:right="730"/>
        <w:jc w:val="both"/>
        <w:rPr>
          <w:rFonts w:eastAsia="Calibri"/>
        </w:rPr>
      </w:pPr>
      <w:r>
        <w:rPr>
          <w:rFonts w:eastAsia="Calibri"/>
        </w:rPr>
        <w:t>3.2.</w:t>
      </w:r>
      <w:r>
        <w:rPr>
          <w:rFonts w:eastAsia="Calibri"/>
        </w:rPr>
        <w:t xml:space="preserve"> </w:t>
      </w:r>
      <w:r>
        <w:rPr>
          <w:rFonts w:eastAsia="Calibri"/>
        </w:rPr>
        <w:t>System Optimization via primary Composite design</w:t>
      </w:r>
    </w:p>
    <w:p>
      <w:pPr>
        <w:pStyle w:val="style66"/>
        <w:spacing w:lineRule="auto" w:line="276"/>
        <w:ind w:right="730"/>
        <w:jc w:val="both"/>
        <w:rPr>
          <w:rFonts w:eastAsia="Calibri"/>
        </w:rPr>
      </w:pPr>
      <w:r>
        <w:rPr>
          <w:rFonts w:eastAsia="Calibri"/>
        </w:rPr>
        <w:t xml:space="preserve">Design expert eleven software become used for studying impact of impartial </w:t>
      </w:r>
      <w:r>
        <w:rPr>
          <w:rFonts w:eastAsia="Calibri"/>
        </w:rPr>
        <w:t>varaibles</w:t>
      </w:r>
      <w:r>
        <w:rPr>
          <w:rFonts w:eastAsia="Calibri"/>
        </w:rPr>
        <w:t xml:space="preserve"> on response Ratio of </w:t>
      </w:r>
      <w:r>
        <w:rPr>
          <w:rFonts w:eastAsia="Calibri"/>
        </w:rPr>
        <w:t>Chol</w:t>
      </w:r>
      <w:r>
        <w:rPr>
          <w:rFonts w:eastAsia="Calibri"/>
        </w:rPr>
        <w:t>:Span</w:t>
      </w:r>
      <w:r>
        <w:rPr>
          <w:rFonts w:eastAsia="Calibri"/>
        </w:rPr>
        <w:t xml:space="preserve"> 20:Span 60(X1), </w:t>
      </w:r>
      <w:r>
        <w:rPr>
          <w:rFonts w:eastAsia="Calibri"/>
        </w:rPr>
        <w:t>Conc</w:t>
      </w:r>
      <w:r>
        <w:rPr>
          <w:rFonts w:eastAsia="Calibri"/>
        </w:rPr>
        <w:t xml:space="preserve"> of </w:t>
      </w:r>
      <w:r>
        <w:rPr>
          <w:rFonts w:eastAsia="Calibri"/>
        </w:rPr>
        <w:t>Noveon</w:t>
      </w:r>
      <w:r>
        <w:rPr>
          <w:rFonts w:eastAsia="Calibri"/>
        </w:rPr>
        <w:t xml:space="preserve"> aa1 </w:t>
      </w:r>
      <w:r>
        <w:rPr>
          <w:rFonts w:eastAsia="Calibri"/>
        </w:rPr>
        <w:t>polycarbophil</w:t>
      </w:r>
      <w:r>
        <w:rPr>
          <w:rFonts w:eastAsia="Calibri"/>
        </w:rPr>
        <w:t xml:space="preserve">(X2),and homogenization cycles(X3) have been selected as unbiased </w:t>
      </w:r>
      <w:r>
        <w:rPr>
          <w:rFonts w:eastAsia="Calibri"/>
        </w:rPr>
        <w:t>varaiables</w:t>
      </w:r>
      <w:r>
        <w:rPr>
          <w:rFonts w:eastAsia="Calibri"/>
        </w:rPr>
        <w:t xml:space="preserve"> while Particle size (Y1),%Cumulative Drug release(Y2) and Entrapment efficiency (Y3) had been selected as based variables.</w:t>
      </w:r>
    </w:p>
    <w:p>
      <w:pPr>
        <w:pStyle w:val="style66"/>
        <w:spacing w:lineRule="auto" w:line="276"/>
        <w:ind w:right="730"/>
        <w:jc w:val="both"/>
        <w:rPr>
          <w:rFonts w:eastAsia="Calibri"/>
        </w:rPr>
      </w:pPr>
      <w:r>
        <w:rPr>
          <w:rFonts w:eastAsia="Calibri"/>
        </w:rPr>
        <w:t xml:space="preserve">Experimental layout </w:t>
      </w:r>
      <w:r>
        <w:rPr>
          <w:rFonts w:eastAsia="Calibri"/>
        </w:rPr>
        <w:t>layout</w:t>
      </w:r>
      <w:r>
        <w:rPr>
          <w:rFonts w:eastAsia="Calibri"/>
        </w:rPr>
        <w:t xml:space="preserve"> evolved for 15 feasible mixtures of </w:t>
      </w:r>
      <w:r>
        <w:rPr>
          <w:rFonts w:eastAsia="Calibri"/>
        </w:rPr>
        <w:t>niosomal</w:t>
      </w:r>
      <w:r>
        <w:rPr>
          <w:rFonts w:eastAsia="Calibri"/>
        </w:rPr>
        <w:t xml:space="preserve"> </w:t>
      </w:r>
      <w:r>
        <w:rPr>
          <w:rFonts w:eastAsia="Calibri"/>
        </w:rPr>
        <w:t>formulations. Numerous models together with Linear and Quadratic have been suited to information and version which match well become cautioned by using software program and become tested for evaluation of variance(ANOVA).Regression polynomials were calculated for the man or woman established variables after which contour plots and 3-d surface graphs have been received for every unbiased variable. Mathematical fashions had been generated for each character structured variable or reaction (R) and expressed as equations. The principle results(X1 and X2) represents the common result of changing one factor at a time from its low to high fee.</w:t>
      </w:r>
    </w:p>
    <w:p>
      <w:pPr>
        <w:pStyle w:val="style66"/>
        <w:spacing w:lineRule="auto" w:line="276"/>
        <w:ind w:right="730"/>
        <w:jc w:val="both"/>
        <w:rPr>
          <w:rFonts w:eastAsia="Calibri"/>
        </w:rPr>
      </w:pPr>
    </w:p>
    <w:p>
      <w:pPr>
        <w:pStyle w:val="style66"/>
        <w:spacing w:lineRule="auto" w:line="276"/>
        <w:ind w:right="730"/>
        <w:jc w:val="both"/>
        <w:rPr>
          <w:rFonts w:eastAsia="Calibri"/>
        </w:rPr>
      </w:pPr>
      <w:r>
        <w:rPr>
          <w:rFonts w:eastAsia="Calibri"/>
        </w:rPr>
        <w:t>ANOVA for Linear version</w:t>
      </w:r>
    </w:p>
    <w:p>
      <w:pPr>
        <w:pStyle w:val="style66"/>
        <w:spacing w:lineRule="auto" w:line="276"/>
        <w:ind w:right="730"/>
        <w:jc w:val="both"/>
        <w:rPr>
          <w:rFonts w:eastAsia="Calibri"/>
        </w:rPr>
      </w:pPr>
      <w:r>
        <w:rPr>
          <w:rFonts w:eastAsia="Calibri"/>
        </w:rPr>
        <w:t>Reaction 1: Particle size</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85"/>
        <w:gridCol w:w="1588"/>
        <w:gridCol w:w="276"/>
        <w:gridCol w:w="1319"/>
        <w:gridCol w:w="727"/>
        <w:gridCol w:w="730"/>
        <w:gridCol w:w="1515"/>
      </w:tblGrid>
      <w:tr>
        <w:trPr>
          <w:tblCellSpacing w:w="15" w:type="dxa"/>
          <w:jc w:val="center"/>
        </w:trPr>
        <w:tc>
          <w:tcPr>
            <w:tcW w:w="0" w:type="auto"/>
            <w:tcBorders/>
            <w:shd w:val="clear" w:color="auto" w:fill="ffffff"/>
            <w:vAlign w:val="center"/>
            <w:hideMark/>
          </w:tcPr>
          <w:p>
            <w:pPr>
              <w:pStyle w:val="style157"/>
              <w:rPr/>
            </w:pPr>
            <w:r>
              <w:t>Source</w:t>
            </w:r>
          </w:p>
        </w:tc>
        <w:tc>
          <w:tcPr>
            <w:tcW w:w="0" w:type="auto"/>
            <w:tcBorders/>
            <w:shd w:val="clear" w:color="auto" w:fill="ffffff"/>
            <w:vAlign w:val="center"/>
            <w:hideMark/>
          </w:tcPr>
          <w:p>
            <w:pPr>
              <w:pStyle w:val="style157"/>
              <w:rPr/>
            </w:pPr>
            <w:r>
              <w:t>Sum of Squares</w:t>
            </w:r>
          </w:p>
        </w:tc>
        <w:tc>
          <w:tcPr>
            <w:tcW w:w="0" w:type="auto"/>
            <w:tcBorders/>
            <w:shd w:val="clear" w:color="auto" w:fill="ffffff"/>
            <w:vAlign w:val="center"/>
            <w:hideMark/>
          </w:tcPr>
          <w:p>
            <w:pPr>
              <w:pStyle w:val="style157"/>
              <w:rPr/>
            </w:pPr>
            <w:r>
              <w:t>df</w:t>
            </w:r>
          </w:p>
        </w:tc>
        <w:tc>
          <w:tcPr>
            <w:tcW w:w="0" w:type="auto"/>
            <w:tcBorders/>
            <w:shd w:val="clear" w:color="auto" w:fill="ffffff"/>
            <w:vAlign w:val="center"/>
            <w:hideMark/>
          </w:tcPr>
          <w:p>
            <w:pPr>
              <w:pStyle w:val="style157"/>
              <w:rPr/>
            </w:pPr>
            <w:r>
              <w:t>Mean Square</w:t>
            </w:r>
          </w:p>
        </w:tc>
        <w:tc>
          <w:tcPr>
            <w:tcW w:w="0" w:type="auto"/>
            <w:tcBorders/>
            <w:shd w:val="clear" w:color="auto" w:fill="ffffff"/>
            <w:vAlign w:val="center"/>
            <w:hideMark/>
          </w:tcPr>
          <w:p>
            <w:pPr>
              <w:pStyle w:val="style157"/>
              <w:rPr/>
            </w:pPr>
            <w:r>
              <w:t>F-value</w:t>
            </w:r>
          </w:p>
        </w:tc>
        <w:tc>
          <w:tcPr>
            <w:tcW w:w="0" w:type="auto"/>
            <w:tcBorders/>
            <w:shd w:val="clear" w:color="auto" w:fill="ffffff"/>
            <w:vAlign w:val="center"/>
            <w:hideMark/>
          </w:tcPr>
          <w:p>
            <w:pPr>
              <w:pStyle w:val="style157"/>
              <w:rPr/>
            </w:pPr>
            <w:r>
              <w:t>p-value</w:t>
            </w:r>
          </w:p>
        </w:tc>
        <w:tc>
          <w:tcPr>
            <w:tcW w:w="0" w:type="auto"/>
            <w:tcBorders/>
            <w:shd w:val="clear" w:color="auto" w:fill="ffffff"/>
            <w:vAlign w:val="center"/>
            <w:hideMark/>
          </w:tcPr>
          <w:p>
            <w:pPr>
              <w:pStyle w:val="style157"/>
              <w:rPr/>
            </w:pPr>
          </w:p>
        </w:tc>
      </w:tr>
      <w:tr>
        <w:tblPrEx/>
        <w:trPr>
          <w:tblCellSpacing w:w="15" w:type="dxa"/>
          <w:jc w:val="center"/>
        </w:trPr>
        <w:tc>
          <w:tcPr>
            <w:tcW w:w="0" w:type="auto"/>
            <w:tcBorders/>
            <w:shd w:val="clear" w:color="auto" w:fill="ffffff"/>
            <w:vAlign w:val="center"/>
            <w:hideMark/>
          </w:tcPr>
          <w:p>
            <w:pPr>
              <w:pStyle w:val="style157"/>
              <w:rPr/>
            </w:pPr>
            <w:r>
              <w:t>Model</w:t>
            </w:r>
          </w:p>
        </w:tc>
        <w:tc>
          <w:tcPr>
            <w:tcW w:w="0" w:type="auto"/>
            <w:tcBorders/>
            <w:shd w:val="clear" w:color="auto" w:fill="ffffff"/>
            <w:vAlign w:val="center"/>
            <w:hideMark/>
          </w:tcPr>
          <w:p>
            <w:pPr>
              <w:pStyle w:val="style157"/>
              <w:rPr/>
            </w:pPr>
            <w:r>
              <w:t>2065.24</w:t>
            </w:r>
          </w:p>
        </w:tc>
        <w:tc>
          <w:tcPr>
            <w:tcW w:w="0" w:type="auto"/>
            <w:tcBorders/>
            <w:shd w:val="clear" w:color="auto" w:fill="ffffff"/>
            <w:vAlign w:val="center"/>
            <w:hideMark/>
          </w:tcPr>
          <w:p>
            <w:pPr>
              <w:pStyle w:val="style157"/>
              <w:rPr/>
            </w:pPr>
            <w:r>
              <w:t>3</w:t>
            </w:r>
          </w:p>
        </w:tc>
        <w:tc>
          <w:tcPr>
            <w:tcW w:w="0" w:type="auto"/>
            <w:tcBorders/>
            <w:shd w:val="clear" w:color="auto" w:fill="ffffff"/>
            <w:vAlign w:val="center"/>
            <w:hideMark/>
          </w:tcPr>
          <w:p>
            <w:pPr>
              <w:pStyle w:val="style157"/>
              <w:rPr/>
            </w:pPr>
            <w:r>
              <w:t>688.41</w:t>
            </w:r>
          </w:p>
        </w:tc>
        <w:tc>
          <w:tcPr>
            <w:tcW w:w="0" w:type="auto"/>
            <w:tcBorders/>
            <w:shd w:val="clear" w:color="auto" w:fill="ffffff"/>
            <w:vAlign w:val="center"/>
            <w:hideMark/>
          </w:tcPr>
          <w:p>
            <w:pPr>
              <w:pStyle w:val="style157"/>
              <w:rPr/>
            </w:pPr>
            <w:r>
              <w:t>4.35</w:t>
            </w:r>
          </w:p>
        </w:tc>
        <w:tc>
          <w:tcPr>
            <w:tcW w:w="0" w:type="auto"/>
            <w:tcBorders/>
            <w:shd w:val="clear" w:color="auto" w:fill="ffffff"/>
            <w:vAlign w:val="center"/>
            <w:hideMark/>
          </w:tcPr>
          <w:p>
            <w:pPr>
              <w:pStyle w:val="style157"/>
              <w:rPr/>
            </w:pPr>
            <w:r>
              <w:t>0.0298</w:t>
            </w:r>
          </w:p>
        </w:tc>
        <w:tc>
          <w:tcPr>
            <w:tcW w:w="0" w:type="auto"/>
            <w:tcBorders/>
            <w:shd w:val="clear" w:color="auto" w:fill="ffffff"/>
            <w:vAlign w:val="center"/>
            <w:hideMark/>
          </w:tcPr>
          <w:p>
            <w:pPr>
              <w:pStyle w:val="style157"/>
              <w:rPr/>
            </w:pPr>
            <w:r>
              <w:t>Significant</w:t>
            </w:r>
          </w:p>
        </w:tc>
      </w:tr>
      <w:tr>
        <w:tblPrEx/>
        <w:trPr>
          <w:tblCellSpacing w:w="15" w:type="dxa"/>
          <w:jc w:val="center"/>
        </w:trPr>
        <w:tc>
          <w:tcPr>
            <w:tcW w:w="0" w:type="auto"/>
            <w:tcBorders/>
            <w:shd w:val="clear" w:color="auto" w:fill="ffffff"/>
            <w:vAlign w:val="center"/>
            <w:hideMark/>
          </w:tcPr>
          <w:p>
            <w:pPr>
              <w:pStyle w:val="style157"/>
              <w:rPr/>
            </w:pPr>
            <w:r>
              <w:t>A-</w:t>
            </w:r>
            <w:r>
              <w:t>Cholesterol:Surfactant</w:t>
            </w:r>
            <w:r>
              <w:t xml:space="preserve"> Ratio</w:t>
            </w:r>
          </w:p>
        </w:tc>
        <w:tc>
          <w:tcPr>
            <w:tcW w:w="0" w:type="auto"/>
            <w:tcBorders/>
            <w:shd w:val="clear" w:color="auto" w:fill="ffffff"/>
            <w:vAlign w:val="center"/>
            <w:hideMark/>
          </w:tcPr>
          <w:p>
            <w:pPr>
              <w:pStyle w:val="style157"/>
              <w:rPr/>
            </w:pPr>
            <w:r>
              <w:t>336.00</w:t>
            </w:r>
          </w:p>
        </w:tc>
        <w:tc>
          <w:tcPr>
            <w:tcW w:w="0" w:type="auto"/>
            <w:tcBorders/>
            <w:shd w:val="clear" w:color="auto" w:fill="ffffff"/>
            <w:vAlign w:val="center"/>
            <w:hideMark/>
          </w:tcPr>
          <w:p>
            <w:pPr>
              <w:pStyle w:val="style157"/>
              <w:rPr/>
            </w:pPr>
            <w:r>
              <w:t>1</w:t>
            </w:r>
          </w:p>
        </w:tc>
        <w:tc>
          <w:tcPr>
            <w:tcW w:w="0" w:type="auto"/>
            <w:tcBorders/>
            <w:shd w:val="clear" w:color="auto" w:fill="ffffff"/>
            <w:vAlign w:val="center"/>
            <w:hideMark/>
          </w:tcPr>
          <w:p>
            <w:pPr>
              <w:pStyle w:val="style157"/>
              <w:rPr/>
            </w:pPr>
            <w:r>
              <w:t>336.00</w:t>
            </w:r>
          </w:p>
        </w:tc>
        <w:tc>
          <w:tcPr>
            <w:tcW w:w="0" w:type="auto"/>
            <w:tcBorders/>
            <w:shd w:val="clear" w:color="auto" w:fill="ffffff"/>
            <w:vAlign w:val="center"/>
            <w:hideMark/>
          </w:tcPr>
          <w:p>
            <w:pPr>
              <w:pStyle w:val="style157"/>
              <w:rPr/>
            </w:pPr>
            <w:r>
              <w:t>2.12</w:t>
            </w:r>
          </w:p>
        </w:tc>
        <w:tc>
          <w:tcPr>
            <w:tcW w:w="0" w:type="auto"/>
            <w:tcBorders/>
            <w:shd w:val="clear" w:color="auto" w:fill="ffffff"/>
            <w:vAlign w:val="center"/>
            <w:hideMark/>
          </w:tcPr>
          <w:p>
            <w:pPr>
              <w:pStyle w:val="style157"/>
              <w:rPr/>
            </w:pPr>
            <w:r>
              <w:t>0.1729</w:t>
            </w:r>
          </w:p>
        </w:tc>
        <w:tc>
          <w:tcPr>
            <w:tcW w:w="0" w:type="auto"/>
            <w:tcBorders/>
            <w:shd w:val="clear" w:color="auto" w:fill="ffffff"/>
            <w:vAlign w:val="center"/>
            <w:hideMark/>
          </w:tcPr>
          <w:p>
            <w:pPr>
              <w:pStyle w:val="style157"/>
              <w:rPr/>
            </w:pPr>
          </w:p>
        </w:tc>
      </w:tr>
      <w:tr>
        <w:tblPrEx/>
        <w:trPr>
          <w:tblCellSpacing w:w="15" w:type="dxa"/>
          <w:jc w:val="center"/>
        </w:trPr>
        <w:tc>
          <w:tcPr>
            <w:tcW w:w="0" w:type="auto"/>
            <w:tcBorders/>
            <w:shd w:val="clear" w:color="auto" w:fill="ffffff"/>
            <w:vAlign w:val="center"/>
            <w:hideMark/>
          </w:tcPr>
          <w:p>
            <w:pPr>
              <w:pStyle w:val="style157"/>
              <w:rPr/>
            </w:pPr>
            <w:r>
              <w:t>B-</w:t>
            </w:r>
            <w:r>
              <w:t>Noveon</w:t>
            </w:r>
            <w:r>
              <w:t xml:space="preserve"> AA1 </w:t>
            </w:r>
            <w:r>
              <w:t>Polycarbophil</w:t>
            </w:r>
          </w:p>
        </w:tc>
        <w:tc>
          <w:tcPr>
            <w:tcW w:w="0" w:type="auto"/>
            <w:tcBorders/>
            <w:shd w:val="clear" w:color="auto" w:fill="ffffff"/>
            <w:vAlign w:val="center"/>
            <w:hideMark/>
          </w:tcPr>
          <w:p>
            <w:pPr>
              <w:pStyle w:val="style157"/>
              <w:rPr/>
            </w:pPr>
            <w:r>
              <w:t>1314.24</w:t>
            </w:r>
          </w:p>
        </w:tc>
        <w:tc>
          <w:tcPr>
            <w:tcW w:w="0" w:type="auto"/>
            <w:tcBorders/>
            <w:shd w:val="clear" w:color="auto" w:fill="ffffff"/>
            <w:vAlign w:val="center"/>
            <w:hideMark/>
          </w:tcPr>
          <w:p>
            <w:pPr>
              <w:pStyle w:val="style157"/>
              <w:rPr/>
            </w:pPr>
            <w:r>
              <w:t>1</w:t>
            </w:r>
          </w:p>
        </w:tc>
        <w:tc>
          <w:tcPr>
            <w:tcW w:w="0" w:type="auto"/>
            <w:tcBorders/>
            <w:shd w:val="clear" w:color="auto" w:fill="ffffff"/>
            <w:vAlign w:val="center"/>
            <w:hideMark/>
          </w:tcPr>
          <w:p>
            <w:pPr>
              <w:pStyle w:val="style157"/>
              <w:rPr/>
            </w:pPr>
            <w:r>
              <w:t>1314.24</w:t>
            </w:r>
          </w:p>
        </w:tc>
        <w:tc>
          <w:tcPr>
            <w:tcW w:w="0" w:type="auto"/>
            <w:tcBorders/>
            <w:shd w:val="clear" w:color="auto" w:fill="ffffff"/>
            <w:vAlign w:val="center"/>
            <w:hideMark/>
          </w:tcPr>
          <w:p>
            <w:pPr>
              <w:pStyle w:val="style157"/>
              <w:rPr/>
            </w:pPr>
            <w:r>
              <w:t>8.31</w:t>
            </w:r>
          </w:p>
        </w:tc>
        <w:tc>
          <w:tcPr>
            <w:tcW w:w="0" w:type="auto"/>
            <w:tcBorders/>
            <w:shd w:val="clear" w:color="auto" w:fill="ffffff"/>
            <w:vAlign w:val="center"/>
            <w:hideMark/>
          </w:tcPr>
          <w:p>
            <w:pPr>
              <w:pStyle w:val="style157"/>
              <w:rPr/>
            </w:pPr>
            <w:r>
              <w:t>0.0149</w:t>
            </w:r>
          </w:p>
        </w:tc>
        <w:tc>
          <w:tcPr>
            <w:tcW w:w="0" w:type="auto"/>
            <w:tcBorders/>
            <w:shd w:val="clear" w:color="auto" w:fill="ffffff"/>
            <w:vAlign w:val="center"/>
            <w:hideMark/>
          </w:tcPr>
          <w:p>
            <w:pPr>
              <w:pStyle w:val="style157"/>
              <w:rPr/>
            </w:pPr>
          </w:p>
        </w:tc>
      </w:tr>
      <w:tr>
        <w:tblPrEx/>
        <w:trPr>
          <w:tblCellSpacing w:w="15" w:type="dxa"/>
          <w:jc w:val="center"/>
        </w:trPr>
        <w:tc>
          <w:tcPr>
            <w:tcW w:w="0" w:type="auto"/>
            <w:tcBorders/>
            <w:shd w:val="clear" w:color="auto" w:fill="ffffff"/>
            <w:vAlign w:val="center"/>
            <w:hideMark/>
          </w:tcPr>
          <w:p>
            <w:pPr>
              <w:pStyle w:val="style157"/>
              <w:rPr/>
            </w:pPr>
            <w:r>
              <w:t>C-Homogenization Cycles</w:t>
            </w:r>
          </w:p>
        </w:tc>
        <w:tc>
          <w:tcPr>
            <w:tcW w:w="0" w:type="auto"/>
            <w:tcBorders/>
            <w:shd w:val="clear" w:color="auto" w:fill="ffffff"/>
            <w:vAlign w:val="center"/>
            <w:hideMark/>
          </w:tcPr>
          <w:p>
            <w:pPr>
              <w:pStyle w:val="style157"/>
              <w:rPr/>
            </w:pPr>
            <w:r>
              <w:t>415.00</w:t>
            </w:r>
          </w:p>
        </w:tc>
        <w:tc>
          <w:tcPr>
            <w:tcW w:w="0" w:type="auto"/>
            <w:tcBorders/>
            <w:shd w:val="clear" w:color="auto" w:fill="ffffff"/>
            <w:vAlign w:val="center"/>
            <w:hideMark/>
          </w:tcPr>
          <w:p>
            <w:pPr>
              <w:pStyle w:val="style157"/>
              <w:rPr/>
            </w:pPr>
            <w:r>
              <w:t>1</w:t>
            </w:r>
          </w:p>
        </w:tc>
        <w:tc>
          <w:tcPr>
            <w:tcW w:w="0" w:type="auto"/>
            <w:tcBorders/>
            <w:shd w:val="clear" w:color="auto" w:fill="ffffff"/>
            <w:vAlign w:val="center"/>
            <w:hideMark/>
          </w:tcPr>
          <w:p>
            <w:pPr>
              <w:pStyle w:val="style157"/>
              <w:rPr/>
            </w:pPr>
            <w:r>
              <w:t>415.00</w:t>
            </w:r>
          </w:p>
        </w:tc>
        <w:tc>
          <w:tcPr>
            <w:tcW w:w="0" w:type="auto"/>
            <w:tcBorders/>
            <w:shd w:val="clear" w:color="auto" w:fill="ffffff"/>
            <w:vAlign w:val="center"/>
            <w:hideMark/>
          </w:tcPr>
          <w:p>
            <w:pPr>
              <w:pStyle w:val="style157"/>
              <w:rPr/>
            </w:pPr>
            <w:r>
              <w:t>2.62</w:t>
            </w:r>
          </w:p>
        </w:tc>
        <w:tc>
          <w:tcPr>
            <w:tcW w:w="0" w:type="auto"/>
            <w:tcBorders/>
            <w:shd w:val="clear" w:color="auto" w:fill="ffffff"/>
            <w:vAlign w:val="center"/>
            <w:hideMark/>
          </w:tcPr>
          <w:p>
            <w:pPr>
              <w:pStyle w:val="style157"/>
              <w:rPr/>
            </w:pPr>
            <w:r>
              <w:t>0.1335</w:t>
            </w:r>
          </w:p>
        </w:tc>
        <w:tc>
          <w:tcPr>
            <w:tcW w:w="0" w:type="auto"/>
            <w:tcBorders/>
            <w:shd w:val="clear" w:color="auto" w:fill="ffffff"/>
            <w:vAlign w:val="center"/>
            <w:hideMark/>
          </w:tcPr>
          <w:p>
            <w:pPr>
              <w:pStyle w:val="style157"/>
              <w:rPr/>
            </w:pPr>
          </w:p>
        </w:tc>
      </w:tr>
      <w:tr>
        <w:tblPrEx/>
        <w:trPr>
          <w:tblCellSpacing w:w="15" w:type="dxa"/>
          <w:jc w:val="center"/>
        </w:trPr>
        <w:tc>
          <w:tcPr>
            <w:tcW w:w="0" w:type="auto"/>
            <w:tcBorders/>
            <w:shd w:val="clear" w:color="auto" w:fill="ffffff"/>
            <w:vAlign w:val="center"/>
            <w:hideMark/>
          </w:tcPr>
          <w:p>
            <w:pPr>
              <w:pStyle w:val="style157"/>
              <w:rPr/>
            </w:pPr>
            <w:r>
              <w:t>Residual</w:t>
            </w:r>
          </w:p>
        </w:tc>
        <w:tc>
          <w:tcPr>
            <w:tcW w:w="0" w:type="auto"/>
            <w:tcBorders/>
            <w:shd w:val="clear" w:color="auto" w:fill="ffffff"/>
            <w:vAlign w:val="center"/>
            <w:hideMark/>
          </w:tcPr>
          <w:p>
            <w:pPr>
              <w:pStyle w:val="style157"/>
              <w:rPr/>
            </w:pPr>
            <w:r>
              <w:t>1739.70</w:t>
            </w:r>
          </w:p>
        </w:tc>
        <w:tc>
          <w:tcPr>
            <w:tcW w:w="0" w:type="auto"/>
            <w:tcBorders/>
            <w:shd w:val="clear" w:color="auto" w:fill="ffffff"/>
            <w:vAlign w:val="center"/>
            <w:hideMark/>
          </w:tcPr>
          <w:p>
            <w:pPr>
              <w:pStyle w:val="style157"/>
              <w:rPr/>
            </w:pPr>
            <w:r>
              <w:t>11</w:t>
            </w:r>
          </w:p>
        </w:tc>
        <w:tc>
          <w:tcPr>
            <w:tcW w:w="0" w:type="auto"/>
            <w:tcBorders/>
            <w:shd w:val="clear" w:color="auto" w:fill="ffffff"/>
            <w:vAlign w:val="center"/>
            <w:hideMark/>
          </w:tcPr>
          <w:p>
            <w:pPr>
              <w:pStyle w:val="style157"/>
              <w:rPr/>
            </w:pPr>
            <w:r>
              <w:t>158.15</w:t>
            </w:r>
          </w:p>
        </w:tc>
        <w:tc>
          <w:tcPr>
            <w:tcW w:w="0" w:type="auto"/>
            <w:tcBorders/>
            <w:shd w:val="clear" w:color="auto" w:fill="ffffff"/>
            <w:vAlign w:val="center"/>
            <w:hideMark/>
          </w:tcPr>
          <w:p>
            <w:pPr>
              <w:pStyle w:val="style157"/>
              <w:rPr/>
            </w:pPr>
          </w:p>
        </w:tc>
        <w:tc>
          <w:tcPr>
            <w:tcW w:w="0" w:type="auto"/>
            <w:tcBorders/>
            <w:shd w:val="clear" w:color="auto" w:fill="ffffff"/>
            <w:vAlign w:val="center"/>
            <w:hideMark/>
          </w:tcPr>
          <w:p>
            <w:pPr>
              <w:pStyle w:val="style157"/>
              <w:rPr>
                <w:sz w:val="20"/>
                <w:szCs w:val="20"/>
              </w:rPr>
            </w:pPr>
          </w:p>
        </w:tc>
        <w:tc>
          <w:tcPr>
            <w:tcW w:w="0" w:type="auto"/>
            <w:tcBorders/>
            <w:shd w:val="clear" w:color="auto" w:fill="ffffff"/>
            <w:vAlign w:val="center"/>
            <w:hideMark/>
          </w:tcPr>
          <w:p>
            <w:pPr>
              <w:pStyle w:val="style157"/>
              <w:rPr>
                <w:sz w:val="20"/>
                <w:szCs w:val="20"/>
              </w:rPr>
            </w:pPr>
          </w:p>
        </w:tc>
      </w:tr>
      <w:tr>
        <w:tblPrEx/>
        <w:trPr>
          <w:tblCellSpacing w:w="15" w:type="dxa"/>
          <w:jc w:val="center"/>
        </w:trPr>
        <w:tc>
          <w:tcPr>
            <w:tcW w:w="0" w:type="auto"/>
            <w:tcBorders/>
            <w:shd w:val="clear" w:color="auto" w:fill="ffffff"/>
            <w:vAlign w:val="center"/>
            <w:hideMark/>
          </w:tcPr>
          <w:p>
            <w:pPr>
              <w:pStyle w:val="style157"/>
              <w:rPr/>
            </w:pPr>
            <w:r>
              <w:t>Lack of Fit</w:t>
            </w:r>
          </w:p>
        </w:tc>
        <w:tc>
          <w:tcPr>
            <w:tcW w:w="0" w:type="auto"/>
            <w:tcBorders/>
            <w:shd w:val="clear" w:color="auto" w:fill="ffffff"/>
            <w:vAlign w:val="center"/>
            <w:hideMark/>
          </w:tcPr>
          <w:p>
            <w:pPr>
              <w:pStyle w:val="style157"/>
              <w:rPr/>
            </w:pPr>
            <w:r>
              <w:t>1595.27</w:t>
            </w:r>
          </w:p>
        </w:tc>
        <w:tc>
          <w:tcPr>
            <w:tcW w:w="0" w:type="auto"/>
            <w:tcBorders/>
            <w:shd w:val="clear" w:color="auto" w:fill="ffffff"/>
            <w:vAlign w:val="center"/>
            <w:hideMark/>
          </w:tcPr>
          <w:p>
            <w:pPr>
              <w:pStyle w:val="style157"/>
              <w:rPr/>
            </w:pPr>
            <w:r>
              <w:t>7</w:t>
            </w:r>
          </w:p>
        </w:tc>
        <w:tc>
          <w:tcPr>
            <w:tcW w:w="0" w:type="auto"/>
            <w:tcBorders/>
            <w:shd w:val="clear" w:color="auto" w:fill="ffffff"/>
            <w:vAlign w:val="center"/>
            <w:hideMark/>
          </w:tcPr>
          <w:p>
            <w:pPr>
              <w:pStyle w:val="style157"/>
              <w:rPr/>
            </w:pPr>
            <w:r>
              <w:t>227.90</w:t>
            </w:r>
          </w:p>
        </w:tc>
        <w:tc>
          <w:tcPr>
            <w:tcW w:w="0" w:type="auto"/>
            <w:tcBorders/>
            <w:shd w:val="clear" w:color="auto" w:fill="ffffff"/>
            <w:vAlign w:val="center"/>
            <w:hideMark/>
          </w:tcPr>
          <w:p>
            <w:pPr>
              <w:pStyle w:val="style157"/>
              <w:rPr/>
            </w:pPr>
            <w:r>
              <w:t>6.31</w:t>
            </w:r>
          </w:p>
        </w:tc>
        <w:tc>
          <w:tcPr>
            <w:tcW w:w="0" w:type="auto"/>
            <w:tcBorders/>
            <w:shd w:val="clear" w:color="auto" w:fill="ffffff"/>
            <w:vAlign w:val="center"/>
            <w:hideMark/>
          </w:tcPr>
          <w:p>
            <w:pPr>
              <w:pStyle w:val="style157"/>
              <w:rPr/>
            </w:pPr>
            <w:r>
              <w:t>0.08</w:t>
            </w:r>
            <w:r>
              <w:t>71</w:t>
            </w:r>
          </w:p>
        </w:tc>
        <w:tc>
          <w:tcPr>
            <w:tcW w:w="0" w:type="auto"/>
            <w:tcBorders/>
            <w:shd w:val="clear" w:color="auto" w:fill="ffffff"/>
            <w:vAlign w:val="center"/>
            <w:hideMark/>
          </w:tcPr>
          <w:p>
            <w:pPr>
              <w:pStyle w:val="style157"/>
              <w:rPr/>
            </w:pPr>
            <w:r>
              <w:t>Non-</w:t>
            </w:r>
            <w:r>
              <w:t>significant</w:t>
            </w:r>
          </w:p>
        </w:tc>
      </w:tr>
      <w:tr>
        <w:tblPrEx/>
        <w:trPr>
          <w:tblCellSpacing w:w="15" w:type="dxa"/>
          <w:jc w:val="center"/>
        </w:trPr>
        <w:tc>
          <w:tcPr>
            <w:tcW w:w="0" w:type="auto"/>
            <w:tcBorders/>
            <w:shd w:val="clear" w:color="auto" w:fill="ffffff"/>
            <w:vAlign w:val="center"/>
            <w:hideMark/>
          </w:tcPr>
          <w:p>
            <w:pPr>
              <w:pStyle w:val="style157"/>
              <w:rPr/>
            </w:pPr>
            <w:r>
              <w:t>Pure Error</w:t>
            </w:r>
          </w:p>
        </w:tc>
        <w:tc>
          <w:tcPr>
            <w:tcW w:w="0" w:type="auto"/>
            <w:tcBorders/>
            <w:shd w:val="clear" w:color="auto" w:fill="ffffff"/>
            <w:vAlign w:val="center"/>
            <w:hideMark/>
          </w:tcPr>
          <w:p>
            <w:pPr>
              <w:pStyle w:val="style157"/>
              <w:rPr/>
            </w:pPr>
            <w:r>
              <w:t>144.43</w:t>
            </w:r>
          </w:p>
        </w:tc>
        <w:tc>
          <w:tcPr>
            <w:tcW w:w="0" w:type="auto"/>
            <w:tcBorders/>
            <w:shd w:val="clear" w:color="auto" w:fill="ffffff"/>
            <w:vAlign w:val="center"/>
            <w:hideMark/>
          </w:tcPr>
          <w:p>
            <w:pPr>
              <w:pStyle w:val="style157"/>
              <w:rPr/>
            </w:pPr>
            <w:r>
              <w:t>4</w:t>
            </w:r>
          </w:p>
        </w:tc>
        <w:tc>
          <w:tcPr>
            <w:tcW w:w="0" w:type="auto"/>
            <w:tcBorders/>
            <w:shd w:val="clear" w:color="auto" w:fill="ffffff"/>
            <w:vAlign w:val="center"/>
            <w:hideMark/>
          </w:tcPr>
          <w:p>
            <w:pPr>
              <w:pStyle w:val="style157"/>
              <w:rPr/>
            </w:pPr>
            <w:r>
              <w:t>36.11</w:t>
            </w:r>
          </w:p>
        </w:tc>
        <w:tc>
          <w:tcPr>
            <w:tcW w:w="0" w:type="auto"/>
            <w:tcBorders/>
            <w:shd w:val="clear" w:color="auto" w:fill="ffffff"/>
            <w:vAlign w:val="center"/>
            <w:hideMark/>
          </w:tcPr>
          <w:p>
            <w:pPr>
              <w:pStyle w:val="style157"/>
              <w:rPr/>
            </w:pPr>
          </w:p>
        </w:tc>
        <w:tc>
          <w:tcPr>
            <w:tcW w:w="0" w:type="auto"/>
            <w:tcBorders/>
            <w:shd w:val="clear" w:color="auto" w:fill="ffffff"/>
            <w:vAlign w:val="center"/>
            <w:hideMark/>
          </w:tcPr>
          <w:p>
            <w:pPr>
              <w:pStyle w:val="style157"/>
              <w:rPr>
                <w:sz w:val="20"/>
                <w:szCs w:val="20"/>
              </w:rPr>
            </w:pPr>
          </w:p>
        </w:tc>
        <w:tc>
          <w:tcPr>
            <w:tcW w:w="0" w:type="auto"/>
            <w:tcBorders/>
            <w:shd w:val="clear" w:color="auto" w:fill="ffffff"/>
            <w:vAlign w:val="center"/>
            <w:hideMark/>
          </w:tcPr>
          <w:p>
            <w:pPr>
              <w:pStyle w:val="style157"/>
              <w:rPr>
                <w:sz w:val="20"/>
                <w:szCs w:val="20"/>
              </w:rPr>
            </w:pPr>
          </w:p>
        </w:tc>
      </w:tr>
      <w:tr>
        <w:tblPrEx/>
        <w:trPr>
          <w:tblCellSpacing w:w="15" w:type="dxa"/>
          <w:jc w:val="center"/>
        </w:trPr>
        <w:tc>
          <w:tcPr>
            <w:tcW w:w="0" w:type="auto"/>
            <w:tcBorders/>
            <w:shd w:val="clear" w:color="auto" w:fill="ffffff"/>
            <w:vAlign w:val="center"/>
            <w:hideMark/>
          </w:tcPr>
          <w:p>
            <w:pPr>
              <w:pStyle w:val="style157"/>
              <w:rPr/>
            </w:pPr>
            <w:r>
              <w:t>Cor</w:t>
            </w:r>
            <w:r>
              <w:t xml:space="preserve"> Total</w:t>
            </w:r>
          </w:p>
        </w:tc>
        <w:tc>
          <w:tcPr>
            <w:tcW w:w="0" w:type="auto"/>
            <w:tcBorders/>
            <w:shd w:val="clear" w:color="auto" w:fill="ffffff"/>
            <w:vAlign w:val="center"/>
            <w:hideMark/>
          </w:tcPr>
          <w:p>
            <w:pPr>
              <w:pStyle w:val="style157"/>
              <w:rPr/>
            </w:pPr>
            <w:r>
              <w:t>3804.94</w:t>
            </w:r>
          </w:p>
        </w:tc>
        <w:tc>
          <w:tcPr>
            <w:tcW w:w="0" w:type="auto"/>
            <w:tcBorders/>
            <w:shd w:val="clear" w:color="auto" w:fill="ffffff"/>
            <w:vAlign w:val="center"/>
            <w:hideMark/>
          </w:tcPr>
          <w:p>
            <w:pPr>
              <w:pStyle w:val="style157"/>
              <w:rPr/>
            </w:pPr>
            <w:r>
              <w:t>14</w:t>
            </w:r>
          </w:p>
        </w:tc>
        <w:tc>
          <w:tcPr>
            <w:tcW w:w="0" w:type="auto"/>
            <w:tcBorders/>
            <w:shd w:val="clear" w:color="auto" w:fill="ffffff"/>
            <w:vAlign w:val="center"/>
            <w:hideMark/>
          </w:tcPr>
          <w:p>
            <w:pPr>
              <w:pStyle w:val="style157"/>
              <w:rPr/>
            </w:pPr>
          </w:p>
        </w:tc>
        <w:tc>
          <w:tcPr>
            <w:tcW w:w="0" w:type="auto"/>
            <w:tcBorders/>
            <w:shd w:val="clear" w:color="auto" w:fill="ffffff"/>
            <w:vAlign w:val="center"/>
            <w:hideMark/>
          </w:tcPr>
          <w:p>
            <w:pPr>
              <w:pStyle w:val="style157"/>
              <w:rPr>
                <w:sz w:val="20"/>
                <w:szCs w:val="20"/>
              </w:rPr>
            </w:pPr>
          </w:p>
        </w:tc>
        <w:tc>
          <w:tcPr>
            <w:tcW w:w="0" w:type="auto"/>
            <w:tcBorders/>
            <w:shd w:val="clear" w:color="auto" w:fill="ffffff"/>
            <w:vAlign w:val="center"/>
            <w:hideMark/>
          </w:tcPr>
          <w:p>
            <w:pPr>
              <w:pStyle w:val="style157"/>
              <w:rPr>
                <w:sz w:val="20"/>
                <w:szCs w:val="20"/>
              </w:rPr>
            </w:pPr>
          </w:p>
        </w:tc>
        <w:tc>
          <w:tcPr>
            <w:tcW w:w="0" w:type="auto"/>
            <w:tcBorders/>
            <w:shd w:val="clear" w:color="auto" w:fill="ffffff"/>
            <w:vAlign w:val="center"/>
            <w:hideMark/>
          </w:tcPr>
          <w:p>
            <w:pPr>
              <w:pStyle w:val="style157"/>
              <w:rPr>
                <w:sz w:val="20"/>
                <w:szCs w:val="20"/>
              </w:rPr>
            </w:pPr>
          </w:p>
        </w:tc>
      </w:tr>
    </w:tbl>
    <w:p>
      <w:pPr>
        <w:pStyle w:val="style66"/>
        <w:spacing w:lineRule="auto" w:line="276"/>
        <w:ind w:right="730"/>
        <w:jc w:val="both"/>
        <w:rPr>
          <w:rFonts w:eastAsia="Calibri"/>
        </w:rPr>
      </w:pPr>
      <w:r>
        <w:rPr>
          <w:rFonts w:eastAsia="Calibri"/>
        </w:rPr>
        <w:t xml:space="preserve">Thing coding is </w:t>
      </w:r>
      <w:r>
        <w:rPr>
          <w:rFonts w:eastAsia="Calibri"/>
        </w:rPr>
        <w:t>Coded</w:t>
      </w:r>
      <w:r>
        <w:rPr>
          <w:rFonts w:eastAsia="Calibri"/>
        </w:rPr>
        <w:t>.</w:t>
      </w:r>
    </w:p>
    <w:p>
      <w:pPr>
        <w:pStyle w:val="style66"/>
        <w:spacing w:lineRule="auto" w:line="276"/>
        <w:ind w:right="730"/>
        <w:jc w:val="both"/>
        <w:rPr>
          <w:rFonts w:eastAsia="Calibri"/>
        </w:rPr>
      </w:pPr>
      <w:r>
        <w:rPr>
          <w:rFonts w:eastAsia="Calibri"/>
        </w:rPr>
        <w:t>Sum of squares is kind III - Partial</w:t>
      </w:r>
    </w:p>
    <w:p>
      <w:pPr>
        <w:pStyle w:val="style66"/>
        <w:spacing w:lineRule="auto" w:line="276"/>
        <w:ind w:right="730"/>
        <w:jc w:val="both"/>
        <w:rPr>
          <w:rFonts w:eastAsia="Calibri"/>
        </w:rPr>
      </w:pPr>
      <w:r>
        <w:rPr>
          <w:rFonts w:eastAsia="Calibri"/>
        </w:rPr>
        <w:t>The model F-fee of four.35 implies the model is massive. There is most effective a 2.98% chance that an F-price this huge ought to arise due to noise.</w:t>
      </w:r>
    </w:p>
    <w:p>
      <w:pPr>
        <w:pStyle w:val="style66"/>
        <w:spacing w:lineRule="auto" w:line="276"/>
        <w:ind w:right="730"/>
        <w:jc w:val="both"/>
        <w:rPr>
          <w:rFonts w:eastAsia="Calibri"/>
        </w:rPr>
      </w:pPr>
      <w:r>
        <w:rPr>
          <w:rFonts w:eastAsia="Calibri"/>
        </w:rPr>
        <w:t xml:space="preserve">P-values much less than zero.0500 indicate model phrases are substantial. In this situation B is a big model term. Values extra than </w:t>
      </w:r>
      <w:r>
        <w:rPr>
          <w:rFonts w:eastAsia="Calibri"/>
        </w:rPr>
        <w:t>zero.A</w:t>
      </w:r>
      <w:r>
        <w:rPr>
          <w:rFonts w:eastAsia="Calibri"/>
        </w:rPr>
        <w:t xml:space="preserve"> thousand imply the version terms are not considerable. If there are many insignificant version phrases (not counting those required to support hierarchy), version discount may improve your version.</w:t>
      </w:r>
    </w:p>
    <w:p>
      <w:pPr>
        <w:pStyle w:val="style66"/>
        <w:spacing w:lineRule="auto" w:line="276"/>
        <w:ind w:right="730"/>
        <w:jc w:val="both"/>
        <w:rPr>
          <w:rFonts w:eastAsia="Calibri"/>
        </w:rPr>
      </w:pPr>
      <w:r>
        <w:rPr>
          <w:rFonts w:eastAsia="Calibri"/>
        </w:rPr>
        <w:t>The lack of healthy F-price of 6.31 implies the lack of match is huge. There may be simplest a 4.71% chance that a loss of fit F-fee this huge should occur because of noise. Significant loss of fit is awful we want the model to suit.</w:t>
      </w:r>
    </w:p>
    <w:p>
      <w:pPr>
        <w:pStyle w:val="style66"/>
        <w:spacing w:lineRule="auto" w:line="276"/>
        <w:ind w:right="730"/>
        <w:jc w:val="both"/>
        <w:rPr>
          <w:rFonts w:eastAsia="Calibri"/>
        </w:rPr>
      </w:pPr>
      <w:r>
        <w:rPr>
          <w:rFonts w:eastAsia="Calibri"/>
        </w:rPr>
        <w:t>ANOVA for Linear version</w:t>
      </w:r>
    </w:p>
    <w:p>
      <w:pPr>
        <w:pStyle w:val="style66"/>
        <w:spacing w:lineRule="auto" w:line="276"/>
        <w:ind w:right="730"/>
        <w:jc w:val="both"/>
        <w:rPr>
          <w:rFonts w:eastAsia="Calibri"/>
        </w:rPr>
      </w:pPr>
      <w:r>
        <w:rPr>
          <w:rFonts w:eastAsia="Calibri"/>
        </w:rPr>
        <w:t>Reaction 2: Cumulative Drug release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85"/>
        <w:gridCol w:w="1588"/>
        <w:gridCol w:w="276"/>
        <w:gridCol w:w="1319"/>
        <w:gridCol w:w="727"/>
        <w:gridCol w:w="730"/>
        <w:gridCol w:w="1515"/>
      </w:tblGrid>
      <w:tr>
        <w:trPr>
          <w:tblCellSpacing w:w="15" w:type="dxa"/>
        </w:trPr>
        <w:tc>
          <w:tcPr>
            <w:tcW w:w="0" w:type="auto"/>
            <w:tcBorders/>
            <w:shd w:val="clear" w:color="auto" w:fill="ffffff"/>
            <w:vAlign w:val="center"/>
            <w:hideMark/>
          </w:tcPr>
          <w:p>
            <w:pPr>
              <w:pStyle w:val="style157"/>
              <w:rPr/>
            </w:pPr>
            <w:r>
              <w:t>Source</w:t>
            </w:r>
          </w:p>
        </w:tc>
        <w:tc>
          <w:tcPr>
            <w:tcW w:w="0" w:type="auto"/>
            <w:tcBorders/>
            <w:shd w:val="clear" w:color="auto" w:fill="ffffff"/>
            <w:vAlign w:val="center"/>
            <w:hideMark/>
          </w:tcPr>
          <w:p>
            <w:pPr>
              <w:pStyle w:val="style157"/>
              <w:rPr/>
            </w:pPr>
            <w:r>
              <w:t>Sum of Squares</w:t>
            </w:r>
          </w:p>
        </w:tc>
        <w:tc>
          <w:tcPr>
            <w:tcW w:w="0" w:type="auto"/>
            <w:tcBorders/>
            <w:shd w:val="clear" w:color="auto" w:fill="ffffff"/>
            <w:vAlign w:val="center"/>
            <w:hideMark/>
          </w:tcPr>
          <w:p>
            <w:pPr>
              <w:pStyle w:val="style157"/>
              <w:rPr/>
            </w:pPr>
            <w:r>
              <w:t>df</w:t>
            </w:r>
          </w:p>
        </w:tc>
        <w:tc>
          <w:tcPr>
            <w:tcW w:w="0" w:type="auto"/>
            <w:tcBorders/>
            <w:shd w:val="clear" w:color="auto" w:fill="ffffff"/>
            <w:vAlign w:val="center"/>
            <w:hideMark/>
          </w:tcPr>
          <w:p>
            <w:pPr>
              <w:pStyle w:val="style157"/>
              <w:rPr/>
            </w:pPr>
            <w:r>
              <w:t>Mean Square</w:t>
            </w:r>
          </w:p>
        </w:tc>
        <w:tc>
          <w:tcPr>
            <w:tcW w:w="0" w:type="auto"/>
            <w:tcBorders/>
            <w:shd w:val="clear" w:color="auto" w:fill="ffffff"/>
            <w:vAlign w:val="center"/>
            <w:hideMark/>
          </w:tcPr>
          <w:p>
            <w:pPr>
              <w:pStyle w:val="style157"/>
              <w:rPr/>
            </w:pPr>
            <w:r>
              <w:t>F-value</w:t>
            </w:r>
          </w:p>
        </w:tc>
        <w:tc>
          <w:tcPr>
            <w:tcW w:w="0" w:type="auto"/>
            <w:tcBorders/>
            <w:shd w:val="clear" w:color="auto" w:fill="ffffff"/>
            <w:vAlign w:val="center"/>
            <w:hideMark/>
          </w:tcPr>
          <w:p>
            <w:pPr>
              <w:pStyle w:val="style157"/>
              <w:rPr/>
            </w:pPr>
            <w:r>
              <w:t>p-value</w:t>
            </w:r>
          </w:p>
        </w:tc>
        <w:tc>
          <w:tcPr>
            <w:tcW w:w="0" w:type="auto"/>
            <w:tcBorders/>
            <w:shd w:val="clear" w:color="auto" w:fill="ffffff"/>
            <w:vAlign w:val="center"/>
            <w:hideMark/>
          </w:tcPr>
          <w:p>
            <w:pPr>
              <w:pStyle w:val="style157"/>
              <w:rPr/>
            </w:pPr>
          </w:p>
        </w:tc>
      </w:tr>
      <w:tr>
        <w:tblPrEx/>
        <w:trPr>
          <w:tblCellSpacing w:w="15" w:type="dxa"/>
        </w:trPr>
        <w:tc>
          <w:tcPr>
            <w:tcW w:w="0" w:type="auto"/>
            <w:tcBorders/>
            <w:shd w:val="clear" w:color="auto" w:fill="ffffff"/>
            <w:vAlign w:val="center"/>
            <w:hideMark/>
          </w:tcPr>
          <w:p>
            <w:pPr>
              <w:pStyle w:val="style157"/>
              <w:rPr/>
            </w:pPr>
            <w:r>
              <w:t>Model</w:t>
            </w:r>
          </w:p>
        </w:tc>
        <w:tc>
          <w:tcPr>
            <w:tcW w:w="0" w:type="auto"/>
            <w:tcBorders/>
            <w:shd w:val="clear" w:color="auto" w:fill="ffffff"/>
            <w:vAlign w:val="center"/>
            <w:hideMark/>
          </w:tcPr>
          <w:p>
            <w:pPr>
              <w:pStyle w:val="style157"/>
              <w:rPr/>
            </w:pPr>
            <w:r>
              <w:t>160.85</w:t>
            </w:r>
          </w:p>
        </w:tc>
        <w:tc>
          <w:tcPr>
            <w:tcW w:w="0" w:type="auto"/>
            <w:tcBorders/>
            <w:shd w:val="clear" w:color="auto" w:fill="ffffff"/>
            <w:vAlign w:val="center"/>
            <w:hideMark/>
          </w:tcPr>
          <w:p>
            <w:pPr>
              <w:pStyle w:val="style157"/>
              <w:rPr/>
            </w:pPr>
            <w:r>
              <w:t>3</w:t>
            </w:r>
          </w:p>
        </w:tc>
        <w:tc>
          <w:tcPr>
            <w:tcW w:w="0" w:type="auto"/>
            <w:tcBorders/>
            <w:shd w:val="clear" w:color="auto" w:fill="ffffff"/>
            <w:vAlign w:val="center"/>
            <w:hideMark/>
          </w:tcPr>
          <w:p>
            <w:pPr>
              <w:pStyle w:val="style157"/>
              <w:rPr/>
            </w:pPr>
            <w:r>
              <w:t>53.62</w:t>
            </w:r>
          </w:p>
        </w:tc>
        <w:tc>
          <w:tcPr>
            <w:tcW w:w="0" w:type="auto"/>
            <w:tcBorders/>
            <w:shd w:val="clear" w:color="auto" w:fill="ffffff"/>
            <w:vAlign w:val="center"/>
            <w:hideMark/>
          </w:tcPr>
          <w:p>
            <w:pPr>
              <w:pStyle w:val="style157"/>
              <w:rPr/>
            </w:pPr>
            <w:r>
              <w:t>12.36</w:t>
            </w:r>
          </w:p>
        </w:tc>
        <w:tc>
          <w:tcPr>
            <w:tcW w:w="0" w:type="auto"/>
            <w:tcBorders/>
            <w:shd w:val="clear" w:color="auto" w:fill="ffffff"/>
            <w:vAlign w:val="center"/>
            <w:hideMark/>
          </w:tcPr>
          <w:p>
            <w:pPr>
              <w:pStyle w:val="style157"/>
              <w:rPr/>
            </w:pPr>
            <w:r>
              <w:t>0.0008</w:t>
            </w:r>
          </w:p>
        </w:tc>
        <w:tc>
          <w:tcPr>
            <w:tcW w:w="0" w:type="auto"/>
            <w:tcBorders/>
            <w:shd w:val="clear" w:color="auto" w:fill="ffffff"/>
            <w:vAlign w:val="center"/>
            <w:hideMark/>
          </w:tcPr>
          <w:p>
            <w:pPr>
              <w:pStyle w:val="style157"/>
              <w:rPr/>
            </w:pPr>
            <w:r>
              <w:t>significant</w:t>
            </w:r>
          </w:p>
        </w:tc>
      </w:tr>
      <w:tr>
        <w:tblPrEx/>
        <w:trPr>
          <w:tblCellSpacing w:w="15" w:type="dxa"/>
        </w:trPr>
        <w:tc>
          <w:tcPr>
            <w:tcW w:w="0" w:type="auto"/>
            <w:tcBorders/>
            <w:shd w:val="clear" w:color="auto" w:fill="ffffff"/>
            <w:vAlign w:val="center"/>
            <w:hideMark/>
          </w:tcPr>
          <w:p>
            <w:pPr>
              <w:pStyle w:val="style157"/>
              <w:rPr/>
            </w:pPr>
            <w:r>
              <w:t>A-</w:t>
            </w:r>
            <w:r>
              <w:t>Cholesterol:Surfactant</w:t>
            </w:r>
            <w:r>
              <w:t xml:space="preserve"> Ratio</w:t>
            </w:r>
          </w:p>
        </w:tc>
        <w:tc>
          <w:tcPr>
            <w:tcW w:w="0" w:type="auto"/>
            <w:tcBorders/>
            <w:shd w:val="clear" w:color="auto" w:fill="ffffff"/>
            <w:vAlign w:val="center"/>
            <w:hideMark/>
          </w:tcPr>
          <w:p>
            <w:pPr>
              <w:pStyle w:val="style157"/>
              <w:rPr/>
            </w:pPr>
            <w:r>
              <w:t>139.49</w:t>
            </w:r>
          </w:p>
        </w:tc>
        <w:tc>
          <w:tcPr>
            <w:tcW w:w="0" w:type="auto"/>
            <w:tcBorders/>
            <w:shd w:val="clear" w:color="auto" w:fill="ffffff"/>
            <w:vAlign w:val="center"/>
            <w:hideMark/>
          </w:tcPr>
          <w:p>
            <w:pPr>
              <w:pStyle w:val="style157"/>
              <w:rPr/>
            </w:pPr>
            <w:r>
              <w:t>1</w:t>
            </w:r>
          </w:p>
        </w:tc>
        <w:tc>
          <w:tcPr>
            <w:tcW w:w="0" w:type="auto"/>
            <w:tcBorders/>
            <w:shd w:val="clear" w:color="auto" w:fill="ffffff"/>
            <w:vAlign w:val="center"/>
            <w:hideMark/>
          </w:tcPr>
          <w:p>
            <w:pPr>
              <w:pStyle w:val="style157"/>
              <w:rPr/>
            </w:pPr>
            <w:r>
              <w:t>139.49</w:t>
            </w:r>
          </w:p>
        </w:tc>
        <w:tc>
          <w:tcPr>
            <w:tcW w:w="0" w:type="auto"/>
            <w:tcBorders/>
            <w:shd w:val="clear" w:color="auto" w:fill="ffffff"/>
            <w:vAlign w:val="center"/>
            <w:hideMark/>
          </w:tcPr>
          <w:p>
            <w:pPr>
              <w:pStyle w:val="style157"/>
              <w:rPr/>
            </w:pPr>
            <w:r>
              <w:t>32.16</w:t>
            </w:r>
          </w:p>
        </w:tc>
        <w:tc>
          <w:tcPr>
            <w:tcW w:w="0" w:type="auto"/>
            <w:tcBorders/>
            <w:shd w:val="clear" w:color="auto" w:fill="ffffff"/>
            <w:vAlign w:val="center"/>
            <w:hideMark/>
          </w:tcPr>
          <w:p>
            <w:pPr>
              <w:pStyle w:val="style157"/>
              <w:rPr/>
            </w:pPr>
            <w:r>
              <w:t>0.0001</w:t>
            </w:r>
          </w:p>
        </w:tc>
        <w:tc>
          <w:tcPr>
            <w:tcW w:w="0" w:type="auto"/>
            <w:tcBorders/>
            <w:shd w:val="clear" w:color="auto" w:fill="ffffff"/>
            <w:vAlign w:val="center"/>
            <w:hideMark/>
          </w:tcPr>
          <w:p>
            <w:pPr>
              <w:pStyle w:val="style157"/>
              <w:rPr/>
            </w:pPr>
          </w:p>
        </w:tc>
      </w:tr>
      <w:tr>
        <w:tblPrEx/>
        <w:trPr>
          <w:tblCellSpacing w:w="15" w:type="dxa"/>
        </w:trPr>
        <w:tc>
          <w:tcPr>
            <w:tcW w:w="0" w:type="auto"/>
            <w:tcBorders/>
            <w:shd w:val="clear" w:color="auto" w:fill="ffffff"/>
            <w:vAlign w:val="center"/>
            <w:hideMark/>
          </w:tcPr>
          <w:p>
            <w:pPr>
              <w:pStyle w:val="style157"/>
              <w:rPr/>
            </w:pPr>
            <w:r>
              <w:t>B-</w:t>
            </w:r>
            <w:r>
              <w:t>Noveon</w:t>
            </w:r>
            <w:r>
              <w:t xml:space="preserve"> AA1 </w:t>
            </w:r>
            <w:r>
              <w:t>Polycarbophil</w:t>
            </w:r>
          </w:p>
        </w:tc>
        <w:tc>
          <w:tcPr>
            <w:tcW w:w="0" w:type="auto"/>
            <w:tcBorders/>
            <w:shd w:val="clear" w:color="auto" w:fill="ffffff"/>
            <w:vAlign w:val="center"/>
            <w:hideMark/>
          </w:tcPr>
          <w:p>
            <w:pPr>
              <w:pStyle w:val="style157"/>
              <w:rPr/>
            </w:pPr>
            <w:r>
              <w:t>4.79</w:t>
            </w:r>
          </w:p>
        </w:tc>
        <w:tc>
          <w:tcPr>
            <w:tcW w:w="0" w:type="auto"/>
            <w:tcBorders/>
            <w:shd w:val="clear" w:color="auto" w:fill="ffffff"/>
            <w:vAlign w:val="center"/>
            <w:hideMark/>
          </w:tcPr>
          <w:p>
            <w:pPr>
              <w:pStyle w:val="style157"/>
              <w:rPr/>
            </w:pPr>
            <w:r>
              <w:t>1</w:t>
            </w:r>
          </w:p>
        </w:tc>
        <w:tc>
          <w:tcPr>
            <w:tcW w:w="0" w:type="auto"/>
            <w:tcBorders/>
            <w:shd w:val="clear" w:color="auto" w:fill="ffffff"/>
            <w:vAlign w:val="center"/>
            <w:hideMark/>
          </w:tcPr>
          <w:p>
            <w:pPr>
              <w:pStyle w:val="style157"/>
              <w:rPr/>
            </w:pPr>
            <w:r>
              <w:t>4.79</w:t>
            </w:r>
          </w:p>
        </w:tc>
        <w:tc>
          <w:tcPr>
            <w:tcW w:w="0" w:type="auto"/>
            <w:tcBorders/>
            <w:shd w:val="clear" w:color="auto" w:fill="ffffff"/>
            <w:vAlign w:val="center"/>
            <w:hideMark/>
          </w:tcPr>
          <w:p>
            <w:pPr>
              <w:pStyle w:val="style157"/>
              <w:rPr/>
            </w:pPr>
            <w:r>
              <w:t>1.10</w:t>
            </w:r>
          </w:p>
        </w:tc>
        <w:tc>
          <w:tcPr>
            <w:tcW w:w="0" w:type="auto"/>
            <w:tcBorders/>
            <w:shd w:val="clear" w:color="auto" w:fill="ffffff"/>
            <w:vAlign w:val="center"/>
            <w:hideMark/>
          </w:tcPr>
          <w:p>
            <w:pPr>
              <w:pStyle w:val="style157"/>
              <w:rPr/>
            </w:pPr>
            <w:r>
              <w:t>0.3159</w:t>
            </w:r>
          </w:p>
        </w:tc>
        <w:tc>
          <w:tcPr>
            <w:tcW w:w="0" w:type="auto"/>
            <w:tcBorders/>
            <w:shd w:val="clear" w:color="auto" w:fill="ffffff"/>
            <w:vAlign w:val="center"/>
            <w:hideMark/>
          </w:tcPr>
          <w:p>
            <w:pPr>
              <w:pStyle w:val="style157"/>
              <w:rPr/>
            </w:pPr>
          </w:p>
        </w:tc>
      </w:tr>
      <w:tr>
        <w:tblPrEx/>
        <w:trPr>
          <w:tblCellSpacing w:w="15" w:type="dxa"/>
        </w:trPr>
        <w:tc>
          <w:tcPr>
            <w:tcW w:w="0" w:type="auto"/>
            <w:tcBorders/>
            <w:shd w:val="clear" w:color="auto" w:fill="ffffff"/>
            <w:vAlign w:val="center"/>
            <w:hideMark/>
          </w:tcPr>
          <w:p>
            <w:pPr>
              <w:pStyle w:val="style157"/>
              <w:rPr/>
            </w:pPr>
            <w:r>
              <w:t>C-Homogenization Cycles</w:t>
            </w:r>
          </w:p>
        </w:tc>
        <w:tc>
          <w:tcPr>
            <w:tcW w:w="0" w:type="auto"/>
            <w:tcBorders/>
            <w:shd w:val="clear" w:color="auto" w:fill="ffffff"/>
            <w:vAlign w:val="center"/>
            <w:hideMark/>
          </w:tcPr>
          <w:p>
            <w:pPr>
              <w:pStyle w:val="style157"/>
              <w:rPr/>
            </w:pPr>
            <w:r>
              <w:t>16.57</w:t>
            </w:r>
          </w:p>
        </w:tc>
        <w:tc>
          <w:tcPr>
            <w:tcW w:w="0" w:type="auto"/>
            <w:tcBorders/>
            <w:shd w:val="clear" w:color="auto" w:fill="ffffff"/>
            <w:vAlign w:val="center"/>
            <w:hideMark/>
          </w:tcPr>
          <w:p>
            <w:pPr>
              <w:pStyle w:val="style157"/>
              <w:rPr/>
            </w:pPr>
            <w:r>
              <w:t>1</w:t>
            </w:r>
          </w:p>
        </w:tc>
        <w:tc>
          <w:tcPr>
            <w:tcW w:w="0" w:type="auto"/>
            <w:tcBorders/>
            <w:shd w:val="clear" w:color="auto" w:fill="ffffff"/>
            <w:vAlign w:val="center"/>
            <w:hideMark/>
          </w:tcPr>
          <w:p>
            <w:pPr>
              <w:pStyle w:val="style157"/>
              <w:rPr/>
            </w:pPr>
            <w:r>
              <w:t>16.57</w:t>
            </w:r>
          </w:p>
        </w:tc>
        <w:tc>
          <w:tcPr>
            <w:tcW w:w="0" w:type="auto"/>
            <w:tcBorders/>
            <w:shd w:val="clear" w:color="auto" w:fill="ffffff"/>
            <w:vAlign w:val="center"/>
            <w:hideMark/>
          </w:tcPr>
          <w:p>
            <w:pPr>
              <w:pStyle w:val="style157"/>
              <w:rPr/>
            </w:pPr>
            <w:r>
              <w:t>3.82</w:t>
            </w:r>
          </w:p>
        </w:tc>
        <w:tc>
          <w:tcPr>
            <w:tcW w:w="0" w:type="auto"/>
            <w:tcBorders/>
            <w:shd w:val="clear" w:color="auto" w:fill="ffffff"/>
            <w:vAlign w:val="center"/>
            <w:hideMark/>
          </w:tcPr>
          <w:p>
            <w:pPr>
              <w:pStyle w:val="style157"/>
              <w:rPr/>
            </w:pPr>
            <w:r>
              <w:t>0.0765</w:t>
            </w:r>
          </w:p>
        </w:tc>
        <w:tc>
          <w:tcPr>
            <w:tcW w:w="0" w:type="auto"/>
            <w:tcBorders/>
            <w:shd w:val="clear" w:color="auto" w:fill="ffffff"/>
            <w:vAlign w:val="center"/>
            <w:hideMark/>
          </w:tcPr>
          <w:p>
            <w:pPr>
              <w:pStyle w:val="style157"/>
              <w:rPr/>
            </w:pPr>
          </w:p>
        </w:tc>
      </w:tr>
      <w:tr>
        <w:tblPrEx/>
        <w:trPr>
          <w:tblCellSpacing w:w="15" w:type="dxa"/>
        </w:trPr>
        <w:tc>
          <w:tcPr>
            <w:tcW w:w="0" w:type="auto"/>
            <w:tcBorders/>
            <w:shd w:val="clear" w:color="auto" w:fill="ffffff"/>
            <w:vAlign w:val="center"/>
            <w:hideMark/>
          </w:tcPr>
          <w:p>
            <w:pPr>
              <w:pStyle w:val="style157"/>
              <w:rPr/>
            </w:pPr>
            <w:r>
              <w:t>Residual</w:t>
            </w:r>
          </w:p>
        </w:tc>
        <w:tc>
          <w:tcPr>
            <w:tcW w:w="0" w:type="auto"/>
            <w:tcBorders/>
            <w:shd w:val="clear" w:color="auto" w:fill="ffffff"/>
            <w:vAlign w:val="center"/>
            <w:hideMark/>
          </w:tcPr>
          <w:p>
            <w:pPr>
              <w:pStyle w:val="style157"/>
              <w:rPr/>
            </w:pPr>
            <w:r>
              <w:t>47.71</w:t>
            </w:r>
          </w:p>
        </w:tc>
        <w:tc>
          <w:tcPr>
            <w:tcW w:w="0" w:type="auto"/>
            <w:tcBorders/>
            <w:shd w:val="clear" w:color="auto" w:fill="ffffff"/>
            <w:vAlign w:val="center"/>
            <w:hideMark/>
          </w:tcPr>
          <w:p>
            <w:pPr>
              <w:pStyle w:val="style157"/>
              <w:rPr/>
            </w:pPr>
            <w:r>
              <w:t>11</w:t>
            </w:r>
          </w:p>
        </w:tc>
        <w:tc>
          <w:tcPr>
            <w:tcW w:w="0" w:type="auto"/>
            <w:tcBorders/>
            <w:shd w:val="clear" w:color="auto" w:fill="ffffff"/>
            <w:vAlign w:val="center"/>
            <w:hideMark/>
          </w:tcPr>
          <w:p>
            <w:pPr>
              <w:pStyle w:val="style157"/>
              <w:rPr/>
            </w:pPr>
            <w:r>
              <w:t>4.34</w:t>
            </w:r>
          </w:p>
        </w:tc>
        <w:tc>
          <w:tcPr>
            <w:tcW w:w="0" w:type="auto"/>
            <w:tcBorders/>
            <w:shd w:val="clear" w:color="auto" w:fill="ffffff"/>
            <w:vAlign w:val="center"/>
            <w:hideMark/>
          </w:tcPr>
          <w:p>
            <w:pPr>
              <w:pStyle w:val="style157"/>
              <w:rPr/>
            </w:pPr>
          </w:p>
        </w:tc>
        <w:tc>
          <w:tcPr>
            <w:tcW w:w="0" w:type="auto"/>
            <w:tcBorders/>
            <w:shd w:val="clear" w:color="auto" w:fill="ffffff"/>
            <w:vAlign w:val="center"/>
            <w:hideMark/>
          </w:tcPr>
          <w:p>
            <w:pPr>
              <w:pStyle w:val="style157"/>
              <w:rPr>
                <w:sz w:val="20"/>
                <w:szCs w:val="20"/>
              </w:rPr>
            </w:pPr>
          </w:p>
        </w:tc>
        <w:tc>
          <w:tcPr>
            <w:tcW w:w="0" w:type="auto"/>
            <w:tcBorders/>
            <w:shd w:val="clear" w:color="auto" w:fill="ffffff"/>
            <w:vAlign w:val="center"/>
            <w:hideMark/>
          </w:tcPr>
          <w:p>
            <w:pPr>
              <w:pStyle w:val="style157"/>
              <w:rPr>
                <w:sz w:val="20"/>
                <w:szCs w:val="20"/>
              </w:rPr>
            </w:pPr>
          </w:p>
        </w:tc>
      </w:tr>
      <w:tr>
        <w:tblPrEx/>
        <w:trPr>
          <w:tblCellSpacing w:w="15" w:type="dxa"/>
        </w:trPr>
        <w:tc>
          <w:tcPr>
            <w:tcW w:w="0" w:type="auto"/>
            <w:tcBorders/>
            <w:shd w:val="clear" w:color="auto" w:fill="ffffff"/>
            <w:vAlign w:val="center"/>
            <w:hideMark/>
          </w:tcPr>
          <w:p>
            <w:pPr>
              <w:pStyle w:val="style157"/>
              <w:rPr/>
            </w:pPr>
            <w:r>
              <w:t>Lack of Fit</w:t>
            </w:r>
          </w:p>
        </w:tc>
        <w:tc>
          <w:tcPr>
            <w:tcW w:w="0" w:type="auto"/>
            <w:tcBorders/>
            <w:shd w:val="clear" w:color="auto" w:fill="ffffff"/>
            <w:vAlign w:val="center"/>
            <w:hideMark/>
          </w:tcPr>
          <w:p>
            <w:pPr>
              <w:pStyle w:val="style157"/>
              <w:rPr/>
            </w:pPr>
            <w:r>
              <w:t>47.43</w:t>
            </w:r>
          </w:p>
        </w:tc>
        <w:tc>
          <w:tcPr>
            <w:tcW w:w="0" w:type="auto"/>
            <w:tcBorders/>
            <w:shd w:val="clear" w:color="auto" w:fill="ffffff"/>
            <w:vAlign w:val="center"/>
            <w:hideMark/>
          </w:tcPr>
          <w:p>
            <w:pPr>
              <w:pStyle w:val="style157"/>
              <w:rPr/>
            </w:pPr>
            <w:r>
              <w:t>7</w:t>
            </w:r>
          </w:p>
        </w:tc>
        <w:tc>
          <w:tcPr>
            <w:tcW w:w="0" w:type="auto"/>
            <w:tcBorders/>
            <w:shd w:val="clear" w:color="auto" w:fill="ffffff"/>
            <w:vAlign w:val="center"/>
            <w:hideMark/>
          </w:tcPr>
          <w:p>
            <w:pPr>
              <w:pStyle w:val="style157"/>
              <w:rPr/>
            </w:pPr>
            <w:r>
              <w:t>6.78</w:t>
            </w:r>
          </w:p>
        </w:tc>
        <w:tc>
          <w:tcPr>
            <w:tcW w:w="0" w:type="auto"/>
            <w:tcBorders/>
            <w:shd w:val="clear" w:color="auto" w:fill="ffffff"/>
            <w:vAlign w:val="center"/>
            <w:hideMark/>
          </w:tcPr>
          <w:p>
            <w:pPr>
              <w:pStyle w:val="style157"/>
              <w:rPr/>
            </w:pPr>
            <w:r>
              <w:t>96.56</w:t>
            </w:r>
          </w:p>
        </w:tc>
        <w:tc>
          <w:tcPr>
            <w:tcW w:w="0" w:type="auto"/>
            <w:tcBorders/>
            <w:shd w:val="clear" w:color="auto" w:fill="ffffff"/>
            <w:vAlign w:val="center"/>
            <w:hideMark/>
          </w:tcPr>
          <w:p>
            <w:pPr>
              <w:pStyle w:val="style157"/>
              <w:rPr/>
            </w:pPr>
            <w:r>
              <w:t>0.00</w:t>
            </w:r>
            <w:r>
              <w:t>6</w:t>
            </w:r>
          </w:p>
        </w:tc>
        <w:tc>
          <w:tcPr>
            <w:tcW w:w="0" w:type="auto"/>
            <w:tcBorders/>
            <w:shd w:val="clear" w:color="auto" w:fill="ffffff"/>
            <w:vAlign w:val="center"/>
            <w:hideMark/>
          </w:tcPr>
          <w:p>
            <w:pPr>
              <w:pStyle w:val="style157"/>
              <w:rPr/>
            </w:pPr>
            <w:r>
              <w:t>Non-</w:t>
            </w:r>
            <w:r>
              <w:t>significant</w:t>
            </w:r>
          </w:p>
        </w:tc>
      </w:tr>
      <w:tr>
        <w:tblPrEx/>
        <w:trPr>
          <w:tblCellSpacing w:w="15" w:type="dxa"/>
        </w:trPr>
        <w:tc>
          <w:tcPr>
            <w:tcW w:w="0" w:type="auto"/>
            <w:tcBorders/>
            <w:shd w:val="clear" w:color="auto" w:fill="ffffff"/>
            <w:vAlign w:val="center"/>
            <w:hideMark/>
          </w:tcPr>
          <w:p>
            <w:pPr>
              <w:pStyle w:val="style157"/>
              <w:rPr/>
            </w:pPr>
            <w:r>
              <w:t>Pure Error</w:t>
            </w:r>
          </w:p>
        </w:tc>
        <w:tc>
          <w:tcPr>
            <w:tcW w:w="0" w:type="auto"/>
            <w:tcBorders/>
            <w:shd w:val="clear" w:color="auto" w:fill="ffffff"/>
            <w:vAlign w:val="center"/>
            <w:hideMark/>
          </w:tcPr>
          <w:p>
            <w:pPr>
              <w:pStyle w:val="style157"/>
              <w:rPr/>
            </w:pPr>
            <w:r>
              <w:t>0.2807</w:t>
            </w:r>
          </w:p>
        </w:tc>
        <w:tc>
          <w:tcPr>
            <w:tcW w:w="0" w:type="auto"/>
            <w:tcBorders/>
            <w:shd w:val="clear" w:color="auto" w:fill="ffffff"/>
            <w:vAlign w:val="center"/>
            <w:hideMark/>
          </w:tcPr>
          <w:p>
            <w:pPr>
              <w:pStyle w:val="style157"/>
              <w:rPr/>
            </w:pPr>
            <w:r>
              <w:t>4</w:t>
            </w:r>
          </w:p>
        </w:tc>
        <w:tc>
          <w:tcPr>
            <w:tcW w:w="0" w:type="auto"/>
            <w:tcBorders/>
            <w:shd w:val="clear" w:color="auto" w:fill="ffffff"/>
            <w:vAlign w:val="center"/>
            <w:hideMark/>
          </w:tcPr>
          <w:p>
            <w:pPr>
              <w:pStyle w:val="style157"/>
              <w:rPr/>
            </w:pPr>
            <w:r>
              <w:t>0.0702</w:t>
            </w:r>
          </w:p>
        </w:tc>
        <w:tc>
          <w:tcPr>
            <w:tcW w:w="0" w:type="auto"/>
            <w:tcBorders/>
            <w:shd w:val="clear" w:color="auto" w:fill="ffffff"/>
            <w:vAlign w:val="center"/>
            <w:hideMark/>
          </w:tcPr>
          <w:p>
            <w:pPr>
              <w:pStyle w:val="style157"/>
              <w:rPr/>
            </w:pPr>
          </w:p>
        </w:tc>
        <w:tc>
          <w:tcPr>
            <w:tcW w:w="0" w:type="auto"/>
            <w:tcBorders/>
            <w:shd w:val="clear" w:color="auto" w:fill="ffffff"/>
            <w:vAlign w:val="center"/>
            <w:hideMark/>
          </w:tcPr>
          <w:p>
            <w:pPr>
              <w:pStyle w:val="style157"/>
              <w:rPr>
                <w:sz w:val="20"/>
                <w:szCs w:val="20"/>
              </w:rPr>
            </w:pPr>
          </w:p>
        </w:tc>
        <w:tc>
          <w:tcPr>
            <w:tcW w:w="0" w:type="auto"/>
            <w:tcBorders/>
            <w:shd w:val="clear" w:color="auto" w:fill="ffffff"/>
            <w:vAlign w:val="center"/>
            <w:hideMark/>
          </w:tcPr>
          <w:p>
            <w:pPr>
              <w:pStyle w:val="style157"/>
              <w:rPr>
                <w:sz w:val="20"/>
                <w:szCs w:val="20"/>
              </w:rPr>
            </w:pPr>
          </w:p>
        </w:tc>
      </w:tr>
      <w:tr>
        <w:tblPrEx/>
        <w:trPr>
          <w:tblCellSpacing w:w="15" w:type="dxa"/>
        </w:trPr>
        <w:tc>
          <w:tcPr>
            <w:tcW w:w="0" w:type="auto"/>
            <w:tcBorders/>
            <w:shd w:val="clear" w:color="auto" w:fill="ffffff"/>
            <w:vAlign w:val="center"/>
            <w:hideMark/>
          </w:tcPr>
          <w:p>
            <w:pPr>
              <w:pStyle w:val="style157"/>
              <w:rPr/>
            </w:pPr>
            <w:r>
              <w:t>Cor</w:t>
            </w:r>
            <w:r>
              <w:t xml:space="preserve"> Total</w:t>
            </w:r>
          </w:p>
        </w:tc>
        <w:tc>
          <w:tcPr>
            <w:tcW w:w="0" w:type="auto"/>
            <w:tcBorders/>
            <w:shd w:val="clear" w:color="auto" w:fill="ffffff"/>
            <w:vAlign w:val="center"/>
            <w:hideMark/>
          </w:tcPr>
          <w:p>
            <w:pPr>
              <w:pStyle w:val="style157"/>
              <w:rPr/>
            </w:pPr>
            <w:r>
              <w:t>208.56</w:t>
            </w:r>
          </w:p>
        </w:tc>
        <w:tc>
          <w:tcPr>
            <w:tcW w:w="0" w:type="auto"/>
            <w:tcBorders/>
            <w:shd w:val="clear" w:color="auto" w:fill="ffffff"/>
            <w:vAlign w:val="center"/>
            <w:hideMark/>
          </w:tcPr>
          <w:p>
            <w:pPr>
              <w:pStyle w:val="style157"/>
              <w:rPr/>
            </w:pPr>
            <w:r>
              <w:t>14</w:t>
            </w:r>
          </w:p>
        </w:tc>
        <w:tc>
          <w:tcPr>
            <w:tcW w:w="0" w:type="auto"/>
            <w:tcBorders/>
            <w:shd w:val="clear" w:color="auto" w:fill="ffffff"/>
            <w:vAlign w:val="center"/>
            <w:hideMark/>
          </w:tcPr>
          <w:p>
            <w:pPr>
              <w:pStyle w:val="style157"/>
              <w:rPr/>
            </w:pPr>
          </w:p>
        </w:tc>
        <w:tc>
          <w:tcPr>
            <w:tcW w:w="0" w:type="auto"/>
            <w:tcBorders/>
            <w:shd w:val="clear" w:color="auto" w:fill="ffffff"/>
            <w:vAlign w:val="center"/>
            <w:hideMark/>
          </w:tcPr>
          <w:p>
            <w:pPr>
              <w:pStyle w:val="style157"/>
              <w:rPr>
                <w:sz w:val="20"/>
                <w:szCs w:val="20"/>
              </w:rPr>
            </w:pPr>
          </w:p>
        </w:tc>
        <w:tc>
          <w:tcPr>
            <w:tcW w:w="0" w:type="auto"/>
            <w:tcBorders/>
            <w:shd w:val="clear" w:color="auto" w:fill="ffffff"/>
            <w:vAlign w:val="center"/>
            <w:hideMark/>
          </w:tcPr>
          <w:p>
            <w:pPr>
              <w:pStyle w:val="style157"/>
              <w:rPr>
                <w:sz w:val="20"/>
                <w:szCs w:val="20"/>
              </w:rPr>
            </w:pPr>
          </w:p>
        </w:tc>
        <w:tc>
          <w:tcPr>
            <w:tcW w:w="0" w:type="auto"/>
            <w:tcBorders/>
            <w:shd w:val="clear" w:color="auto" w:fill="ffffff"/>
            <w:vAlign w:val="center"/>
            <w:hideMark/>
          </w:tcPr>
          <w:p>
            <w:pPr>
              <w:pStyle w:val="style157"/>
              <w:rPr>
                <w:sz w:val="20"/>
                <w:szCs w:val="20"/>
              </w:rPr>
            </w:pPr>
          </w:p>
        </w:tc>
      </w:tr>
    </w:tbl>
    <w:p>
      <w:pPr>
        <w:pStyle w:val="style66"/>
        <w:spacing w:lineRule="auto" w:line="276"/>
        <w:ind w:right="730"/>
        <w:jc w:val="both"/>
        <w:rPr>
          <w:rFonts w:eastAsia="Calibri"/>
        </w:rPr>
      </w:pPr>
      <w:r>
        <w:rPr>
          <w:rFonts w:eastAsia="Calibri"/>
        </w:rPr>
        <w:tab/>
      </w:r>
      <w:r>
        <w:rPr>
          <w:rFonts w:eastAsia="Calibri"/>
        </w:rPr>
        <w:tab/>
      </w:r>
      <w:r>
        <w:rPr>
          <w:rFonts w:eastAsia="Calibri"/>
        </w:rPr>
        <w:tab/>
      </w:r>
    </w:p>
    <w:p>
      <w:pPr>
        <w:pStyle w:val="style66"/>
        <w:spacing w:lineRule="auto" w:line="276"/>
        <w:ind w:right="730"/>
        <w:jc w:val="both"/>
        <w:rPr>
          <w:rFonts w:eastAsia="Calibri"/>
        </w:rPr>
      </w:pPr>
      <w:r>
        <w:rPr>
          <w:rFonts w:eastAsia="Calibri"/>
        </w:rPr>
        <w:t xml:space="preserve">Element coding is </w:t>
      </w:r>
      <w:r>
        <w:rPr>
          <w:rFonts w:eastAsia="Calibri"/>
        </w:rPr>
        <w:t>Coded</w:t>
      </w:r>
      <w:r>
        <w:rPr>
          <w:rFonts w:eastAsia="Calibri"/>
        </w:rPr>
        <w:t>.</w:t>
      </w:r>
    </w:p>
    <w:p>
      <w:pPr>
        <w:pStyle w:val="style66"/>
        <w:spacing w:lineRule="auto" w:line="276"/>
        <w:ind w:right="730"/>
        <w:jc w:val="both"/>
        <w:rPr>
          <w:rFonts w:eastAsia="Calibri"/>
        </w:rPr>
      </w:pPr>
      <w:r>
        <w:rPr>
          <w:rFonts w:eastAsia="Calibri"/>
        </w:rPr>
        <w:t>Sum of squares is kind III - Partial</w:t>
      </w:r>
    </w:p>
    <w:p>
      <w:pPr>
        <w:pStyle w:val="style66"/>
        <w:spacing w:lineRule="auto" w:line="276"/>
        <w:ind w:right="730"/>
        <w:jc w:val="both"/>
        <w:rPr>
          <w:rFonts w:eastAsia="Calibri"/>
        </w:rPr>
      </w:pPr>
      <w:r>
        <w:rPr>
          <w:rFonts w:eastAsia="Calibri"/>
        </w:rPr>
        <w:t>The version F-price of five.69 implies the version is large. There may be handiest a 1.41% hazard that an F-fee this large ought to arise due to noise.</w:t>
      </w:r>
    </w:p>
    <w:p>
      <w:pPr>
        <w:pStyle w:val="style66"/>
        <w:spacing w:lineRule="auto" w:line="276"/>
        <w:ind w:right="730"/>
        <w:jc w:val="both"/>
        <w:rPr>
          <w:rFonts w:eastAsia="Calibri"/>
        </w:rPr>
      </w:pPr>
      <w:r>
        <w:rPr>
          <w:rFonts w:eastAsia="Calibri"/>
        </w:rPr>
        <w:t xml:space="preserve">P-values less than 0.0500 imply version terms are tremendous. In this situation B, C, AB, AC </w:t>
      </w:r>
      <w:r>
        <w:rPr>
          <w:rFonts w:eastAsia="Calibri"/>
        </w:rPr>
        <w:t>are</w:t>
      </w:r>
      <w:r>
        <w:rPr>
          <w:rFonts w:eastAsia="Calibri"/>
        </w:rPr>
        <w:t xml:space="preserve"> giant model phrases. Values greater than zero.1000 suggest the model phrases are not sizable. If there are many insignificant version phrases (not counting those required to support hierarchy), version reduction may additionally improve your model.</w:t>
      </w:r>
    </w:p>
    <w:p>
      <w:pPr>
        <w:pStyle w:val="style66"/>
        <w:spacing w:lineRule="auto" w:line="276"/>
        <w:ind w:right="730"/>
        <w:jc w:val="both"/>
        <w:rPr>
          <w:rFonts w:eastAsia="Calibri"/>
        </w:rPr>
      </w:pPr>
      <w:r>
        <w:rPr>
          <w:rFonts w:eastAsia="Calibri"/>
        </w:rPr>
        <w:t>The dearth of match F-cost of 25.86 implies the lack of match is large. There is only a 0.Forty one% threat that a loss of match F-price this big may want to occur because of noise. Sizable lack of fit is bad we need the version to in shape.</w:t>
      </w:r>
    </w:p>
    <w:p>
      <w:pPr>
        <w:pStyle w:val="style66"/>
        <w:spacing w:lineRule="auto" w:line="276"/>
        <w:ind w:right="730"/>
        <w:jc w:val="both"/>
        <w:rPr>
          <w:rFonts w:eastAsia="Calibri"/>
        </w:rPr>
      </w:pPr>
      <w:r>
        <w:rPr>
          <w:rFonts w:eastAsia="Calibri"/>
        </w:rPr>
        <w:t>ANOVA for Linear model</w:t>
      </w:r>
    </w:p>
    <w:p>
      <w:pPr>
        <w:pStyle w:val="style66"/>
        <w:spacing w:lineRule="auto" w:line="276"/>
        <w:ind w:right="730"/>
        <w:jc w:val="both"/>
        <w:rPr>
          <w:rFonts w:eastAsia="Calibri"/>
        </w:rPr>
      </w:pPr>
      <w:r>
        <w:rPr>
          <w:rFonts w:eastAsia="Calibri"/>
        </w:rPr>
        <w:t>Reaction 3</w:t>
      </w:r>
      <w:r>
        <w:rPr>
          <w:rFonts w:eastAsia="Calibri"/>
        </w:rPr>
        <w:t>: Entrapment performance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85"/>
        <w:gridCol w:w="1588"/>
        <w:gridCol w:w="276"/>
        <w:gridCol w:w="1319"/>
        <w:gridCol w:w="727"/>
        <w:gridCol w:w="730"/>
        <w:gridCol w:w="1515"/>
      </w:tblGrid>
      <w:tr>
        <w:trPr>
          <w:tblCellSpacing w:w="15" w:type="dxa"/>
        </w:trPr>
        <w:tc>
          <w:tcPr>
            <w:tcW w:w="0" w:type="auto"/>
            <w:tcBorders/>
            <w:shd w:val="clear" w:color="auto" w:fill="ffffff"/>
            <w:vAlign w:val="center"/>
            <w:hideMark/>
          </w:tcPr>
          <w:p>
            <w:pPr>
              <w:pStyle w:val="style157"/>
              <w:rPr/>
            </w:pPr>
            <w:r>
              <w:t>Source</w:t>
            </w:r>
          </w:p>
        </w:tc>
        <w:tc>
          <w:tcPr>
            <w:tcW w:w="0" w:type="auto"/>
            <w:tcBorders/>
            <w:shd w:val="clear" w:color="auto" w:fill="ffffff"/>
            <w:vAlign w:val="center"/>
            <w:hideMark/>
          </w:tcPr>
          <w:p>
            <w:pPr>
              <w:pStyle w:val="style157"/>
              <w:rPr/>
            </w:pPr>
            <w:r>
              <w:t>Sum of Squares</w:t>
            </w:r>
          </w:p>
        </w:tc>
        <w:tc>
          <w:tcPr>
            <w:tcW w:w="0" w:type="auto"/>
            <w:tcBorders/>
            <w:shd w:val="clear" w:color="auto" w:fill="ffffff"/>
            <w:vAlign w:val="center"/>
            <w:hideMark/>
          </w:tcPr>
          <w:p>
            <w:pPr>
              <w:pStyle w:val="style157"/>
              <w:rPr/>
            </w:pPr>
            <w:r>
              <w:t>df</w:t>
            </w:r>
          </w:p>
        </w:tc>
        <w:tc>
          <w:tcPr>
            <w:tcW w:w="0" w:type="auto"/>
            <w:tcBorders/>
            <w:shd w:val="clear" w:color="auto" w:fill="ffffff"/>
            <w:vAlign w:val="center"/>
            <w:hideMark/>
          </w:tcPr>
          <w:p>
            <w:pPr>
              <w:pStyle w:val="style157"/>
              <w:rPr/>
            </w:pPr>
            <w:r>
              <w:t>Mean Square</w:t>
            </w:r>
          </w:p>
        </w:tc>
        <w:tc>
          <w:tcPr>
            <w:tcW w:w="0" w:type="auto"/>
            <w:tcBorders/>
            <w:shd w:val="clear" w:color="auto" w:fill="ffffff"/>
            <w:vAlign w:val="center"/>
            <w:hideMark/>
          </w:tcPr>
          <w:p>
            <w:pPr>
              <w:pStyle w:val="style157"/>
              <w:rPr/>
            </w:pPr>
            <w:r>
              <w:t>F-value</w:t>
            </w:r>
          </w:p>
        </w:tc>
        <w:tc>
          <w:tcPr>
            <w:tcW w:w="0" w:type="auto"/>
            <w:tcBorders/>
            <w:shd w:val="clear" w:color="auto" w:fill="ffffff"/>
            <w:vAlign w:val="center"/>
            <w:hideMark/>
          </w:tcPr>
          <w:p>
            <w:pPr>
              <w:pStyle w:val="style157"/>
              <w:rPr/>
            </w:pPr>
            <w:r>
              <w:t>p-value</w:t>
            </w:r>
          </w:p>
        </w:tc>
        <w:tc>
          <w:tcPr>
            <w:tcW w:w="0" w:type="auto"/>
            <w:tcBorders/>
            <w:shd w:val="clear" w:color="auto" w:fill="ffffff"/>
            <w:vAlign w:val="center"/>
            <w:hideMark/>
          </w:tcPr>
          <w:p>
            <w:pPr>
              <w:pStyle w:val="style157"/>
              <w:rPr/>
            </w:pPr>
          </w:p>
        </w:tc>
      </w:tr>
      <w:tr>
        <w:tblPrEx/>
        <w:trPr>
          <w:tblCellSpacing w:w="15" w:type="dxa"/>
        </w:trPr>
        <w:tc>
          <w:tcPr>
            <w:tcW w:w="0" w:type="auto"/>
            <w:tcBorders/>
            <w:shd w:val="clear" w:color="auto" w:fill="ffffff"/>
            <w:vAlign w:val="center"/>
            <w:hideMark/>
          </w:tcPr>
          <w:p>
            <w:pPr>
              <w:pStyle w:val="style157"/>
              <w:rPr/>
            </w:pPr>
            <w:r>
              <w:t>Model</w:t>
            </w:r>
          </w:p>
        </w:tc>
        <w:tc>
          <w:tcPr>
            <w:tcW w:w="0" w:type="auto"/>
            <w:tcBorders/>
            <w:shd w:val="clear" w:color="auto" w:fill="ffffff"/>
            <w:vAlign w:val="center"/>
            <w:hideMark/>
          </w:tcPr>
          <w:p>
            <w:pPr>
              <w:pStyle w:val="style157"/>
              <w:rPr/>
            </w:pPr>
            <w:r>
              <w:t>137.50</w:t>
            </w:r>
          </w:p>
        </w:tc>
        <w:tc>
          <w:tcPr>
            <w:tcW w:w="0" w:type="auto"/>
            <w:tcBorders/>
            <w:shd w:val="clear" w:color="auto" w:fill="ffffff"/>
            <w:vAlign w:val="center"/>
            <w:hideMark/>
          </w:tcPr>
          <w:p>
            <w:pPr>
              <w:pStyle w:val="style157"/>
              <w:rPr/>
            </w:pPr>
            <w:r>
              <w:t>6</w:t>
            </w:r>
          </w:p>
        </w:tc>
        <w:tc>
          <w:tcPr>
            <w:tcW w:w="0" w:type="auto"/>
            <w:tcBorders/>
            <w:shd w:val="clear" w:color="auto" w:fill="ffffff"/>
            <w:vAlign w:val="center"/>
            <w:hideMark/>
          </w:tcPr>
          <w:p>
            <w:pPr>
              <w:pStyle w:val="style157"/>
              <w:rPr/>
            </w:pPr>
            <w:r>
              <w:t>22.92</w:t>
            </w:r>
          </w:p>
        </w:tc>
        <w:tc>
          <w:tcPr>
            <w:tcW w:w="0" w:type="auto"/>
            <w:tcBorders/>
            <w:shd w:val="clear" w:color="auto" w:fill="ffffff"/>
            <w:vAlign w:val="center"/>
            <w:hideMark/>
          </w:tcPr>
          <w:p>
            <w:pPr>
              <w:pStyle w:val="style157"/>
              <w:rPr/>
            </w:pPr>
            <w:r>
              <w:t>5.69</w:t>
            </w:r>
          </w:p>
        </w:tc>
        <w:tc>
          <w:tcPr>
            <w:tcW w:w="0" w:type="auto"/>
            <w:tcBorders/>
            <w:shd w:val="clear" w:color="auto" w:fill="ffffff"/>
            <w:vAlign w:val="center"/>
            <w:hideMark/>
          </w:tcPr>
          <w:p>
            <w:pPr>
              <w:pStyle w:val="style157"/>
              <w:rPr/>
            </w:pPr>
            <w:r>
              <w:t>0.0141</w:t>
            </w:r>
          </w:p>
        </w:tc>
        <w:tc>
          <w:tcPr>
            <w:tcW w:w="0" w:type="auto"/>
            <w:tcBorders/>
            <w:shd w:val="clear" w:color="auto" w:fill="ffffff"/>
            <w:vAlign w:val="center"/>
            <w:hideMark/>
          </w:tcPr>
          <w:p>
            <w:pPr>
              <w:pStyle w:val="style157"/>
              <w:rPr/>
            </w:pPr>
            <w:r>
              <w:t>significant</w:t>
            </w:r>
          </w:p>
        </w:tc>
      </w:tr>
      <w:tr>
        <w:tblPrEx/>
        <w:trPr>
          <w:tblCellSpacing w:w="15" w:type="dxa"/>
        </w:trPr>
        <w:tc>
          <w:tcPr>
            <w:tcW w:w="0" w:type="auto"/>
            <w:tcBorders/>
            <w:shd w:val="clear" w:color="auto" w:fill="ffffff"/>
            <w:vAlign w:val="center"/>
            <w:hideMark/>
          </w:tcPr>
          <w:p>
            <w:pPr>
              <w:pStyle w:val="style157"/>
              <w:rPr/>
            </w:pPr>
            <w:r>
              <w:t>A-</w:t>
            </w:r>
            <w:r>
              <w:t>Cholesterol:Surfactant</w:t>
            </w:r>
            <w:r>
              <w:t xml:space="preserve"> Ratio</w:t>
            </w:r>
          </w:p>
        </w:tc>
        <w:tc>
          <w:tcPr>
            <w:tcW w:w="0" w:type="auto"/>
            <w:tcBorders/>
            <w:shd w:val="clear" w:color="auto" w:fill="ffffff"/>
            <w:vAlign w:val="center"/>
            <w:hideMark/>
          </w:tcPr>
          <w:p>
            <w:pPr>
              <w:pStyle w:val="style157"/>
              <w:rPr/>
            </w:pPr>
            <w:r>
              <w:t>2.00</w:t>
            </w:r>
          </w:p>
        </w:tc>
        <w:tc>
          <w:tcPr>
            <w:tcW w:w="0" w:type="auto"/>
            <w:tcBorders/>
            <w:shd w:val="clear" w:color="auto" w:fill="ffffff"/>
            <w:vAlign w:val="center"/>
            <w:hideMark/>
          </w:tcPr>
          <w:p>
            <w:pPr>
              <w:pStyle w:val="style157"/>
              <w:rPr/>
            </w:pPr>
            <w:r>
              <w:t>1</w:t>
            </w:r>
          </w:p>
        </w:tc>
        <w:tc>
          <w:tcPr>
            <w:tcW w:w="0" w:type="auto"/>
            <w:tcBorders/>
            <w:shd w:val="clear" w:color="auto" w:fill="ffffff"/>
            <w:vAlign w:val="center"/>
            <w:hideMark/>
          </w:tcPr>
          <w:p>
            <w:pPr>
              <w:pStyle w:val="style157"/>
              <w:rPr/>
            </w:pPr>
            <w:r>
              <w:t>2.00</w:t>
            </w:r>
          </w:p>
        </w:tc>
        <w:tc>
          <w:tcPr>
            <w:tcW w:w="0" w:type="auto"/>
            <w:tcBorders/>
            <w:shd w:val="clear" w:color="auto" w:fill="ffffff"/>
            <w:vAlign w:val="center"/>
            <w:hideMark/>
          </w:tcPr>
          <w:p>
            <w:pPr>
              <w:pStyle w:val="style157"/>
              <w:rPr/>
            </w:pPr>
            <w:r>
              <w:t>0.4964</w:t>
            </w:r>
          </w:p>
        </w:tc>
        <w:tc>
          <w:tcPr>
            <w:tcW w:w="0" w:type="auto"/>
            <w:tcBorders/>
            <w:shd w:val="clear" w:color="auto" w:fill="ffffff"/>
            <w:vAlign w:val="center"/>
            <w:hideMark/>
          </w:tcPr>
          <w:p>
            <w:pPr>
              <w:pStyle w:val="style157"/>
              <w:rPr/>
            </w:pPr>
            <w:r>
              <w:t>0.5011</w:t>
            </w:r>
          </w:p>
        </w:tc>
        <w:tc>
          <w:tcPr>
            <w:tcW w:w="0" w:type="auto"/>
            <w:tcBorders/>
            <w:shd w:val="clear" w:color="auto" w:fill="ffffff"/>
            <w:vAlign w:val="center"/>
            <w:hideMark/>
          </w:tcPr>
          <w:p>
            <w:pPr>
              <w:pStyle w:val="style157"/>
              <w:rPr/>
            </w:pPr>
          </w:p>
        </w:tc>
      </w:tr>
      <w:tr>
        <w:tblPrEx/>
        <w:trPr>
          <w:tblCellSpacing w:w="15" w:type="dxa"/>
        </w:trPr>
        <w:tc>
          <w:tcPr>
            <w:tcW w:w="0" w:type="auto"/>
            <w:tcBorders/>
            <w:shd w:val="clear" w:color="auto" w:fill="ffffff"/>
            <w:vAlign w:val="center"/>
            <w:hideMark/>
          </w:tcPr>
          <w:p>
            <w:pPr>
              <w:pStyle w:val="style157"/>
              <w:rPr/>
            </w:pPr>
            <w:r>
              <w:t>B-</w:t>
            </w:r>
            <w:r>
              <w:t>Noveon</w:t>
            </w:r>
            <w:r>
              <w:t xml:space="preserve"> AA1 </w:t>
            </w:r>
            <w:r>
              <w:t>Polycarbophil</w:t>
            </w:r>
          </w:p>
        </w:tc>
        <w:tc>
          <w:tcPr>
            <w:tcW w:w="0" w:type="auto"/>
            <w:tcBorders/>
            <w:shd w:val="clear" w:color="auto" w:fill="ffffff"/>
            <w:vAlign w:val="center"/>
            <w:hideMark/>
          </w:tcPr>
          <w:p>
            <w:pPr>
              <w:pStyle w:val="style157"/>
              <w:rPr/>
            </w:pPr>
            <w:r>
              <w:t>24.50</w:t>
            </w:r>
          </w:p>
        </w:tc>
        <w:tc>
          <w:tcPr>
            <w:tcW w:w="0" w:type="auto"/>
            <w:tcBorders/>
            <w:shd w:val="clear" w:color="auto" w:fill="ffffff"/>
            <w:vAlign w:val="center"/>
            <w:hideMark/>
          </w:tcPr>
          <w:p>
            <w:pPr>
              <w:pStyle w:val="style157"/>
              <w:rPr/>
            </w:pPr>
            <w:r>
              <w:t>1</w:t>
            </w:r>
          </w:p>
        </w:tc>
        <w:tc>
          <w:tcPr>
            <w:tcW w:w="0" w:type="auto"/>
            <w:tcBorders/>
            <w:shd w:val="clear" w:color="auto" w:fill="ffffff"/>
            <w:vAlign w:val="center"/>
            <w:hideMark/>
          </w:tcPr>
          <w:p>
            <w:pPr>
              <w:pStyle w:val="style157"/>
              <w:rPr/>
            </w:pPr>
            <w:r>
              <w:t>24.50</w:t>
            </w:r>
          </w:p>
        </w:tc>
        <w:tc>
          <w:tcPr>
            <w:tcW w:w="0" w:type="auto"/>
            <w:tcBorders/>
            <w:shd w:val="clear" w:color="auto" w:fill="ffffff"/>
            <w:vAlign w:val="center"/>
            <w:hideMark/>
          </w:tcPr>
          <w:p>
            <w:pPr>
              <w:pStyle w:val="style157"/>
              <w:rPr/>
            </w:pPr>
            <w:r>
              <w:t>6.08</w:t>
            </w:r>
          </w:p>
        </w:tc>
        <w:tc>
          <w:tcPr>
            <w:tcW w:w="0" w:type="auto"/>
            <w:tcBorders/>
            <w:shd w:val="clear" w:color="auto" w:fill="ffffff"/>
            <w:vAlign w:val="center"/>
            <w:hideMark/>
          </w:tcPr>
          <w:p>
            <w:pPr>
              <w:pStyle w:val="style157"/>
              <w:rPr/>
            </w:pPr>
            <w:r>
              <w:t>0.0390</w:t>
            </w:r>
          </w:p>
        </w:tc>
        <w:tc>
          <w:tcPr>
            <w:tcW w:w="0" w:type="auto"/>
            <w:tcBorders/>
            <w:shd w:val="clear" w:color="auto" w:fill="ffffff"/>
            <w:vAlign w:val="center"/>
            <w:hideMark/>
          </w:tcPr>
          <w:p>
            <w:pPr>
              <w:pStyle w:val="style157"/>
              <w:rPr/>
            </w:pPr>
          </w:p>
        </w:tc>
      </w:tr>
      <w:tr>
        <w:tblPrEx/>
        <w:trPr>
          <w:tblCellSpacing w:w="15" w:type="dxa"/>
        </w:trPr>
        <w:tc>
          <w:tcPr>
            <w:tcW w:w="0" w:type="auto"/>
            <w:tcBorders/>
            <w:shd w:val="clear" w:color="auto" w:fill="ffffff"/>
            <w:vAlign w:val="center"/>
            <w:hideMark/>
          </w:tcPr>
          <w:p>
            <w:pPr>
              <w:pStyle w:val="style157"/>
              <w:rPr/>
            </w:pPr>
            <w:r>
              <w:t>C-Homogenization Cycles</w:t>
            </w:r>
          </w:p>
        </w:tc>
        <w:tc>
          <w:tcPr>
            <w:tcW w:w="0" w:type="auto"/>
            <w:tcBorders/>
            <w:shd w:val="clear" w:color="auto" w:fill="ffffff"/>
            <w:vAlign w:val="center"/>
            <w:hideMark/>
          </w:tcPr>
          <w:p>
            <w:pPr>
              <w:pStyle w:val="style157"/>
              <w:rPr/>
            </w:pPr>
            <w:r>
              <w:t>50.00</w:t>
            </w:r>
          </w:p>
        </w:tc>
        <w:tc>
          <w:tcPr>
            <w:tcW w:w="0" w:type="auto"/>
            <w:tcBorders/>
            <w:shd w:val="clear" w:color="auto" w:fill="ffffff"/>
            <w:vAlign w:val="center"/>
            <w:hideMark/>
          </w:tcPr>
          <w:p>
            <w:pPr>
              <w:pStyle w:val="style157"/>
              <w:rPr/>
            </w:pPr>
            <w:r>
              <w:t>1</w:t>
            </w:r>
          </w:p>
        </w:tc>
        <w:tc>
          <w:tcPr>
            <w:tcW w:w="0" w:type="auto"/>
            <w:tcBorders/>
            <w:shd w:val="clear" w:color="auto" w:fill="ffffff"/>
            <w:vAlign w:val="center"/>
            <w:hideMark/>
          </w:tcPr>
          <w:p>
            <w:pPr>
              <w:pStyle w:val="style157"/>
              <w:rPr/>
            </w:pPr>
            <w:r>
              <w:t>50.00</w:t>
            </w:r>
          </w:p>
        </w:tc>
        <w:tc>
          <w:tcPr>
            <w:tcW w:w="0" w:type="auto"/>
            <w:tcBorders/>
            <w:shd w:val="clear" w:color="auto" w:fill="ffffff"/>
            <w:vAlign w:val="center"/>
            <w:hideMark/>
          </w:tcPr>
          <w:p>
            <w:pPr>
              <w:pStyle w:val="style157"/>
              <w:rPr/>
            </w:pPr>
            <w:r>
              <w:t>12.41</w:t>
            </w:r>
          </w:p>
        </w:tc>
        <w:tc>
          <w:tcPr>
            <w:tcW w:w="0" w:type="auto"/>
            <w:tcBorders/>
            <w:shd w:val="clear" w:color="auto" w:fill="ffffff"/>
            <w:vAlign w:val="center"/>
            <w:hideMark/>
          </w:tcPr>
          <w:p>
            <w:pPr>
              <w:pStyle w:val="style157"/>
              <w:rPr/>
            </w:pPr>
            <w:r>
              <w:t>0.0078</w:t>
            </w:r>
          </w:p>
        </w:tc>
        <w:tc>
          <w:tcPr>
            <w:tcW w:w="0" w:type="auto"/>
            <w:tcBorders/>
            <w:shd w:val="clear" w:color="auto" w:fill="ffffff"/>
            <w:vAlign w:val="center"/>
            <w:hideMark/>
          </w:tcPr>
          <w:p>
            <w:pPr>
              <w:pStyle w:val="style157"/>
              <w:rPr/>
            </w:pPr>
          </w:p>
        </w:tc>
      </w:tr>
      <w:tr>
        <w:tblPrEx/>
        <w:trPr>
          <w:tblCellSpacing w:w="15" w:type="dxa"/>
        </w:trPr>
        <w:tc>
          <w:tcPr>
            <w:tcW w:w="0" w:type="auto"/>
            <w:tcBorders/>
            <w:shd w:val="clear" w:color="auto" w:fill="ffffff"/>
            <w:vAlign w:val="center"/>
            <w:hideMark/>
          </w:tcPr>
          <w:p>
            <w:pPr>
              <w:pStyle w:val="style157"/>
              <w:rPr/>
            </w:pPr>
            <w:r>
              <w:t>AB</w:t>
            </w:r>
          </w:p>
        </w:tc>
        <w:tc>
          <w:tcPr>
            <w:tcW w:w="0" w:type="auto"/>
            <w:tcBorders/>
            <w:shd w:val="clear" w:color="auto" w:fill="ffffff"/>
            <w:vAlign w:val="center"/>
            <w:hideMark/>
          </w:tcPr>
          <w:p>
            <w:pPr>
              <w:pStyle w:val="style157"/>
              <w:rPr/>
            </w:pPr>
            <w:r>
              <w:t>85.33</w:t>
            </w:r>
          </w:p>
        </w:tc>
        <w:tc>
          <w:tcPr>
            <w:tcW w:w="0" w:type="auto"/>
            <w:tcBorders/>
            <w:shd w:val="clear" w:color="auto" w:fill="ffffff"/>
            <w:vAlign w:val="center"/>
            <w:hideMark/>
          </w:tcPr>
          <w:p>
            <w:pPr>
              <w:pStyle w:val="style157"/>
              <w:rPr/>
            </w:pPr>
            <w:r>
              <w:t>1</w:t>
            </w:r>
          </w:p>
        </w:tc>
        <w:tc>
          <w:tcPr>
            <w:tcW w:w="0" w:type="auto"/>
            <w:tcBorders/>
            <w:shd w:val="clear" w:color="auto" w:fill="ffffff"/>
            <w:vAlign w:val="center"/>
            <w:hideMark/>
          </w:tcPr>
          <w:p>
            <w:pPr>
              <w:pStyle w:val="style157"/>
              <w:rPr/>
            </w:pPr>
            <w:r>
              <w:t>85.33</w:t>
            </w:r>
          </w:p>
        </w:tc>
        <w:tc>
          <w:tcPr>
            <w:tcW w:w="0" w:type="auto"/>
            <w:tcBorders/>
            <w:shd w:val="clear" w:color="auto" w:fill="ffffff"/>
            <w:vAlign w:val="center"/>
            <w:hideMark/>
          </w:tcPr>
          <w:p>
            <w:pPr>
              <w:pStyle w:val="style157"/>
              <w:rPr/>
            </w:pPr>
            <w:r>
              <w:t>21.18</w:t>
            </w:r>
          </w:p>
        </w:tc>
        <w:tc>
          <w:tcPr>
            <w:tcW w:w="0" w:type="auto"/>
            <w:tcBorders/>
            <w:shd w:val="clear" w:color="auto" w:fill="ffffff"/>
            <w:vAlign w:val="center"/>
            <w:hideMark/>
          </w:tcPr>
          <w:p>
            <w:pPr>
              <w:pStyle w:val="style157"/>
              <w:rPr/>
            </w:pPr>
            <w:r>
              <w:t>0.0018</w:t>
            </w:r>
          </w:p>
        </w:tc>
        <w:tc>
          <w:tcPr>
            <w:tcW w:w="0" w:type="auto"/>
            <w:tcBorders/>
            <w:shd w:val="clear" w:color="auto" w:fill="ffffff"/>
            <w:vAlign w:val="center"/>
            <w:hideMark/>
          </w:tcPr>
          <w:p>
            <w:pPr>
              <w:pStyle w:val="style157"/>
              <w:rPr/>
            </w:pPr>
          </w:p>
        </w:tc>
      </w:tr>
      <w:tr>
        <w:tblPrEx/>
        <w:trPr>
          <w:tblCellSpacing w:w="15" w:type="dxa"/>
        </w:trPr>
        <w:tc>
          <w:tcPr>
            <w:tcW w:w="0" w:type="auto"/>
            <w:tcBorders/>
            <w:shd w:val="clear" w:color="auto" w:fill="ffffff"/>
            <w:vAlign w:val="center"/>
            <w:hideMark/>
          </w:tcPr>
          <w:p>
            <w:pPr>
              <w:pStyle w:val="style157"/>
              <w:rPr/>
            </w:pPr>
            <w:r>
              <w:t>AC</w:t>
            </w:r>
          </w:p>
        </w:tc>
        <w:tc>
          <w:tcPr>
            <w:tcW w:w="0" w:type="auto"/>
            <w:tcBorders/>
            <w:shd w:val="clear" w:color="auto" w:fill="ffffff"/>
            <w:vAlign w:val="center"/>
            <w:hideMark/>
          </w:tcPr>
          <w:p>
            <w:pPr>
              <w:pStyle w:val="style157"/>
              <w:rPr/>
            </w:pPr>
            <w:r>
              <w:t>40.33</w:t>
            </w:r>
          </w:p>
        </w:tc>
        <w:tc>
          <w:tcPr>
            <w:tcW w:w="0" w:type="auto"/>
            <w:tcBorders/>
            <w:shd w:val="clear" w:color="auto" w:fill="ffffff"/>
            <w:vAlign w:val="center"/>
            <w:hideMark/>
          </w:tcPr>
          <w:p>
            <w:pPr>
              <w:pStyle w:val="style157"/>
              <w:rPr/>
            </w:pPr>
            <w:r>
              <w:t>1</w:t>
            </w:r>
          </w:p>
        </w:tc>
        <w:tc>
          <w:tcPr>
            <w:tcW w:w="0" w:type="auto"/>
            <w:tcBorders/>
            <w:shd w:val="clear" w:color="auto" w:fill="ffffff"/>
            <w:vAlign w:val="center"/>
            <w:hideMark/>
          </w:tcPr>
          <w:p>
            <w:pPr>
              <w:pStyle w:val="style157"/>
              <w:rPr/>
            </w:pPr>
            <w:r>
              <w:t>40.33</w:t>
            </w:r>
          </w:p>
        </w:tc>
        <w:tc>
          <w:tcPr>
            <w:tcW w:w="0" w:type="auto"/>
            <w:tcBorders/>
            <w:shd w:val="clear" w:color="auto" w:fill="ffffff"/>
            <w:vAlign w:val="center"/>
            <w:hideMark/>
          </w:tcPr>
          <w:p>
            <w:pPr>
              <w:pStyle w:val="style157"/>
              <w:rPr/>
            </w:pPr>
            <w:r>
              <w:t>10.01</w:t>
            </w:r>
          </w:p>
        </w:tc>
        <w:tc>
          <w:tcPr>
            <w:tcW w:w="0" w:type="auto"/>
            <w:tcBorders/>
            <w:shd w:val="clear" w:color="auto" w:fill="ffffff"/>
            <w:vAlign w:val="center"/>
            <w:hideMark/>
          </w:tcPr>
          <w:p>
            <w:pPr>
              <w:pStyle w:val="style157"/>
              <w:rPr/>
            </w:pPr>
            <w:r>
              <w:t>0.0133</w:t>
            </w:r>
          </w:p>
        </w:tc>
        <w:tc>
          <w:tcPr>
            <w:tcW w:w="0" w:type="auto"/>
            <w:tcBorders/>
            <w:shd w:val="clear" w:color="auto" w:fill="ffffff"/>
            <w:vAlign w:val="center"/>
            <w:hideMark/>
          </w:tcPr>
          <w:p>
            <w:pPr>
              <w:pStyle w:val="style157"/>
              <w:rPr/>
            </w:pPr>
          </w:p>
        </w:tc>
      </w:tr>
      <w:tr>
        <w:tblPrEx/>
        <w:trPr>
          <w:tblCellSpacing w:w="15" w:type="dxa"/>
        </w:trPr>
        <w:tc>
          <w:tcPr>
            <w:tcW w:w="0" w:type="auto"/>
            <w:tcBorders/>
            <w:shd w:val="clear" w:color="auto" w:fill="ffffff"/>
            <w:vAlign w:val="center"/>
            <w:hideMark/>
          </w:tcPr>
          <w:p>
            <w:pPr>
              <w:pStyle w:val="style157"/>
              <w:rPr/>
            </w:pPr>
            <w:r>
              <w:t>BC</w:t>
            </w:r>
          </w:p>
        </w:tc>
        <w:tc>
          <w:tcPr>
            <w:tcW w:w="0" w:type="auto"/>
            <w:tcBorders/>
            <w:shd w:val="clear" w:color="auto" w:fill="ffffff"/>
            <w:vAlign w:val="center"/>
            <w:hideMark/>
          </w:tcPr>
          <w:p>
            <w:pPr>
              <w:pStyle w:val="style157"/>
              <w:rPr/>
            </w:pPr>
            <w:r>
              <w:t>8.33</w:t>
            </w:r>
          </w:p>
        </w:tc>
        <w:tc>
          <w:tcPr>
            <w:tcW w:w="0" w:type="auto"/>
            <w:tcBorders/>
            <w:shd w:val="clear" w:color="auto" w:fill="ffffff"/>
            <w:vAlign w:val="center"/>
            <w:hideMark/>
          </w:tcPr>
          <w:p>
            <w:pPr>
              <w:pStyle w:val="style157"/>
              <w:rPr/>
            </w:pPr>
            <w:r>
              <w:t>1</w:t>
            </w:r>
          </w:p>
        </w:tc>
        <w:tc>
          <w:tcPr>
            <w:tcW w:w="0" w:type="auto"/>
            <w:tcBorders/>
            <w:shd w:val="clear" w:color="auto" w:fill="ffffff"/>
            <w:vAlign w:val="center"/>
            <w:hideMark/>
          </w:tcPr>
          <w:p>
            <w:pPr>
              <w:pStyle w:val="style157"/>
              <w:rPr/>
            </w:pPr>
            <w:r>
              <w:t>8.33</w:t>
            </w:r>
          </w:p>
        </w:tc>
        <w:tc>
          <w:tcPr>
            <w:tcW w:w="0" w:type="auto"/>
            <w:tcBorders/>
            <w:shd w:val="clear" w:color="auto" w:fill="ffffff"/>
            <w:vAlign w:val="center"/>
            <w:hideMark/>
          </w:tcPr>
          <w:p>
            <w:pPr>
              <w:pStyle w:val="style157"/>
              <w:rPr/>
            </w:pPr>
            <w:r>
              <w:t>2.07</w:t>
            </w:r>
          </w:p>
        </w:tc>
        <w:tc>
          <w:tcPr>
            <w:tcW w:w="0" w:type="auto"/>
            <w:tcBorders/>
            <w:shd w:val="clear" w:color="auto" w:fill="ffffff"/>
            <w:vAlign w:val="center"/>
            <w:hideMark/>
          </w:tcPr>
          <w:p>
            <w:pPr>
              <w:pStyle w:val="style157"/>
              <w:rPr/>
            </w:pPr>
            <w:r>
              <w:t>0.1883</w:t>
            </w:r>
          </w:p>
        </w:tc>
        <w:tc>
          <w:tcPr>
            <w:tcW w:w="0" w:type="auto"/>
            <w:tcBorders/>
            <w:shd w:val="clear" w:color="auto" w:fill="ffffff"/>
            <w:vAlign w:val="center"/>
            <w:hideMark/>
          </w:tcPr>
          <w:p>
            <w:pPr>
              <w:pStyle w:val="style157"/>
              <w:rPr/>
            </w:pPr>
          </w:p>
        </w:tc>
      </w:tr>
      <w:tr>
        <w:tblPrEx/>
        <w:trPr>
          <w:tblCellSpacing w:w="15" w:type="dxa"/>
        </w:trPr>
        <w:tc>
          <w:tcPr>
            <w:tcW w:w="0" w:type="auto"/>
            <w:tcBorders/>
            <w:shd w:val="clear" w:color="auto" w:fill="ffffff"/>
            <w:vAlign w:val="center"/>
            <w:hideMark/>
          </w:tcPr>
          <w:p>
            <w:pPr>
              <w:pStyle w:val="style157"/>
              <w:rPr/>
            </w:pPr>
            <w:r>
              <w:t>Residual</w:t>
            </w:r>
          </w:p>
        </w:tc>
        <w:tc>
          <w:tcPr>
            <w:tcW w:w="0" w:type="auto"/>
            <w:tcBorders/>
            <w:shd w:val="clear" w:color="auto" w:fill="ffffff"/>
            <w:vAlign w:val="center"/>
            <w:hideMark/>
          </w:tcPr>
          <w:p>
            <w:pPr>
              <w:pStyle w:val="style157"/>
              <w:rPr/>
            </w:pPr>
            <w:r>
              <w:t>32.23</w:t>
            </w:r>
          </w:p>
        </w:tc>
        <w:tc>
          <w:tcPr>
            <w:tcW w:w="0" w:type="auto"/>
            <w:tcBorders/>
            <w:shd w:val="clear" w:color="auto" w:fill="ffffff"/>
            <w:vAlign w:val="center"/>
            <w:hideMark/>
          </w:tcPr>
          <w:p>
            <w:pPr>
              <w:pStyle w:val="style157"/>
              <w:rPr/>
            </w:pPr>
            <w:r>
              <w:t>8</w:t>
            </w:r>
          </w:p>
        </w:tc>
        <w:tc>
          <w:tcPr>
            <w:tcW w:w="0" w:type="auto"/>
            <w:tcBorders/>
            <w:shd w:val="clear" w:color="auto" w:fill="ffffff"/>
            <w:vAlign w:val="center"/>
            <w:hideMark/>
          </w:tcPr>
          <w:p>
            <w:pPr>
              <w:pStyle w:val="style157"/>
              <w:rPr/>
            </w:pPr>
            <w:r>
              <w:t>4.03</w:t>
            </w:r>
          </w:p>
        </w:tc>
        <w:tc>
          <w:tcPr>
            <w:tcW w:w="0" w:type="auto"/>
            <w:tcBorders/>
            <w:shd w:val="clear" w:color="auto" w:fill="ffffff"/>
            <w:vAlign w:val="center"/>
            <w:hideMark/>
          </w:tcPr>
          <w:p>
            <w:pPr>
              <w:pStyle w:val="style157"/>
              <w:rPr/>
            </w:pPr>
          </w:p>
        </w:tc>
        <w:tc>
          <w:tcPr>
            <w:tcW w:w="0" w:type="auto"/>
            <w:tcBorders/>
            <w:shd w:val="clear" w:color="auto" w:fill="ffffff"/>
            <w:vAlign w:val="center"/>
            <w:hideMark/>
          </w:tcPr>
          <w:p>
            <w:pPr>
              <w:pStyle w:val="style157"/>
              <w:rPr>
                <w:sz w:val="20"/>
                <w:szCs w:val="20"/>
              </w:rPr>
            </w:pPr>
          </w:p>
        </w:tc>
        <w:tc>
          <w:tcPr>
            <w:tcW w:w="0" w:type="auto"/>
            <w:tcBorders/>
            <w:shd w:val="clear" w:color="auto" w:fill="ffffff"/>
            <w:vAlign w:val="center"/>
            <w:hideMark/>
          </w:tcPr>
          <w:p>
            <w:pPr>
              <w:pStyle w:val="style157"/>
              <w:rPr>
                <w:sz w:val="20"/>
                <w:szCs w:val="20"/>
              </w:rPr>
            </w:pPr>
          </w:p>
        </w:tc>
      </w:tr>
      <w:tr>
        <w:tblPrEx/>
        <w:trPr>
          <w:tblCellSpacing w:w="15" w:type="dxa"/>
        </w:trPr>
        <w:tc>
          <w:tcPr>
            <w:tcW w:w="0" w:type="auto"/>
            <w:tcBorders/>
            <w:shd w:val="clear" w:color="auto" w:fill="ffffff"/>
            <w:vAlign w:val="center"/>
            <w:hideMark/>
          </w:tcPr>
          <w:p>
            <w:pPr>
              <w:pStyle w:val="style157"/>
              <w:rPr/>
            </w:pPr>
            <w:r>
              <w:t>Lack of Fit</w:t>
            </w:r>
          </w:p>
        </w:tc>
        <w:tc>
          <w:tcPr>
            <w:tcW w:w="0" w:type="auto"/>
            <w:tcBorders/>
            <w:shd w:val="clear" w:color="auto" w:fill="ffffff"/>
            <w:vAlign w:val="center"/>
            <w:hideMark/>
          </w:tcPr>
          <w:p>
            <w:pPr>
              <w:pStyle w:val="style157"/>
              <w:rPr/>
            </w:pPr>
            <w:r>
              <w:t>31.03</w:t>
            </w:r>
          </w:p>
        </w:tc>
        <w:tc>
          <w:tcPr>
            <w:tcW w:w="0" w:type="auto"/>
            <w:tcBorders/>
            <w:shd w:val="clear" w:color="auto" w:fill="ffffff"/>
            <w:vAlign w:val="center"/>
            <w:hideMark/>
          </w:tcPr>
          <w:p>
            <w:pPr>
              <w:pStyle w:val="style157"/>
              <w:rPr/>
            </w:pPr>
            <w:r>
              <w:t>4</w:t>
            </w:r>
          </w:p>
        </w:tc>
        <w:tc>
          <w:tcPr>
            <w:tcW w:w="0" w:type="auto"/>
            <w:tcBorders/>
            <w:shd w:val="clear" w:color="auto" w:fill="ffffff"/>
            <w:vAlign w:val="center"/>
            <w:hideMark/>
          </w:tcPr>
          <w:p>
            <w:pPr>
              <w:pStyle w:val="style157"/>
              <w:rPr/>
            </w:pPr>
            <w:r>
              <w:t>7.76</w:t>
            </w:r>
          </w:p>
        </w:tc>
        <w:tc>
          <w:tcPr>
            <w:tcW w:w="0" w:type="auto"/>
            <w:tcBorders/>
            <w:shd w:val="clear" w:color="auto" w:fill="ffffff"/>
            <w:vAlign w:val="center"/>
            <w:hideMark/>
          </w:tcPr>
          <w:p>
            <w:pPr>
              <w:pStyle w:val="style157"/>
              <w:rPr/>
            </w:pPr>
            <w:r>
              <w:t>25.86</w:t>
            </w:r>
          </w:p>
        </w:tc>
        <w:tc>
          <w:tcPr>
            <w:tcW w:w="0" w:type="auto"/>
            <w:tcBorders/>
            <w:shd w:val="clear" w:color="auto" w:fill="ffffff"/>
            <w:vAlign w:val="center"/>
            <w:hideMark/>
          </w:tcPr>
          <w:p>
            <w:pPr>
              <w:pStyle w:val="style157"/>
              <w:rPr/>
            </w:pPr>
            <w:r>
              <w:t>0.009</w:t>
            </w:r>
            <w:r>
              <w:t>1</w:t>
            </w:r>
          </w:p>
        </w:tc>
        <w:tc>
          <w:tcPr>
            <w:tcW w:w="0" w:type="auto"/>
            <w:tcBorders/>
            <w:shd w:val="clear" w:color="auto" w:fill="ffffff"/>
            <w:vAlign w:val="center"/>
            <w:hideMark/>
          </w:tcPr>
          <w:p>
            <w:pPr>
              <w:pStyle w:val="style157"/>
              <w:rPr/>
            </w:pPr>
            <w:r>
              <w:t>Non-</w:t>
            </w:r>
            <w:r>
              <w:t>significant</w:t>
            </w:r>
          </w:p>
        </w:tc>
      </w:tr>
      <w:tr>
        <w:tblPrEx/>
        <w:trPr>
          <w:tblCellSpacing w:w="15" w:type="dxa"/>
        </w:trPr>
        <w:tc>
          <w:tcPr>
            <w:tcW w:w="0" w:type="auto"/>
            <w:tcBorders/>
            <w:shd w:val="clear" w:color="auto" w:fill="ffffff"/>
            <w:vAlign w:val="center"/>
            <w:hideMark/>
          </w:tcPr>
          <w:p>
            <w:pPr>
              <w:pStyle w:val="style157"/>
              <w:rPr/>
            </w:pPr>
            <w:r>
              <w:t>Pure Error</w:t>
            </w:r>
          </w:p>
        </w:tc>
        <w:tc>
          <w:tcPr>
            <w:tcW w:w="0" w:type="auto"/>
            <w:tcBorders/>
            <w:shd w:val="clear" w:color="auto" w:fill="ffffff"/>
            <w:vAlign w:val="center"/>
            <w:hideMark/>
          </w:tcPr>
          <w:p>
            <w:pPr>
              <w:pStyle w:val="style157"/>
              <w:rPr/>
            </w:pPr>
            <w:r>
              <w:t>1.20</w:t>
            </w:r>
          </w:p>
        </w:tc>
        <w:tc>
          <w:tcPr>
            <w:tcW w:w="0" w:type="auto"/>
            <w:tcBorders/>
            <w:shd w:val="clear" w:color="auto" w:fill="ffffff"/>
            <w:vAlign w:val="center"/>
            <w:hideMark/>
          </w:tcPr>
          <w:p>
            <w:pPr>
              <w:pStyle w:val="style157"/>
              <w:rPr/>
            </w:pPr>
            <w:r>
              <w:t>4</w:t>
            </w:r>
          </w:p>
        </w:tc>
        <w:tc>
          <w:tcPr>
            <w:tcW w:w="0" w:type="auto"/>
            <w:tcBorders/>
            <w:shd w:val="clear" w:color="auto" w:fill="ffffff"/>
            <w:vAlign w:val="center"/>
            <w:hideMark/>
          </w:tcPr>
          <w:p>
            <w:pPr>
              <w:pStyle w:val="style157"/>
              <w:rPr/>
            </w:pPr>
            <w:r>
              <w:t>0.3000</w:t>
            </w:r>
          </w:p>
        </w:tc>
        <w:tc>
          <w:tcPr>
            <w:tcW w:w="0" w:type="auto"/>
            <w:tcBorders/>
            <w:shd w:val="clear" w:color="auto" w:fill="ffffff"/>
            <w:vAlign w:val="center"/>
            <w:hideMark/>
          </w:tcPr>
          <w:p>
            <w:pPr>
              <w:pStyle w:val="style157"/>
              <w:rPr/>
            </w:pPr>
          </w:p>
        </w:tc>
        <w:tc>
          <w:tcPr>
            <w:tcW w:w="0" w:type="auto"/>
            <w:tcBorders/>
            <w:shd w:val="clear" w:color="auto" w:fill="ffffff"/>
            <w:vAlign w:val="center"/>
            <w:hideMark/>
          </w:tcPr>
          <w:p>
            <w:pPr>
              <w:pStyle w:val="style157"/>
              <w:rPr>
                <w:sz w:val="20"/>
                <w:szCs w:val="20"/>
              </w:rPr>
            </w:pPr>
          </w:p>
        </w:tc>
        <w:tc>
          <w:tcPr>
            <w:tcW w:w="0" w:type="auto"/>
            <w:tcBorders/>
            <w:shd w:val="clear" w:color="auto" w:fill="ffffff"/>
            <w:vAlign w:val="center"/>
            <w:hideMark/>
          </w:tcPr>
          <w:p>
            <w:pPr>
              <w:pStyle w:val="style157"/>
              <w:rPr>
                <w:sz w:val="20"/>
                <w:szCs w:val="20"/>
              </w:rPr>
            </w:pPr>
          </w:p>
        </w:tc>
      </w:tr>
      <w:tr>
        <w:tblPrEx/>
        <w:trPr>
          <w:tblCellSpacing w:w="15" w:type="dxa"/>
        </w:trPr>
        <w:tc>
          <w:tcPr>
            <w:tcW w:w="0" w:type="auto"/>
            <w:tcBorders/>
            <w:shd w:val="clear" w:color="auto" w:fill="ffffff"/>
            <w:vAlign w:val="center"/>
            <w:hideMark/>
          </w:tcPr>
          <w:p>
            <w:pPr>
              <w:pStyle w:val="style157"/>
              <w:rPr/>
            </w:pPr>
            <w:r>
              <w:t>Cor</w:t>
            </w:r>
            <w:r>
              <w:t xml:space="preserve"> Total</w:t>
            </w:r>
          </w:p>
        </w:tc>
        <w:tc>
          <w:tcPr>
            <w:tcW w:w="0" w:type="auto"/>
            <w:tcBorders/>
            <w:shd w:val="clear" w:color="auto" w:fill="ffffff"/>
            <w:vAlign w:val="center"/>
            <w:hideMark/>
          </w:tcPr>
          <w:p>
            <w:pPr>
              <w:pStyle w:val="style157"/>
              <w:rPr/>
            </w:pPr>
            <w:r>
              <w:t>169.73</w:t>
            </w:r>
          </w:p>
        </w:tc>
        <w:tc>
          <w:tcPr>
            <w:tcW w:w="0" w:type="auto"/>
            <w:tcBorders/>
            <w:shd w:val="clear" w:color="auto" w:fill="ffffff"/>
            <w:vAlign w:val="center"/>
            <w:hideMark/>
          </w:tcPr>
          <w:p>
            <w:pPr>
              <w:pStyle w:val="style157"/>
              <w:rPr/>
            </w:pPr>
            <w:r>
              <w:t>14</w:t>
            </w:r>
          </w:p>
        </w:tc>
        <w:tc>
          <w:tcPr>
            <w:tcW w:w="0" w:type="auto"/>
            <w:tcBorders/>
            <w:shd w:val="clear" w:color="auto" w:fill="ffffff"/>
            <w:vAlign w:val="center"/>
            <w:hideMark/>
          </w:tcPr>
          <w:p>
            <w:pPr>
              <w:pStyle w:val="style157"/>
              <w:rPr/>
            </w:pPr>
          </w:p>
        </w:tc>
        <w:tc>
          <w:tcPr>
            <w:tcW w:w="0" w:type="auto"/>
            <w:tcBorders/>
            <w:shd w:val="clear" w:color="auto" w:fill="ffffff"/>
            <w:vAlign w:val="center"/>
            <w:hideMark/>
          </w:tcPr>
          <w:p>
            <w:pPr>
              <w:pStyle w:val="style157"/>
              <w:rPr>
                <w:sz w:val="20"/>
                <w:szCs w:val="20"/>
              </w:rPr>
            </w:pPr>
          </w:p>
        </w:tc>
        <w:tc>
          <w:tcPr>
            <w:tcW w:w="0" w:type="auto"/>
            <w:tcBorders/>
            <w:shd w:val="clear" w:color="auto" w:fill="ffffff"/>
            <w:vAlign w:val="center"/>
            <w:hideMark/>
          </w:tcPr>
          <w:p>
            <w:pPr>
              <w:pStyle w:val="style157"/>
              <w:rPr>
                <w:sz w:val="20"/>
                <w:szCs w:val="20"/>
              </w:rPr>
            </w:pPr>
          </w:p>
        </w:tc>
        <w:tc>
          <w:tcPr>
            <w:tcW w:w="0" w:type="auto"/>
            <w:tcBorders/>
            <w:shd w:val="clear" w:color="auto" w:fill="ffffff"/>
            <w:vAlign w:val="center"/>
            <w:hideMark/>
          </w:tcPr>
          <w:p>
            <w:pPr>
              <w:pStyle w:val="style157"/>
              <w:rPr>
                <w:sz w:val="20"/>
                <w:szCs w:val="20"/>
              </w:rPr>
            </w:pPr>
          </w:p>
        </w:tc>
      </w:tr>
    </w:tbl>
    <w:p>
      <w:pPr>
        <w:pStyle w:val="style66"/>
        <w:spacing w:lineRule="auto" w:line="276"/>
        <w:ind w:right="730"/>
        <w:jc w:val="both"/>
        <w:rPr>
          <w:rFonts w:eastAsia="Calibri"/>
        </w:rPr>
      </w:pPr>
      <w:r>
        <w:rPr>
          <w:rFonts w:eastAsia="Calibri"/>
        </w:rPr>
        <w:tab/>
      </w:r>
      <w:r>
        <w:rPr>
          <w:rFonts w:eastAsia="Calibri"/>
        </w:rPr>
        <w:tab/>
      </w:r>
      <w:r>
        <w:rPr>
          <w:rFonts w:eastAsia="Calibri"/>
        </w:rPr>
        <w:tab/>
      </w:r>
      <w:r>
        <w:rPr>
          <w:rFonts w:eastAsia="Calibri"/>
        </w:rPr>
        <w:tab/>
      </w:r>
    </w:p>
    <w:p>
      <w:pPr>
        <w:pStyle w:val="style66"/>
        <w:spacing w:lineRule="auto" w:line="276"/>
        <w:ind w:right="730"/>
        <w:jc w:val="both"/>
        <w:rPr>
          <w:rFonts w:eastAsia="Calibri"/>
        </w:rPr>
      </w:pPr>
    </w:p>
    <w:p>
      <w:pPr>
        <w:pStyle w:val="style66"/>
        <w:spacing w:lineRule="auto" w:line="276"/>
        <w:ind w:right="730"/>
        <w:jc w:val="both"/>
        <w:rPr>
          <w:rFonts w:eastAsia="Calibri"/>
        </w:rPr>
      </w:pPr>
      <w:r>
        <w:rPr>
          <w:rFonts w:eastAsia="Calibri"/>
        </w:rPr>
        <w:t xml:space="preserve">Factor coding is </w:t>
      </w:r>
      <w:r>
        <w:rPr>
          <w:rFonts w:eastAsia="Calibri"/>
        </w:rPr>
        <w:t>Coded</w:t>
      </w:r>
      <w:r>
        <w:rPr>
          <w:rFonts w:eastAsia="Calibri"/>
        </w:rPr>
        <w:t>.</w:t>
      </w:r>
    </w:p>
    <w:p>
      <w:pPr>
        <w:pStyle w:val="style66"/>
        <w:spacing w:lineRule="auto" w:line="276"/>
        <w:ind w:right="730"/>
        <w:jc w:val="both"/>
        <w:rPr>
          <w:rFonts w:eastAsia="Calibri"/>
        </w:rPr>
      </w:pPr>
      <w:r>
        <w:rPr>
          <w:rFonts w:eastAsia="Calibri"/>
        </w:rPr>
        <w:t>Sum of squares is type III - Partial</w:t>
      </w:r>
    </w:p>
    <w:p>
      <w:pPr>
        <w:pStyle w:val="style66"/>
        <w:spacing w:lineRule="auto" w:line="276"/>
        <w:ind w:right="730"/>
        <w:jc w:val="both"/>
        <w:rPr>
          <w:rFonts w:eastAsia="Calibri"/>
        </w:rPr>
      </w:pPr>
      <w:r>
        <w:rPr>
          <w:rFonts w:eastAsia="Calibri"/>
        </w:rPr>
        <w:t>The version F-cost of 12.36 implies the model is full-size. There may be only a zero.08% chance that an F-cost this big could occur due to noise.</w:t>
      </w:r>
    </w:p>
    <w:p>
      <w:pPr>
        <w:pStyle w:val="style66"/>
        <w:spacing w:lineRule="auto" w:line="276"/>
        <w:ind w:right="730"/>
        <w:jc w:val="both"/>
        <w:rPr>
          <w:rFonts w:eastAsia="Calibri"/>
        </w:rPr>
      </w:pPr>
      <w:r>
        <w:rPr>
          <w:rFonts w:eastAsia="Calibri"/>
        </w:rPr>
        <w:t xml:space="preserve">P-values less than zero.0500 indicate model terms are great. In this case A is a giant version time period. Values extra than </w:t>
      </w:r>
      <w:r>
        <w:rPr>
          <w:rFonts w:eastAsia="Calibri"/>
        </w:rPr>
        <w:t>zero.One</w:t>
      </w:r>
      <w:r>
        <w:rPr>
          <w:rFonts w:eastAsia="Calibri"/>
        </w:rPr>
        <w:t xml:space="preserve"> thousand indicate the model terms aren't sizable. If there are many insignificant version phrases (now not counting the ones required to assist hierarchy), version reduction can also enhance your model.</w:t>
      </w:r>
    </w:p>
    <w:p>
      <w:pPr>
        <w:pStyle w:val="style66"/>
        <w:spacing w:lineRule="auto" w:line="276"/>
        <w:ind w:right="730"/>
        <w:jc w:val="both"/>
        <w:rPr>
          <w:rFonts w:eastAsia="Calibri"/>
        </w:rPr>
      </w:pPr>
    </w:p>
    <w:p>
      <w:pPr>
        <w:pStyle w:val="style66"/>
        <w:spacing w:lineRule="auto" w:line="276"/>
        <w:ind w:right="730"/>
        <w:jc w:val="both"/>
        <w:rPr>
          <w:rFonts w:eastAsia="Calibri"/>
        </w:rPr>
      </w:pPr>
      <w:r>
        <w:rPr>
          <w:rFonts w:eastAsia="Calibri"/>
        </w:rPr>
        <w:t>A.  Impact of method variables on Particle size</w:t>
      </w:r>
    </w:p>
    <w:p>
      <w:pPr>
        <w:pStyle w:val="style66"/>
        <w:spacing w:lineRule="auto" w:line="276"/>
        <w:ind w:right="730"/>
        <w:jc w:val="both"/>
        <w:rPr>
          <w:rFonts w:eastAsia="Calibri"/>
        </w:rPr>
      </w:pPr>
      <w:r>
        <w:rPr>
          <w:rFonts w:eastAsia="Calibri"/>
        </w:rPr>
        <w:t xml:space="preserve">ANOVA turned into applied to decide the importance and the value of the outcomes of the variables and their interplay on reaction </w:t>
      </w:r>
      <w:r>
        <w:rPr>
          <w:rFonts w:eastAsia="Calibri"/>
        </w:rPr>
        <w:t>Y1(</w:t>
      </w:r>
      <w:r>
        <w:rPr>
          <w:rFonts w:eastAsia="Calibri"/>
        </w:rPr>
        <w:t>Particle length).The regression model acquired become used to generate the contour plots for reading interactions of the unbiased elements.</w:t>
      </w:r>
    </w:p>
    <w:p>
      <w:pPr>
        <w:pStyle w:val="style66"/>
        <w:spacing w:lineRule="auto" w:line="276"/>
        <w:ind w:right="730"/>
        <w:jc w:val="center"/>
        <w:rPr>
          <w:rFonts w:eastAsia="Calibri"/>
        </w:rPr>
      </w:pPr>
      <w:r>
        <w:rPr>
          <w:rFonts w:eastAsia="Calibri"/>
          <w:noProof/>
        </w:rPr>
        <w:drawing>
          <wp:inline distL="0" distT="0" distB="0" distR="0">
            <wp:extent cx="4727879" cy="2244841"/>
            <wp:effectExtent l="38100" t="57150" r="110821" b="98309"/>
            <wp:docPr id="103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4727879" cy="2244841"/>
                    </a:xfrm>
                    <a:prstGeom prst="rect"/>
                    <a:ln cmpd="sng" cap="sq" w="38100">
                      <a:solidFill>
                        <a:srgbClr val="000000"/>
                      </a:solidFill>
                      <a:prstDash val="solid"/>
                      <a:miter/>
                      <a:headEnd/>
                      <a:tailEnd/>
                    </a:ln>
                    <a:effectLst>
                      <a:outerShdw rotWithShape="false" sx="100000" sy="100000" dist="38100" dir="2700000" blurRad="50800" kx="0" ky="0" algn="tl">
                        <a:srgbClr val="000000">
                          <a:alpha val="43000"/>
                        </a:srgbClr>
                      </a:outerShdw>
                    </a:effectLst>
                  </pic:spPr>
                </pic:pic>
              </a:graphicData>
            </a:graphic>
          </wp:inline>
        </w:drawing>
      </w:r>
    </w:p>
    <w:p>
      <w:pPr>
        <w:pStyle w:val="style0"/>
        <w:rPr>
          <w:rFonts w:ascii="Times New Roman" w:cs="Times New Roman" w:eastAsia="Times New Roman" w:hAnsi="Times New Roman"/>
          <w:sz w:val="24"/>
          <w:szCs w:val="24"/>
        </w:rPr>
      </w:pPr>
      <w:r>
        <w:rPr>
          <w:rFonts w:ascii="Times New Roman" w:cs="Times New Roman" w:hAnsi="Times New Roman"/>
          <w:sz w:val="24"/>
          <w:szCs w:val="24"/>
        </w:rPr>
        <w:t xml:space="preserve">              Fig no 1=</w:t>
      </w:r>
      <w:r>
        <w:rPr>
          <w:rFonts w:ascii="Times New Roman" w:cs="Times New Roman" w:eastAsia="Times New Roman" w:hAnsi="Times New Roman"/>
          <w:sz w:val="24"/>
          <w:szCs w:val="24"/>
        </w:rPr>
        <w:t xml:space="preserve">Effect of formulation variables on Particle </w:t>
      </w:r>
      <w:r>
        <w:rPr>
          <w:rFonts w:ascii="Times New Roman" w:cs="Times New Roman" w:eastAsia="Times New Roman" w:hAnsi="Times New Roman"/>
          <w:sz w:val="24"/>
          <w:szCs w:val="24"/>
        </w:rPr>
        <w:t>size</w:t>
      </w:r>
      <w:r>
        <w:rPr>
          <w:rFonts w:ascii="Times New Roman" w:cs="Times New Roman" w:eastAsia="Times New Roman" w:hAnsi="Times New Roman"/>
          <w:sz w:val="24"/>
          <w:szCs w:val="24"/>
        </w:rPr>
        <w:t>(</w:t>
      </w:r>
      <w:r>
        <w:rPr>
          <w:rFonts w:ascii="Times New Roman" w:cs="Times New Roman" w:eastAsia="Times New Roman" w:hAnsi="Times New Roman"/>
          <w:sz w:val="24"/>
          <w:szCs w:val="24"/>
        </w:rPr>
        <w:t>Contour Plots)</w:t>
      </w:r>
    </w:p>
    <w:p>
      <w:pPr>
        <w:pStyle w:val="style0"/>
        <w:rPr>
          <w:rFonts w:ascii="Times New Roman" w:cs="Times New Roman" w:eastAsia="Times New Roman" w:hAnsi="Times New Roman"/>
          <w:sz w:val="24"/>
          <w:szCs w:val="24"/>
        </w:rPr>
      </w:pPr>
    </w:p>
    <w:p>
      <w:pPr>
        <w:pStyle w:val="style66"/>
        <w:spacing w:lineRule="auto" w:line="276"/>
        <w:ind w:right="730"/>
        <w:jc w:val="center"/>
        <w:rPr>
          <w:rFonts w:eastAsia="Calibri"/>
        </w:rPr>
      </w:pPr>
      <w:r>
        <w:rPr>
          <w:rFonts w:eastAsia="Calibri"/>
          <w:noProof/>
        </w:rPr>
        <w:drawing>
          <wp:inline distL="0" distT="0" distB="0" distR="0">
            <wp:extent cx="4815343" cy="2353653"/>
            <wp:effectExtent l="38100" t="57150" r="118607" b="103797"/>
            <wp:docPr id="1032"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4815343" cy="2353653"/>
                    </a:xfrm>
                    <a:prstGeom prst="rect"/>
                    <a:ln cmpd="sng" cap="sq" w="38100">
                      <a:solidFill>
                        <a:srgbClr val="000000"/>
                      </a:solidFill>
                      <a:prstDash val="solid"/>
                      <a:miter/>
                      <a:headEnd/>
                      <a:tailEnd/>
                    </a:ln>
                    <a:effectLst>
                      <a:outerShdw rotWithShape="false" sx="100000" sy="100000" dist="38100" dir="2700000" blurRad="50800" kx="0" ky="0" algn="tl">
                        <a:srgbClr val="000000">
                          <a:alpha val="43000"/>
                        </a:srgbClr>
                      </a:outerShdw>
                    </a:effectLst>
                  </pic:spPr>
                </pic:pic>
              </a:graphicData>
            </a:graphic>
          </wp:inline>
        </w:drawing>
      </w:r>
    </w:p>
    <w:p>
      <w:pPr>
        <w:pStyle w:val="style0"/>
        <w:rPr>
          <w:rFonts w:ascii="Times New Roman" w:cs="Times New Roman" w:hAnsi="Times New Roman"/>
          <w:sz w:val="24"/>
          <w:szCs w:val="24"/>
        </w:rPr>
      </w:pPr>
      <w:r>
        <w:rPr>
          <w:rFonts w:ascii="Times New Roman" w:cs="Times New Roman" w:hAnsi="Times New Roman"/>
          <w:sz w:val="24"/>
          <w:szCs w:val="24"/>
        </w:rPr>
        <w:t xml:space="preserve">                Fig No 2 </w:t>
      </w:r>
      <w:r>
        <w:rPr>
          <w:rFonts w:ascii="Times New Roman" w:cs="Times New Roman" w:eastAsia="Times New Roman" w:hAnsi="Times New Roman"/>
          <w:sz w:val="24"/>
          <w:szCs w:val="24"/>
        </w:rPr>
        <w:t xml:space="preserve">Effect of formulation variables on Particle </w:t>
      </w:r>
      <w:r>
        <w:rPr>
          <w:rFonts w:ascii="Times New Roman" w:cs="Times New Roman" w:eastAsia="Times New Roman" w:hAnsi="Times New Roman"/>
          <w:sz w:val="24"/>
          <w:szCs w:val="24"/>
        </w:rPr>
        <w:t>size</w:t>
      </w:r>
      <w:r>
        <w:rPr>
          <w:rFonts w:ascii="Times New Roman" w:cs="Times New Roman" w:eastAsia="Times New Roman" w:hAnsi="Times New Roman"/>
          <w:sz w:val="24"/>
          <w:szCs w:val="24"/>
        </w:rPr>
        <w:t>(</w:t>
      </w:r>
      <w:r>
        <w:rPr>
          <w:rFonts w:ascii="Times New Roman" w:cs="Times New Roman" w:eastAsia="Times New Roman" w:hAnsi="Times New Roman"/>
          <w:sz w:val="24"/>
          <w:szCs w:val="24"/>
        </w:rPr>
        <w:t>3D surface)</w:t>
      </w:r>
    </w:p>
    <w:p>
      <w:pPr>
        <w:pStyle w:val="style66"/>
        <w:spacing w:lineRule="auto" w:line="276"/>
        <w:ind w:right="730"/>
        <w:jc w:val="both"/>
        <w:rPr>
          <w:rFonts w:eastAsia="Calibri"/>
        </w:rPr>
      </w:pPr>
    </w:p>
    <w:p>
      <w:pPr>
        <w:pStyle w:val="style66"/>
        <w:spacing w:lineRule="auto" w:line="276"/>
        <w:ind w:right="730"/>
        <w:jc w:val="both"/>
        <w:rPr>
          <w:rFonts w:eastAsia="Calibri"/>
        </w:rPr>
      </w:pPr>
      <w:r>
        <w:rPr>
          <w:rFonts w:eastAsia="Calibri"/>
        </w:rPr>
        <w:t>B. Effect of system variables on %cumulative drug release</w:t>
      </w:r>
    </w:p>
    <w:p>
      <w:pPr>
        <w:pStyle w:val="style66"/>
        <w:spacing w:lineRule="auto" w:line="276"/>
        <w:ind w:right="730"/>
        <w:jc w:val="both"/>
        <w:rPr>
          <w:rFonts w:eastAsia="Calibri"/>
        </w:rPr>
      </w:pPr>
      <w:r>
        <w:rPr>
          <w:rFonts w:eastAsia="Calibri"/>
        </w:rPr>
        <w:t xml:space="preserve">ANOVA was implemented to determine the importance and the magnitude of the effects of the variables and their interaction on reaction </w:t>
      </w:r>
      <w:r>
        <w:rPr>
          <w:rFonts w:eastAsia="Calibri"/>
        </w:rPr>
        <w:t>Y2(</w:t>
      </w:r>
      <w:r>
        <w:rPr>
          <w:rFonts w:eastAsia="Calibri"/>
        </w:rPr>
        <w:t>% Cumulative drug release).The regression model obtained turned into used to generate the contour plots for analyzing interactions of the independent factors.</w:t>
      </w:r>
    </w:p>
    <w:p>
      <w:pPr>
        <w:pStyle w:val="style66"/>
        <w:spacing w:lineRule="auto" w:line="276"/>
        <w:ind w:right="730"/>
        <w:jc w:val="both"/>
        <w:rPr>
          <w:rFonts w:eastAsia="Calibri"/>
        </w:rPr>
      </w:pPr>
    </w:p>
    <w:p>
      <w:pPr>
        <w:pStyle w:val="style66"/>
        <w:spacing w:lineRule="auto" w:line="276"/>
        <w:ind w:right="730"/>
        <w:jc w:val="center"/>
        <w:rPr>
          <w:rFonts w:eastAsia="Calibri"/>
        </w:rPr>
      </w:pPr>
      <w:r>
        <w:rPr>
          <w:rFonts w:eastAsia="Calibri"/>
          <w:noProof/>
        </w:rPr>
        <w:drawing>
          <wp:inline distL="0" distT="0" distB="0" distR="0">
            <wp:extent cx="5086847" cy="2429296"/>
            <wp:effectExtent l="38100" t="57150" r="113803" b="104354"/>
            <wp:docPr id="1033"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0"/>
                    <a:stretch/>
                  </pic:blipFill>
                  <pic:spPr>
                    <a:xfrm rot="0">
                      <a:off x="0" y="0"/>
                      <a:ext cx="5086847" cy="2429296"/>
                    </a:xfrm>
                    <a:prstGeom prst="rect"/>
                    <a:ln cmpd="sng" cap="sq" w="38100">
                      <a:solidFill>
                        <a:srgbClr val="000000"/>
                      </a:solidFill>
                      <a:prstDash val="solid"/>
                      <a:miter/>
                      <a:headEnd/>
                      <a:tailEnd/>
                    </a:ln>
                    <a:effectLst>
                      <a:outerShdw rotWithShape="false" sx="100000" sy="100000" dist="38100" dir="2700000" blurRad="50800" kx="0" ky="0" algn="tl">
                        <a:srgbClr val="000000">
                          <a:alpha val="43000"/>
                        </a:srgbClr>
                      </a:outerShdw>
                    </a:effectLst>
                  </pic:spPr>
                </pic:pic>
              </a:graphicData>
            </a:graphic>
          </wp:inline>
        </w:drawing>
      </w:r>
    </w:p>
    <w:p>
      <w:pPr>
        <w:pStyle w:val="style0"/>
        <w:rPr>
          <w:rFonts w:ascii="Times New Roman" w:cs="Times New Roman" w:eastAsia="Times New Roman" w:hAnsi="Times New Roman"/>
          <w:sz w:val="24"/>
          <w:szCs w:val="24"/>
        </w:rPr>
      </w:pPr>
      <w:r>
        <w:rPr>
          <w:rFonts w:ascii="Times New Roman" w:cs="Times New Roman" w:hAnsi="Times New Roman"/>
          <w:sz w:val="24"/>
          <w:szCs w:val="24"/>
        </w:rPr>
        <w:t xml:space="preserve">Fig No-3 </w:t>
      </w:r>
      <w:r>
        <w:rPr>
          <w:rFonts w:ascii="Times New Roman" w:cs="Times New Roman" w:eastAsia="Times New Roman" w:hAnsi="Times New Roman"/>
          <w:sz w:val="24"/>
          <w:szCs w:val="24"/>
        </w:rPr>
        <w:t xml:space="preserve">Effect of formulation variables on %cumulative drug </w:t>
      </w:r>
      <w:r>
        <w:rPr>
          <w:rFonts w:ascii="Times New Roman" w:cs="Times New Roman" w:eastAsia="Times New Roman" w:hAnsi="Times New Roman"/>
          <w:sz w:val="24"/>
          <w:szCs w:val="24"/>
        </w:rPr>
        <w:t>release</w:t>
      </w:r>
      <w:r>
        <w:rPr>
          <w:rFonts w:ascii="Times New Roman" w:cs="Times New Roman" w:eastAsia="Times New Roman" w:hAnsi="Times New Roman"/>
          <w:sz w:val="24"/>
          <w:szCs w:val="24"/>
        </w:rPr>
        <w:t>(</w:t>
      </w:r>
      <w:r>
        <w:rPr>
          <w:rFonts w:ascii="Times New Roman" w:cs="Times New Roman" w:eastAsia="Times New Roman" w:hAnsi="Times New Roman"/>
          <w:sz w:val="24"/>
          <w:szCs w:val="24"/>
        </w:rPr>
        <w:t>Contour Plots)</w:t>
      </w:r>
    </w:p>
    <w:p>
      <w:pPr>
        <w:pStyle w:val="style66"/>
        <w:spacing w:lineRule="auto" w:line="276"/>
        <w:ind w:right="730"/>
        <w:jc w:val="both"/>
        <w:rPr>
          <w:rFonts w:eastAsia="Calibri"/>
        </w:rPr>
      </w:pPr>
    </w:p>
    <w:p>
      <w:pPr>
        <w:pStyle w:val="style66"/>
        <w:spacing w:lineRule="auto" w:line="276"/>
        <w:ind w:right="730"/>
        <w:jc w:val="both"/>
        <w:rPr>
          <w:rFonts w:eastAsia="Calibri"/>
        </w:rPr>
      </w:pPr>
    </w:p>
    <w:p>
      <w:pPr>
        <w:pStyle w:val="style66"/>
        <w:spacing w:lineRule="auto" w:line="276"/>
        <w:ind w:right="730"/>
        <w:jc w:val="both"/>
        <w:rPr>
          <w:rFonts w:eastAsia="Calibri"/>
        </w:rPr>
      </w:pPr>
    </w:p>
    <w:p>
      <w:pPr>
        <w:pStyle w:val="style66"/>
        <w:spacing w:lineRule="auto" w:line="276"/>
        <w:ind w:right="730"/>
        <w:jc w:val="center"/>
        <w:rPr>
          <w:rFonts w:eastAsia="Calibri"/>
        </w:rPr>
      </w:pPr>
      <w:r>
        <w:rPr>
          <w:rFonts w:eastAsia="Calibri"/>
          <w:noProof/>
        </w:rPr>
        <w:drawing>
          <wp:inline distL="0" distT="0" distB="0" distR="0">
            <wp:extent cx="4707172" cy="2454102"/>
            <wp:effectExtent l="38100" t="57150" r="112478" b="98598"/>
            <wp:docPr id="1034"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5" cstate="print"/>
                    <a:srcRect l="0" t="0" r="0" b="0"/>
                    <a:stretch/>
                  </pic:blipFill>
                  <pic:spPr>
                    <a:xfrm rot="0">
                      <a:off x="0" y="0"/>
                      <a:ext cx="4707172" cy="2454102"/>
                    </a:xfrm>
                    <a:prstGeom prst="rect"/>
                    <a:ln cmpd="sng" cap="sq" w="38100">
                      <a:solidFill>
                        <a:srgbClr val="000000"/>
                      </a:solidFill>
                      <a:prstDash val="solid"/>
                      <a:miter/>
                      <a:headEnd/>
                      <a:tailEnd/>
                    </a:ln>
                    <a:effectLst>
                      <a:outerShdw rotWithShape="false" sx="100000" sy="100000" dist="38100" dir="2700000" blurRad="50800" kx="0" ky="0" algn="tl">
                        <a:srgbClr val="000000">
                          <a:alpha val="43000"/>
                        </a:srgbClr>
                      </a:outerShdw>
                    </a:effectLst>
                  </pic:spPr>
                </pic:pic>
              </a:graphicData>
            </a:graphic>
          </wp:inline>
        </w:drawing>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Fig No-4 </w:t>
      </w:r>
      <w:r>
        <w:rPr>
          <w:rFonts w:ascii="Times New Roman" w:cs="Times New Roman" w:eastAsia="Times New Roman" w:hAnsi="Times New Roman"/>
          <w:sz w:val="24"/>
          <w:szCs w:val="24"/>
        </w:rPr>
        <w:t xml:space="preserve">Effect of formulation variables on %cumulative drug </w:t>
      </w:r>
      <w:r>
        <w:rPr>
          <w:rFonts w:ascii="Times New Roman" w:cs="Times New Roman" w:eastAsia="Times New Roman" w:hAnsi="Times New Roman"/>
          <w:sz w:val="24"/>
          <w:szCs w:val="24"/>
        </w:rPr>
        <w:t>release</w:t>
      </w:r>
      <w:r>
        <w:rPr>
          <w:rFonts w:ascii="Times New Roman" w:cs="Times New Roman" w:eastAsia="Times New Roman" w:hAnsi="Times New Roman"/>
          <w:sz w:val="24"/>
          <w:szCs w:val="24"/>
        </w:rPr>
        <w:t>(</w:t>
      </w:r>
      <w:r>
        <w:rPr>
          <w:rFonts w:ascii="Times New Roman" w:cs="Times New Roman" w:eastAsia="Times New Roman" w:hAnsi="Times New Roman"/>
          <w:sz w:val="24"/>
          <w:szCs w:val="24"/>
        </w:rPr>
        <w:t>3D Graph)</w:t>
      </w:r>
    </w:p>
    <w:p>
      <w:pPr>
        <w:pStyle w:val="style66"/>
        <w:spacing w:lineRule="auto" w:line="276"/>
        <w:ind w:right="730"/>
        <w:jc w:val="both"/>
        <w:rPr>
          <w:rFonts w:eastAsia="Calibri"/>
        </w:rPr>
      </w:pPr>
    </w:p>
    <w:p>
      <w:pPr>
        <w:pStyle w:val="style66"/>
        <w:spacing w:lineRule="auto" w:line="276"/>
        <w:ind w:right="730"/>
        <w:jc w:val="both"/>
        <w:rPr>
          <w:rFonts w:eastAsia="Calibri"/>
        </w:rPr>
      </w:pPr>
    </w:p>
    <w:p>
      <w:pPr>
        <w:pStyle w:val="style66"/>
        <w:spacing w:lineRule="auto" w:line="276"/>
        <w:ind w:right="730"/>
        <w:jc w:val="both"/>
        <w:rPr>
          <w:rFonts w:eastAsia="Calibri"/>
        </w:rPr>
      </w:pPr>
      <w:r>
        <w:rPr>
          <w:rFonts w:eastAsia="Calibri"/>
        </w:rPr>
        <w:t>C. Effect of method variables on %Entrapment efficiency</w:t>
      </w:r>
    </w:p>
    <w:p>
      <w:pPr>
        <w:pStyle w:val="style66"/>
        <w:spacing w:lineRule="auto" w:line="276"/>
        <w:ind w:right="730"/>
        <w:jc w:val="both"/>
        <w:rPr>
          <w:rFonts w:eastAsia="Calibri"/>
        </w:rPr>
      </w:pPr>
      <w:r>
        <w:rPr>
          <w:rFonts w:eastAsia="Calibri"/>
        </w:rPr>
        <w:t xml:space="preserve">ANOVA become implemented to decide the importance and the importance of the results of the variables and their interaction on reaction </w:t>
      </w:r>
      <w:r>
        <w:rPr>
          <w:rFonts w:eastAsia="Calibri"/>
        </w:rPr>
        <w:t>Y3(</w:t>
      </w:r>
      <w:r>
        <w:rPr>
          <w:rFonts w:eastAsia="Calibri"/>
        </w:rPr>
        <w:t>% Entrapment performance).The regression version obtained was used to generate the contour plots for analyzing interactions of the unbiased factors.</w:t>
      </w:r>
    </w:p>
    <w:p>
      <w:pPr>
        <w:pStyle w:val="style66"/>
        <w:spacing w:lineRule="auto" w:line="276"/>
        <w:ind w:right="730"/>
        <w:jc w:val="center"/>
        <w:rPr>
          <w:rFonts w:eastAsia="Calibri"/>
        </w:rPr>
      </w:pPr>
      <w:r>
        <w:rPr>
          <w:rFonts w:eastAsia="Calibri"/>
          <w:noProof/>
        </w:rPr>
        <w:drawing>
          <wp:inline distL="0" distT="0" distB="0" distR="0">
            <wp:extent cx="5451447" cy="2508481"/>
            <wp:effectExtent l="38100" t="57150" r="111153" b="101369"/>
            <wp:docPr id="1035"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6" cstate="print"/>
                    <a:srcRect l="0" t="0" r="0" b="0"/>
                    <a:stretch/>
                  </pic:blipFill>
                  <pic:spPr>
                    <a:xfrm rot="0">
                      <a:off x="0" y="0"/>
                      <a:ext cx="5451447" cy="2508481"/>
                    </a:xfrm>
                    <a:prstGeom prst="rect"/>
                    <a:ln cmpd="sng" cap="sq" w="38100">
                      <a:solidFill>
                        <a:srgbClr val="000000"/>
                      </a:solidFill>
                      <a:prstDash val="solid"/>
                      <a:miter/>
                      <a:headEnd/>
                      <a:tailEnd/>
                    </a:ln>
                    <a:effectLst>
                      <a:outerShdw rotWithShape="false" sx="100000" sy="100000" dist="38100" dir="2700000" blurRad="50800" kx="0" ky="0" algn="tl">
                        <a:srgbClr val="000000">
                          <a:alpha val="43000"/>
                        </a:srgbClr>
                      </a:outerShdw>
                    </a:effectLst>
                  </pic:spPr>
                </pic:pic>
              </a:graphicData>
            </a:graphic>
          </wp:inline>
        </w:drawing>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Fig no-5 </w:t>
      </w:r>
      <w:r>
        <w:rPr>
          <w:rFonts w:ascii="Times New Roman" w:cs="Times New Roman" w:eastAsia="Times New Roman" w:hAnsi="Times New Roman"/>
          <w:sz w:val="24"/>
          <w:szCs w:val="24"/>
        </w:rPr>
        <w:t xml:space="preserve">Effect of formulation variables on %Entrapment </w:t>
      </w:r>
      <w:r>
        <w:rPr>
          <w:rFonts w:ascii="Times New Roman" w:cs="Times New Roman" w:eastAsia="Times New Roman" w:hAnsi="Times New Roman"/>
          <w:sz w:val="24"/>
          <w:szCs w:val="24"/>
        </w:rPr>
        <w:t>efficiency</w:t>
      </w:r>
      <w:r>
        <w:rPr>
          <w:rFonts w:ascii="Times New Roman" w:cs="Times New Roman" w:eastAsia="Times New Roman" w:hAnsi="Times New Roman"/>
          <w:sz w:val="24"/>
          <w:szCs w:val="24"/>
        </w:rPr>
        <w:t>(</w:t>
      </w:r>
      <w:r>
        <w:rPr>
          <w:rFonts w:ascii="Times New Roman" w:cs="Times New Roman" w:eastAsia="Times New Roman" w:hAnsi="Times New Roman"/>
          <w:sz w:val="24"/>
          <w:szCs w:val="24"/>
        </w:rPr>
        <w:t>Contour plots)</w:t>
      </w:r>
    </w:p>
    <w:p>
      <w:pPr>
        <w:pStyle w:val="style66"/>
        <w:spacing w:lineRule="auto" w:line="276"/>
        <w:ind w:right="730"/>
        <w:jc w:val="both"/>
        <w:rPr>
          <w:rFonts w:eastAsia="Calibri"/>
        </w:rPr>
      </w:pPr>
    </w:p>
    <w:p>
      <w:pPr>
        <w:pStyle w:val="style66"/>
        <w:spacing w:lineRule="auto" w:line="276"/>
        <w:ind w:right="730"/>
        <w:jc w:val="both"/>
        <w:rPr>
          <w:rFonts w:eastAsia="Calibri"/>
        </w:rPr>
      </w:pPr>
      <w:r>
        <w:rPr>
          <w:rFonts w:eastAsia="Calibri"/>
          <w:noProof/>
        </w:rPr>
        <w:drawing>
          <wp:inline distL="0" distT="0" distB="0" distR="0">
            <wp:extent cx="5061833" cy="2693051"/>
            <wp:effectExtent l="38100" t="57150" r="119766" b="88249"/>
            <wp:docPr id="1036"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7" cstate="print"/>
                    <a:srcRect l="0" t="0" r="0" b="0"/>
                    <a:stretch/>
                  </pic:blipFill>
                  <pic:spPr>
                    <a:xfrm rot="0">
                      <a:off x="0" y="0"/>
                      <a:ext cx="5061833" cy="2693051"/>
                    </a:xfrm>
                    <a:prstGeom prst="rect"/>
                    <a:ln cmpd="sng" cap="sq" w="38100">
                      <a:solidFill>
                        <a:srgbClr val="000000"/>
                      </a:solidFill>
                      <a:prstDash val="solid"/>
                      <a:miter/>
                      <a:headEnd/>
                      <a:tailEnd/>
                    </a:ln>
                    <a:effectLst>
                      <a:outerShdw rotWithShape="false" sx="100000" sy="100000" dist="38100" dir="2700000" blurRad="50800" kx="0" ky="0" algn="tl">
                        <a:srgbClr val="000000">
                          <a:alpha val="43000"/>
                        </a:srgbClr>
                      </a:outerShdw>
                    </a:effectLst>
                  </pic:spPr>
                </pic:pic>
              </a:graphicData>
            </a:graphic>
          </wp:inline>
        </w:drawing>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hAnsi="Times New Roman"/>
          <w:sz w:val="24"/>
          <w:szCs w:val="24"/>
        </w:rPr>
        <w:t xml:space="preserve">Fig No-6 </w:t>
      </w:r>
      <w:r>
        <w:rPr>
          <w:rFonts w:ascii="Times New Roman" w:cs="Times New Roman" w:eastAsia="Times New Roman" w:hAnsi="Times New Roman"/>
          <w:sz w:val="24"/>
          <w:szCs w:val="24"/>
        </w:rPr>
        <w:t xml:space="preserve">Effect of formulation variables on %Entrapment </w:t>
      </w:r>
      <w:r>
        <w:rPr>
          <w:rFonts w:ascii="Times New Roman" w:cs="Times New Roman" w:eastAsia="Times New Roman" w:hAnsi="Times New Roman"/>
          <w:sz w:val="24"/>
          <w:szCs w:val="24"/>
        </w:rPr>
        <w:t>efficiency</w:t>
      </w:r>
      <w:r>
        <w:rPr>
          <w:rFonts w:ascii="Times New Roman" w:cs="Times New Roman" w:eastAsia="Times New Roman" w:hAnsi="Times New Roman"/>
          <w:sz w:val="24"/>
          <w:szCs w:val="24"/>
        </w:rPr>
        <w:t>(</w:t>
      </w:r>
      <w:r>
        <w:rPr>
          <w:rFonts w:ascii="Times New Roman" w:cs="Times New Roman" w:eastAsia="Times New Roman" w:hAnsi="Times New Roman"/>
          <w:sz w:val="24"/>
          <w:szCs w:val="24"/>
        </w:rPr>
        <w:t>3D Surface)</w:t>
      </w:r>
    </w:p>
    <w:p>
      <w:pPr>
        <w:pStyle w:val="style66"/>
        <w:spacing w:lineRule="auto" w:line="276"/>
        <w:ind w:right="730"/>
        <w:jc w:val="both"/>
        <w:rPr>
          <w:rFonts w:eastAsia="Calibri"/>
        </w:rPr>
      </w:pPr>
    </w:p>
    <w:p>
      <w:pPr>
        <w:pStyle w:val="style66"/>
        <w:spacing w:lineRule="auto" w:line="276"/>
        <w:ind w:right="730"/>
        <w:jc w:val="both"/>
        <w:rPr>
          <w:rFonts w:eastAsia="Calibri"/>
        </w:rPr>
      </w:pPr>
    </w:p>
    <w:p>
      <w:pPr>
        <w:pStyle w:val="style66"/>
        <w:spacing w:lineRule="auto" w:line="276"/>
        <w:ind w:right="730"/>
        <w:jc w:val="both"/>
        <w:rPr>
          <w:rFonts w:eastAsia="Calibri"/>
        </w:rPr>
      </w:pPr>
    </w:p>
    <w:tbl>
      <w:tblPr>
        <w:tblStyle w:val="style154"/>
        <w:tblW w:w="9738" w:type="dxa"/>
        <w:tblLook w:val="04A0" w:firstRow="1" w:lastRow="0" w:firstColumn="1" w:lastColumn="0" w:noHBand="0" w:noVBand="1"/>
      </w:tblPr>
      <w:tblGrid>
        <w:gridCol w:w="571"/>
        <w:gridCol w:w="629"/>
        <w:gridCol w:w="2588"/>
        <w:gridCol w:w="1646"/>
        <w:gridCol w:w="1944"/>
        <w:gridCol w:w="1272"/>
        <w:gridCol w:w="1383"/>
        <w:gridCol w:w="1450"/>
      </w:tblGrid>
      <w:tr>
        <w:trPr>
          <w:trHeight w:val="2100" w:hRule="atLeast"/>
        </w:trPr>
        <w:tc>
          <w:tcPr>
            <w:tcW w:w="549" w:type="dxa"/>
            <w:tcBorders/>
            <w:hideMark/>
          </w:tcPr>
          <w:p>
            <w:pPr>
              <w:pStyle w:val="style0"/>
              <w:jc w:val="center"/>
              <w:rPr>
                <w:rFonts w:ascii="Times New Roman" w:cs="Times New Roman" w:hAnsi="Times New Roman"/>
                <w:sz w:val="24"/>
                <w:szCs w:val="24"/>
              </w:rPr>
            </w:pPr>
            <w:r>
              <w:rPr>
                <w:rFonts w:ascii="Times New Roman" w:cs="Times New Roman" w:hAnsi="Times New Roman"/>
                <w:sz w:val="24"/>
                <w:szCs w:val="24"/>
              </w:rPr>
              <w:t>Std</w:t>
            </w:r>
          </w:p>
        </w:tc>
        <w:tc>
          <w:tcPr>
            <w:tcW w:w="572" w:type="dxa"/>
            <w:tcBorders/>
            <w:hideMark/>
          </w:tcPr>
          <w:p>
            <w:pPr>
              <w:pStyle w:val="style0"/>
              <w:jc w:val="center"/>
              <w:rPr>
                <w:rFonts w:ascii="Times New Roman" w:cs="Times New Roman" w:hAnsi="Times New Roman"/>
                <w:sz w:val="24"/>
                <w:szCs w:val="24"/>
              </w:rPr>
            </w:pPr>
            <w:r>
              <w:rPr>
                <w:rFonts w:ascii="Times New Roman" w:cs="Times New Roman" w:hAnsi="Times New Roman"/>
                <w:sz w:val="24"/>
                <w:szCs w:val="24"/>
              </w:rPr>
              <w:t>Run</w:t>
            </w:r>
          </w:p>
        </w:tc>
        <w:tc>
          <w:tcPr>
            <w:tcW w:w="2100" w:type="dxa"/>
            <w:tcBorders/>
            <w:hideMark/>
          </w:tcPr>
          <w:p>
            <w:pPr>
              <w:pStyle w:val="style0"/>
              <w:jc w:val="center"/>
              <w:rPr>
                <w:rFonts w:ascii="Times New Roman" w:cs="Times New Roman" w:hAnsi="Times New Roman"/>
                <w:sz w:val="24"/>
                <w:szCs w:val="24"/>
              </w:rPr>
            </w:pPr>
            <w:r>
              <w:rPr>
                <w:rFonts w:ascii="Times New Roman" w:cs="Times New Roman" w:hAnsi="Times New Roman"/>
                <w:sz w:val="24"/>
                <w:szCs w:val="24"/>
              </w:rPr>
              <w:t xml:space="preserve">Factor 1 A </w:t>
            </w:r>
            <w:r>
              <w:rPr>
                <w:rFonts w:ascii="Times New Roman" w:cs="Times New Roman" w:hAnsi="Times New Roman"/>
                <w:sz w:val="24"/>
                <w:szCs w:val="24"/>
              </w:rPr>
              <w:t>Cholesterol:surfactant</w:t>
            </w:r>
            <w:r>
              <w:rPr>
                <w:rFonts w:ascii="Times New Roman" w:cs="Times New Roman" w:hAnsi="Times New Roman"/>
                <w:sz w:val="24"/>
                <w:szCs w:val="24"/>
              </w:rPr>
              <w:t xml:space="preserve">  ratio</w:t>
            </w:r>
          </w:p>
        </w:tc>
        <w:tc>
          <w:tcPr>
            <w:tcW w:w="1402" w:type="dxa"/>
            <w:tcBorders/>
            <w:hideMark/>
          </w:tcPr>
          <w:p>
            <w:pPr>
              <w:pStyle w:val="style0"/>
              <w:jc w:val="center"/>
              <w:rPr>
                <w:rFonts w:ascii="Times New Roman" w:cs="Times New Roman" w:hAnsi="Times New Roman"/>
                <w:sz w:val="24"/>
                <w:szCs w:val="24"/>
              </w:rPr>
            </w:pPr>
            <w:r>
              <w:rPr>
                <w:rFonts w:ascii="Times New Roman" w:cs="Times New Roman" w:hAnsi="Times New Roman"/>
                <w:sz w:val="24"/>
                <w:szCs w:val="24"/>
              </w:rPr>
              <w:t xml:space="preserve">Factor 2 B </w:t>
            </w:r>
            <w:r>
              <w:rPr>
                <w:rFonts w:ascii="Times New Roman" w:cs="Times New Roman" w:hAnsi="Times New Roman"/>
                <w:sz w:val="24"/>
                <w:szCs w:val="24"/>
              </w:rPr>
              <w:t>Noveon</w:t>
            </w:r>
            <w:r>
              <w:rPr>
                <w:rFonts w:ascii="Times New Roman" w:cs="Times New Roman" w:hAnsi="Times New Roman"/>
                <w:sz w:val="24"/>
                <w:szCs w:val="24"/>
              </w:rPr>
              <w:t xml:space="preserve"> AA1 </w:t>
            </w:r>
            <w:r>
              <w:rPr>
                <w:rFonts w:ascii="Times New Roman" w:cs="Times New Roman" w:hAnsi="Times New Roman"/>
                <w:sz w:val="24"/>
                <w:szCs w:val="24"/>
              </w:rPr>
              <w:t>polycarbophil</w:t>
            </w:r>
            <w:r>
              <w:rPr>
                <w:rFonts w:ascii="Times New Roman" w:cs="Times New Roman" w:hAnsi="Times New Roman"/>
                <w:sz w:val="24"/>
                <w:szCs w:val="24"/>
              </w:rPr>
              <w:t xml:space="preserve">  %w/v</w:t>
            </w:r>
          </w:p>
        </w:tc>
        <w:tc>
          <w:tcPr>
            <w:tcW w:w="1579" w:type="dxa"/>
            <w:tcBorders/>
            <w:hideMark/>
          </w:tcPr>
          <w:p>
            <w:pPr>
              <w:pStyle w:val="style0"/>
              <w:jc w:val="center"/>
              <w:rPr>
                <w:rFonts w:ascii="Times New Roman" w:cs="Times New Roman" w:hAnsi="Times New Roman"/>
                <w:sz w:val="24"/>
                <w:szCs w:val="24"/>
              </w:rPr>
            </w:pPr>
            <w:r>
              <w:rPr>
                <w:rFonts w:ascii="Times New Roman" w:cs="Times New Roman" w:hAnsi="Times New Roman"/>
                <w:sz w:val="24"/>
                <w:szCs w:val="24"/>
              </w:rPr>
              <w:t xml:space="preserve">Factor 3 C </w:t>
            </w:r>
            <w:r>
              <w:rPr>
                <w:rFonts w:ascii="Times New Roman" w:cs="Times New Roman" w:hAnsi="Times New Roman"/>
                <w:sz w:val="24"/>
                <w:szCs w:val="24"/>
              </w:rPr>
              <w:t>homogenisation</w:t>
            </w:r>
            <w:r>
              <w:rPr>
                <w:rFonts w:ascii="Times New Roman" w:cs="Times New Roman" w:hAnsi="Times New Roman"/>
                <w:sz w:val="24"/>
                <w:szCs w:val="24"/>
              </w:rPr>
              <w:t xml:space="preserve"> cycles numbers</w:t>
            </w:r>
          </w:p>
        </w:tc>
        <w:tc>
          <w:tcPr>
            <w:tcW w:w="1034" w:type="dxa"/>
            <w:tcBorders/>
            <w:hideMark/>
          </w:tcPr>
          <w:p>
            <w:pPr>
              <w:pStyle w:val="style0"/>
              <w:jc w:val="center"/>
              <w:rPr>
                <w:rFonts w:ascii="Times New Roman" w:cs="Times New Roman" w:hAnsi="Times New Roman"/>
                <w:sz w:val="24"/>
                <w:szCs w:val="24"/>
              </w:rPr>
            </w:pPr>
            <w:r>
              <w:rPr>
                <w:rFonts w:ascii="Times New Roman" w:cs="Times New Roman" w:hAnsi="Times New Roman"/>
                <w:sz w:val="24"/>
                <w:szCs w:val="24"/>
              </w:rPr>
              <w:t>Response 1 particle size nm</w:t>
            </w:r>
          </w:p>
        </w:tc>
        <w:tc>
          <w:tcPr>
            <w:tcW w:w="1164" w:type="dxa"/>
            <w:tcBorders/>
            <w:hideMark/>
          </w:tcPr>
          <w:p>
            <w:pPr>
              <w:pStyle w:val="style0"/>
              <w:jc w:val="center"/>
              <w:rPr>
                <w:rFonts w:ascii="Times New Roman" w:cs="Times New Roman" w:hAnsi="Times New Roman"/>
                <w:sz w:val="24"/>
                <w:szCs w:val="24"/>
              </w:rPr>
            </w:pPr>
            <w:r>
              <w:rPr>
                <w:rFonts w:ascii="Times New Roman" w:cs="Times New Roman" w:hAnsi="Times New Roman"/>
                <w:sz w:val="24"/>
                <w:szCs w:val="24"/>
              </w:rPr>
              <w:t>Response 2 cumulative drug release %</w:t>
            </w:r>
          </w:p>
        </w:tc>
        <w:tc>
          <w:tcPr>
            <w:tcW w:w="1338" w:type="dxa"/>
            <w:tcBorders/>
            <w:hideMark/>
          </w:tcPr>
          <w:p>
            <w:pPr>
              <w:pStyle w:val="style0"/>
              <w:jc w:val="center"/>
              <w:rPr>
                <w:rFonts w:ascii="Times New Roman" w:cs="Times New Roman" w:hAnsi="Times New Roman"/>
                <w:sz w:val="24"/>
                <w:szCs w:val="24"/>
              </w:rPr>
            </w:pPr>
            <w:r>
              <w:rPr>
                <w:rFonts w:ascii="Times New Roman" w:cs="Times New Roman" w:hAnsi="Times New Roman"/>
                <w:sz w:val="24"/>
                <w:szCs w:val="24"/>
              </w:rPr>
              <w:t>Response 3 entrapment efficiency %</w:t>
            </w:r>
          </w:p>
        </w:tc>
      </w:tr>
      <w:tr>
        <w:tblPrEx/>
        <w:trPr>
          <w:trHeight w:val="300" w:hRule="atLeast"/>
        </w:trPr>
        <w:tc>
          <w:tcPr>
            <w:tcW w:w="549"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12</w:t>
            </w:r>
          </w:p>
        </w:tc>
        <w:tc>
          <w:tcPr>
            <w:tcW w:w="572"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1</w:t>
            </w:r>
          </w:p>
        </w:tc>
        <w:tc>
          <w:tcPr>
            <w:tcW w:w="2100"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0</w:t>
            </w:r>
          </w:p>
        </w:tc>
        <w:tc>
          <w:tcPr>
            <w:tcW w:w="1402"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0.625</w:t>
            </w:r>
          </w:p>
        </w:tc>
        <w:tc>
          <w:tcPr>
            <w:tcW w:w="1579"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3</w:t>
            </w:r>
          </w:p>
        </w:tc>
        <w:tc>
          <w:tcPr>
            <w:tcW w:w="1034"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168.3</w:t>
            </w:r>
          </w:p>
        </w:tc>
        <w:tc>
          <w:tcPr>
            <w:tcW w:w="1164"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78</w:t>
            </w:r>
          </w:p>
        </w:tc>
        <w:tc>
          <w:tcPr>
            <w:tcW w:w="1338"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79.84</w:t>
            </w:r>
          </w:p>
        </w:tc>
      </w:tr>
      <w:tr>
        <w:tblPrEx/>
        <w:trPr>
          <w:trHeight w:val="300" w:hRule="atLeast"/>
        </w:trPr>
        <w:tc>
          <w:tcPr>
            <w:tcW w:w="549"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10</w:t>
            </w:r>
          </w:p>
        </w:tc>
        <w:tc>
          <w:tcPr>
            <w:tcW w:w="572"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2</w:t>
            </w:r>
          </w:p>
        </w:tc>
        <w:tc>
          <w:tcPr>
            <w:tcW w:w="2100"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0</w:t>
            </w:r>
          </w:p>
        </w:tc>
        <w:tc>
          <w:tcPr>
            <w:tcW w:w="1402"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0.625</w:t>
            </w:r>
          </w:p>
        </w:tc>
        <w:tc>
          <w:tcPr>
            <w:tcW w:w="1579"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4</w:t>
            </w:r>
          </w:p>
        </w:tc>
        <w:tc>
          <w:tcPr>
            <w:tcW w:w="1034"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176.5</w:t>
            </w:r>
          </w:p>
        </w:tc>
        <w:tc>
          <w:tcPr>
            <w:tcW w:w="1164"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71</w:t>
            </w:r>
          </w:p>
        </w:tc>
        <w:tc>
          <w:tcPr>
            <w:tcW w:w="1338"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76.02</w:t>
            </w:r>
          </w:p>
        </w:tc>
      </w:tr>
      <w:tr>
        <w:tblPrEx/>
        <w:trPr>
          <w:trHeight w:val="300" w:hRule="atLeast"/>
        </w:trPr>
        <w:tc>
          <w:tcPr>
            <w:tcW w:w="549"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3</w:t>
            </w:r>
          </w:p>
        </w:tc>
        <w:tc>
          <w:tcPr>
            <w:tcW w:w="572"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3</w:t>
            </w:r>
          </w:p>
        </w:tc>
        <w:tc>
          <w:tcPr>
            <w:tcW w:w="2100"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-1</w:t>
            </w:r>
          </w:p>
        </w:tc>
        <w:tc>
          <w:tcPr>
            <w:tcW w:w="1402"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1</w:t>
            </w:r>
          </w:p>
        </w:tc>
        <w:tc>
          <w:tcPr>
            <w:tcW w:w="1579"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4</w:t>
            </w:r>
          </w:p>
        </w:tc>
        <w:tc>
          <w:tcPr>
            <w:tcW w:w="1034"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210.2</w:t>
            </w:r>
          </w:p>
        </w:tc>
        <w:tc>
          <w:tcPr>
            <w:tcW w:w="1164"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83</w:t>
            </w:r>
          </w:p>
        </w:tc>
        <w:tc>
          <w:tcPr>
            <w:tcW w:w="1338"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74.01</w:t>
            </w:r>
          </w:p>
        </w:tc>
      </w:tr>
      <w:tr>
        <w:tblPrEx/>
        <w:trPr>
          <w:trHeight w:val="300" w:hRule="atLeast"/>
        </w:trPr>
        <w:tc>
          <w:tcPr>
            <w:tcW w:w="549"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9</w:t>
            </w:r>
          </w:p>
        </w:tc>
        <w:tc>
          <w:tcPr>
            <w:tcW w:w="572"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4</w:t>
            </w:r>
          </w:p>
        </w:tc>
        <w:tc>
          <w:tcPr>
            <w:tcW w:w="2100"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0</w:t>
            </w:r>
          </w:p>
        </w:tc>
        <w:tc>
          <w:tcPr>
            <w:tcW w:w="1402"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0.625</w:t>
            </w:r>
          </w:p>
        </w:tc>
        <w:tc>
          <w:tcPr>
            <w:tcW w:w="1579"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2</w:t>
            </w:r>
          </w:p>
        </w:tc>
        <w:tc>
          <w:tcPr>
            <w:tcW w:w="1034"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172.7</w:t>
            </w:r>
          </w:p>
        </w:tc>
        <w:tc>
          <w:tcPr>
            <w:tcW w:w="1164"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81</w:t>
            </w:r>
          </w:p>
        </w:tc>
        <w:tc>
          <w:tcPr>
            <w:tcW w:w="1338"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83.5</w:t>
            </w:r>
          </w:p>
        </w:tc>
      </w:tr>
      <w:tr>
        <w:tblPrEx/>
        <w:trPr>
          <w:trHeight w:val="300" w:hRule="atLeast"/>
        </w:trPr>
        <w:tc>
          <w:tcPr>
            <w:tcW w:w="549"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6</w:t>
            </w:r>
          </w:p>
        </w:tc>
        <w:tc>
          <w:tcPr>
            <w:tcW w:w="572"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5</w:t>
            </w:r>
          </w:p>
        </w:tc>
        <w:tc>
          <w:tcPr>
            <w:tcW w:w="2100"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1</w:t>
            </w:r>
          </w:p>
        </w:tc>
        <w:tc>
          <w:tcPr>
            <w:tcW w:w="1402"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0.625</w:t>
            </w:r>
          </w:p>
        </w:tc>
        <w:tc>
          <w:tcPr>
            <w:tcW w:w="1579"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3</w:t>
            </w:r>
          </w:p>
        </w:tc>
        <w:tc>
          <w:tcPr>
            <w:tcW w:w="1034"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184.2</w:t>
            </w:r>
          </w:p>
        </w:tc>
        <w:tc>
          <w:tcPr>
            <w:tcW w:w="1164"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79</w:t>
            </w:r>
          </w:p>
        </w:tc>
        <w:tc>
          <w:tcPr>
            <w:tcW w:w="1338"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82.24</w:t>
            </w:r>
          </w:p>
        </w:tc>
      </w:tr>
      <w:tr>
        <w:tblPrEx/>
        <w:trPr>
          <w:trHeight w:val="300" w:hRule="atLeast"/>
        </w:trPr>
        <w:tc>
          <w:tcPr>
            <w:tcW w:w="549"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11</w:t>
            </w:r>
          </w:p>
        </w:tc>
        <w:tc>
          <w:tcPr>
            <w:tcW w:w="572"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6</w:t>
            </w:r>
          </w:p>
        </w:tc>
        <w:tc>
          <w:tcPr>
            <w:tcW w:w="2100"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0</w:t>
            </w:r>
          </w:p>
        </w:tc>
        <w:tc>
          <w:tcPr>
            <w:tcW w:w="1402"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0.625</w:t>
            </w:r>
          </w:p>
        </w:tc>
        <w:tc>
          <w:tcPr>
            <w:tcW w:w="1579"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3</w:t>
            </w:r>
          </w:p>
        </w:tc>
        <w:tc>
          <w:tcPr>
            <w:tcW w:w="1034"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181.9</w:t>
            </w:r>
          </w:p>
        </w:tc>
        <w:tc>
          <w:tcPr>
            <w:tcW w:w="1164"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78</w:t>
            </w:r>
          </w:p>
        </w:tc>
        <w:tc>
          <w:tcPr>
            <w:tcW w:w="1338"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80.2</w:t>
            </w:r>
          </w:p>
        </w:tc>
      </w:tr>
      <w:tr>
        <w:tblPrEx/>
        <w:trPr>
          <w:trHeight w:val="300" w:hRule="atLeast"/>
        </w:trPr>
        <w:tc>
          <w:tcPr>
            <w:tcW w:w="549"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8</w:t>
            </w:r>
          </w:p>
        </w:tc>
        <w:tc>
          <w:tcPr>
            <w:tcW w:w="572"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7</w:t>
            </w:r>
          </w:p>
        </w:tc>
        <w:tc>
          <w:tcPr>
            <w:tcW w:w="2100"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0</w:t>
            </w:r>
          </w:p>
        </w:tc>
        <w:tc>
          <w:tcPr>
            <w:tcW w:w="1402"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1</w:t>
            </w:r>
          </w:p>
        </w:tc>
        <w:tc>
          <w:tcPr>
            <w:tcW w:w="1579"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3</w:t>
            </w:r>
          </w:p>
        </w:tc>
        <w:tc>
          <w:tcPr>
            <w:tcW w:w="1034"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215.4</w:t>
            </w:r>
          </w:p>
        </w:tc>
        <w:tc>
          <w:tcPr>
            <w:tcW w:w="1164"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81</w:t>
            </w:r>
          </w:p>
        </w:tc>
        <w:tc>
          <w:tcPr>
            <w:tcW w:w="1338"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78.23</w:t>
            </w:r>
          </w:p>
        </w:tc>
      </w:tr>
      <w:tr>
        <w:tblPrEx/>
        <w:trPr>
          <w:trHeight w:val="300" w:hRule="atLeast"/>
        </w:trPr>
        <w:tc>
          <w:tcPr>
            <w:tcW w:w="549"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1</w:t>
            </w:r>
          </w:p>
        </w:tc>
        <w:tc>
          <w:tcPr>
            <w:tcW w:w="572"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8</w:t>
            </w:r>
          </w:p>
        </w:tc>
        <w:tc>
          <w:tcPr>
            <w:tcW w:w="2100"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1</w:t>
            </w:r>
          </w:p>
        </w:tc>
        <w:tc>
          <w:tcPr>
            <w:tcW w:w="1402"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1</w:t>
            </w:r>
          </w:p>
        </w:tc>
        <w:tc>
          <w:tcPr>
            <w:tcW w:w="1579"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2</w:t>
            </w:r>
          </w:p>
        </w:tc>
        <w:tc>
          <w:tcPr>
            <w:tcW w:w="1034"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161.3</w:t>
            </w:r>
          </w:p>
        </w:tc>
        <w:tc>
          <w:tcPr>
            <w:tcW w:w="1164"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74</w:t>
            </w:r>
          </w:p>
        </w:tc>
        <w:tc>
          <w:tcPr>
            <w:tcW w:w="1338"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85.7</w:t>
            </w:r>
          </w:p>
        </w:tc>
      </w:tr>
      <w:tr>
        <w:tblPrEx/>
        <w:trPr>
          <w:trHeight w:val="300" w:hRule="atLeast"/>
        </w:trPr>
        <w:tc>
          <w:tcPr>
            <w:tcW w:w="549"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2</w:t>
            </w:r>
          </w:p>
        </w:tc>
        <w:tc>
          <w:tcPr>
            <w:tcW w:w="572"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9</w:t>
            </w:r>
          </w:p>
        </w:tc>
        <w:tc>
          <w:tcPr>
            <w:tcW w:w="2100"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1</w:t>
            </w:r>
          </w:p>
        </w:tc>
        <w:tc>
          <w:tcPr>
            <w:tcW w:w="1402"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0.25</w:t>
            </w:r>
          </w:p>
        </w:tc>
        <w:tc>
          <w:tcPr>
            <w:tcW w:w="1579"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4</w:t>
            </w:r>
          </w:p>
        </w:tc>
        <w:tc>
          <w:tcPr>
            <w:tcW w:w="1034"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158.4</w:t>
            </w:r>
          </w:p>
        </w:tc>
        <w:tc>
          <w:tcPr>
            <w:tcW w:w="1164"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84</w:t>
            </w:r>
          </w:p>
        </w:tc>
        <w:tc>
          <w:tcPr>
            <w:tcW w:w="1338"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87.7</w:t>
            </w:r>
          </w:p>
        </w:tc>
      </w:tr>
      <w:tr>
        <w:tblPrEx/>
        <w:trPr>
          <w:trHeight w:val="300" w:hRule="atLeast"/>
        </w:trPr>
        <w:tc>
          <w:tcPr>
            <w:tcW w:w="549"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5</w:t>
            </w:r>
          </w:p>
        </w:tc>
        <w:tc>
          <w:tcPr>
            <w:tcW w:w="572"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10</w:t>
            </w:r>
          </w:p>
        </w:tc>
        <w:tc>
          <w:tcPr>
            <w:tcW w:w="2100"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-1</w:t>
            </w:r>
          </w:p>
        </w:tc>
        <w:tc>
          <w:tcPr>
            <w:tcW w:w="1402"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0.625</w:t>
            </w:r>
          </w:p>
        </w:tc>
        <w:tc>
          <w:tcPr>
            <w:tcW w:w="1579"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3</w:t>
            </w:r>
          </w:p>
        </w:tc>
        <w:tc>
          <w:tcPr>
            <w:tcW w:w="1034"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177.4</w:t>
            </w:r>
          </w:p>
        </w:tc>
        <w:tc>
          <w:tcPr>
            <w:tcW w:w="1164"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77</w:t>
            </w:r>
          </w:p>
        </w:tc>
        <w:tc>
          <w:tcPr>
            <w:tcW w:w="1338"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74.2</w:t>
            </w:r>
          </w:p>
        </w:tc>
      </w:tr>
      <w:tr>
        <w:tblPrEx/>
        <w:trPr>
          <w:trHeight w:val="300" w:hRule="atLeast"/>
        </w:trPr>
        <w:tc>
          <w:tcPr>
            <w:tcW w:w="549"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13</w:t>
            </w:r>
          </w:p>
        </w:tc>
        <w:tc>
          <w:tcPr>
            <w:tcW w:w="572"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11</w:t>
            </w:r>
          </w:p>
        </w:tc>
        <w:tc>
          <w:tcPr>
            <w:tcW w:w="2100"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0</w:t>
            </w:r>
          </w:p>
        </w:tc>
        <w:tc>
          <w:tcPr>
            <w:tcW w:w="1402"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0.625</w:t>
            </w:r>
          </w:p>
        </w:tc>
        <w:tc>
          <w:tcPr>
            <w:tcW w:w="1579"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3</w:t>
            </w:r>
          </w:p>
        </w:tc>
        <w:tc>
          <w:tcPr>
            <w:tcW w:w="1034"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169.2</w:t>
            </w:r>
          </w:p>
        </w:tc>
        <w:tc>
          <w:tcPr>
            <w:tcW w:w="1164"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79</w:t>
            </w:r>
          </w:p>
        </w:tc>
        <w:tc>
          <w:tcPr>
            <w:tcW w:w="1338"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80.5</w:t>
            </w:r>
          </w:p>
        </w:tc>
      </w:tr>
      <w:tr>
        <w:tblPrEx/>
        <w:trPr>
          <w:trHeight w:val="300" w:hRule="atLeast"/>
        </w:trPr>
        <w:tc>
          <w:tcPr>
            <w:tcW w:w="549"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4</w:t>
            </w:r>
          </w:p>
        </w:tc>
        <w:tc>
          <w:tcPr>
            <w:tcW w:w="572"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12</w:t>
            </w:r>
          </w:p>
        </w:tc>
        <w:tc>
          <w:tcPr>
            <w:tcW w:w="2100"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-1</w:t>
            </w:r>
          </w:p>
        </w:tc>
        <w:tc>
          <w:tcPr>
            <w:tcW w:w="1402"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0.25</w:t>
            </w:r>
          </w:p>
        </w:tc>
        <w:tc>
          <w:tcPr>
            <w:tcW w:w="1579"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2</w:t>
            </w:r>
          </w:p>
        </w:tc>
        <w:tc>
          <w:tcPr>
            <w:tcW w:w="1034"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161.2</w:t>
            </w:r>
          </w:p>
        </w:tc>
        <w:tc>
          <w:tcPr>
            <w:tcW w:w="1164"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81</w:t>
            </w:r>
          </w:p>
        </w:tc>
        <w:tc>
          <w:tcPr>
            <w:tcW w:w="1338"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78.5</w:t>
            </w:r>
          </w:p>
        </w:tc>
      </w:tr>
      <w:tr>
        <w:tblPrEx/>
        <w:trPr>
          <w:trHeight w:val="300" w:hRule="atLeast"/>
        </w:trPr>
        <w:tc>
          <w:tcPr>
            <w:tcW w:w="549"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14</w:t>
            </w:r>
          </w:p>
        </w:tc>
        <w:tc>
          <w:tcPr>
            <w:tcW w:w="572"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13</w:t>
            </w:r>
          </w:p>
        </w:tc>
        <w:tc>
          <w:tcPr>
            <w:tcW w:w="2100"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0</w:t>
            </w:r>
          </w:p>
        </w:tc>
        <w:tc>
          <w:tcPr>
            <w:tcW w:w="1402"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0.625</w:t>
            </w:r>
          </w:p>
        </w:tc>
        <w:tc>
          <w:tcPr>
            <w:tcW w:w="1579"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3</w:t>
            </w:r>
          </w:p>
        </w:tc>
        <w:tc>
          <w:tcPr>
            <w:tcW w:w="1034"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168</w:t>
            </w:r>
          </w:p>
        </w:tc>
        <w:tc>
          <w:tcPr>
            <w:tcW w:w="1164"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78</w:t>
            </w:r>
          </w:p>
        </w:tc>
        <w:tc>
          <w:tcPr>
            <w:tcW w:w="1338"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80.45</w:t>
            </w:r>
          </w:p>
        </w:tc>
      </w:tr>
      <w:tr>
        <w:tblPrEx/>
        <w:trPr>
          <w:trHeight w:val="300" w:hRule="atLeast"/>
        </w:trPr>
        <w:tc>
          <w:tcPr>
            <w:tcW w:w="549"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15</w:t>
            </w:r>
          </w:p>
        </w:tc>
        <w:tc>
          <w:tcPr>
            <w:tcW w:w="572"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14</w:t>
            </w:r>
          </w:p>
        </w:tc>
        <w:tc>
          <w:tcPr>
            <w:tcW w:w="2100"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0</w:t>
            </w:r>
          </w:p>
        </w:tc>
        <w:tc>
          <w:tcPr>
            <w:tcW w:w="1402"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0.625</w:t>
            </w:r>
          </w:p>
        </w:tc>
        <w:tc>
          <w:tcPr>
            <w:tcW w:w="1579"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3</w:t>
            </w:r>
          </w:p>
        </w:tc>
        <w:tc>
          <w:tcPr>
            <w:tcW w:w="1034"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168.5</w:t>
            </w:r>
          </w:p>
        </w:tc>
        <w:tc>
          <w:tcPr>
            <w:tcW w:w="1164"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79</w:t>
            </w:r>
          </w:p>
        </w:tc>
        <w:tc>
          <w:tcPr>
            <w:tcW w:w="1338"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80.15</w:t>
            </w:r>
          </w:p>
        </w:tc>
      </w:tr>
      <w:tr>
        <w:tblPrEx/>
        <w:trPr>
          <w:trHeight w:val="300" w:hRule="atLeast"/>
        </w:trPr>
        <w:tc>
          <w:tcPr>
            <w:tcW w:w="549"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7</w:t>
            </w:r>
          </w:p>
        </w:tc>
        <w:tc>
          <w:tcPr>
            <w:tcW w:w="572"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15</w:t>
            </w:r>
          </w:p>
        </w:tc>
        <w:tc>
          <w:tcPr>
            <w:tcW w:w="2100"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0</w:t>
            </w:r>
          </w:p>
        </w:tc>
        <w:tc>
          <w:tcPr>
            <w:tcW w:w="1402"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0.25</w:t>
            </w:r>
          </w:p>
        </w:tc>
        <w:tc>
          <w:tcPr>
            <w:tcW w:w="1579"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3</w:t>
            </w:r>
          </w:p>
        </w:tc>
        <w:tc>
          <w:tcPr>
            <w:tcW w:w="1034"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178.5</w:t>
            </w:r>
          </w:p>
        </w:tc>
        <w:tc>
          <w:tcPr>
            <w:tcW w:w="1164"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74</w:t>
            </w:r>
          </w:p>
        </w:tc>
        <w:tc>
          <w:tcPr>
            <w:tcW w:w="1338" w:type="dxa"/>
            <w:tcBorders/>
            <w:noWrap/>
            <w:hideMark/>
          </w:tcPr>
          <w:p>
            <w:pPr>
              <w:pStyle w:val="style0"/>
              <w:jc w:val="center"/>
              <w:rPr>
                <w:rFonts w:ascii="Times New Roman" w:cs="Times New Roman" w:hAnsi="Times New Roman"/>
                <w:sz w:val="24"/>
                <w:szCs w:val="24"/>
              </w:rPr>
            </w:pPr>
            <w:r>
              <w:rPr>
                <w:rFonts w:ascii="Times New Roman" w:cs="Times New Roman" w:hAnsi="Times New Roman"/>
                <w:sz w:val="24"/>
                <w:szCs w:val="24"/>
              </w:rPr>
              <w:t>77.1</w:t>
            </w:r>
          </w:p>
        </w:tc>
      </w:tr>
    </w:tbl>
    <w:p>
      <w:pPr>
        <w:pStyle w:val="style0"/>
        <w:rPr>
          <w:rFonts w:ascii="Times New Roman" w:cs="Times New Roman" w:hAnsi="Times New Roman"/>
          <w:sz w:val="24"/>
          <w:szCs w:val="24"/>
        </w:rPr>
      </w:pPr>
      <w:r>
        <w:rPr>
          <w:rFonts w:ascii="Times New Roman" w:cs="Times New Roman" w:hAnsi="Times New Roman"/>
          <w:sz w:val="24"/>
          <w:szCs w:val="24"/>
        </w:rPr>
        <w:t xml:space="preserve">                                Table No.4-Central Composite Design and Response </w:t>
      </w:r>
    </w:p>
    <w:p>
      <w:pPr>
        <w:pStyle w:val="style66"/>
        <w:spacing w:lineRule="auto" w:line="276"/>
        <w:ind w:right="730"/>
        <w:jc w:val="both"/>
        <w:rPr>
          <w:rFonts w:eastAsia="Calibri"/>
        </w:rPr>
      </w:pPr>
    </w:p>
    <w:p>
      <w:pPr>
        <w:pStyle w:val="style66"/>
        <w:spacing w:lineRule="auto" w:line="276"/>
        <w:ind w:right="730"/>
        <w:jc w:val="both"/>
        <w:rPr>
          <w:rFonts w:eastAsia="Calibri"/>
        </w:rPr>
      </w:pPr>
      <w:r>
        <w:rPr>
          <w:rFonts w:eastAsia="Calibri"/>
        </w:rPr>
        <w:t>3.1</w:t>
      </w:r>
      <w:r>
        <w:rPr>
          <w:rFonts w:eastAsia="Calibri"/>
        </w:rPr>
        <w:t>.Particle</w:t>
      </w:r>
      <w:r>
        <w:rPr>
          <w:rFonts w:eastAsia="Calibri"/>
        </w:rPr>
        <w:t xml:space="preserve"> length.</w:t>
      </w:r>
    </w:p>
    <w:p>
      <w:pPr>
        <w:pStyle w:val="style66"/>
        <w:spacing w:lineRule="auto" w:line="276"/>
        <w:ind w:right="730"/>
        <w:jc w:val="both"/>
        <w:rPr>
          <w:rFonts w:eastAsia="Calibri"/>
        </w:rPr>
      </w:pPr>
      <w:r>
        <w:rPr>
          <w:rFonts w:eastAsia="Calibri"/>
        </w:rPr>
        <w:t xml:space="preserve">All the </w:t>
      </w:r>
      <w:r>
        <w:rPr>
          <w:rFonts w:eastAsia="Calibri"/>
        </w:rPr>
        <w:t>niosomal</w:t>
      </w:r>
      <w:r>
        <w:rPr>
          <w:rFonts w:eastAsia="Calibri"/>
        </w:rPr>
        <w:t xml:space="preserve"> formulations examined, confirmed uniform length and shape. The mean particle size became observed within the variety of 158.4 to 215.Four nm.</w:t>
      </w:r>
    </w:p>
    <w:p>
      <w:pPr>
        <w:pStyle w:val="style66"/>
        <w:spacing w:lineRule="auto" w:line="276"/>
        <w:ind w:right="730"/>
        <w:jc w:val="both"/>
        <w:rPr>
          <w:rFonts w:eastAsia="Calibri"/>
        </w:rPr>
      </w:pPr>
      <w:r>
        <w:rPr>
          <w:rFonts w:eastAsia="Calibri"/>
        </w:rPr>
        <w:t xml:space="preserve">Inside the coaching of </w:t>
      </w:r>
      <w:r>
        <w:rPr>
          <w:rFonts w:eastAsia="Calibri"/>
        </w:rPr>
        <w:t>niosomes</w:t>
      </w:r>
      <w:r>
        <w:rPr>
          <w:rFonts w:eastAsia="Calibri"/>
        </w:rPr>
        <w:t xml:space="preserve"> </w:t>
      </w:r>
      <w:r>
        <w:rPr>
          <w:rFonts w:eastAsia="Calibri"/>
        </w:rPr>
        <w:t>ldl</w:t>
      </w:r>
      <w:r>
        <w:rPr>
          <w:rFonts w:eastAsia="Calibri"/>
        </w:rPr>
        <w:t xml:space="preserve"> cholesterol turned into a lipid aspect and spans had been used as a surfactants and </w:t>
      </w:r>
      <w:r>
        <w:rPr>
          <w:rFonts w:eastAsia="Calibri"/>
        </w:rPr>
        <w:t>Noveon</w:t>
      </w:r>
      <w:r>
        <w:rPr>
          <w:rFonts w:eastAsia="Calibri"/>
        </w:rPr>
        <w:t xml:space="preserve"> AA1 became used as a </w:t>
      </w:r>
      <w:r>
        <w:rPr>
          <w:rFonts w:eastAsia="Calibri"/>
        </w:rPr>
        <w:t>mucoadhesive</w:t>
      </w:r>
      <w:r>
        <w:rPr>
          <w:rFonts w:eastAsia="Calibri"/>
        </w:rPr>
        <w:t xml:space="preserve"> agent. The particle size was located to be stricken by the </w:t>
      </w:r>
      <w:r>
        <w:rPr>
          <w:rFonts w:eastAsia="Calibri"/>
        </w:rPr>
        <w:t>concentrstion</w:t>
      </w:r>
      <w:r>
        <w:rPr>
          <w:rFonts w:eastAsia="Calibri"/>
        </w:rPr>
        <w:t xml:space="preserve"> ratio </w:t>
      </w:r>
      <w:r>
        <w:rPr>
          <w:rFonts w:eastAsia="Calibri"/>
        </w:rPr>
        <w:t xml:space="preserve">of  </w:t>
      </w:r>
      <w:r>
        <w:rPr>
          <w:rFonts w:eastAsia="Calibri"/>
        </w:rPr>
        <w:t>ldl</w:t>
      </w:r>
      <w:r>
        <w:rPr>
          <w:rFonts w:eastAsia="Calibri"/>
        </w:rPr>
        <w:t xml:space="preserve"> cholesterol with span 20 and span 60 lowering concentration ratio of </w:t>
      </w:r>
      <w:r>
        <w:rPr>
          <w:rFonts w:eastAsia="Calibri"/>
        </w:rPr>
        <w:t>cholesterol:surfactant</w:t>
      </w:r>
      <w:r>
        <w:rPr>
          <w:rFonts w:eastAsia="Calibri"/>
        </w:rPr>
        <w:t xml:space="preserve"> decreases the particle length.</w:t>
      </w:r>
    </w:p>
    <w:p>
      <w:pPr>
        <w:pStyle w:val="style66"/>
        <w:spacing w:lineRule="auto" w:line="276"/>
        <w:ind w:right="730"/>
        <w:jc w:val="both"/>
        <w:rPr>
          <w:rFonts w:eastAsia="Calibri"/>
        </w:rPr>
      </w:pPr>
      <w:r>
        <w:rPr>
          <w:rFonts w:eastAsia="Calibri"/>
        </w:rPr>
        <w:t xml:space="preserve">The increasing attention of </w:t>
      </w:r>
      <w:r>
        <w:rPr>
          <w:rFonts w:eastAsia="Calibri"/>
        </w:rPr>
        <w:t>noveon</w:t>
      </w:r>
      <w:r>
        <w:rPr>
          <w:rFonts w:eastAsia="Calibri"/>
        </w:rPr>
        <w:t xml:space="preserve"> aa1 </w:t>
      </w:r>
      <w:r>
        <w:rPr>
          <w:rFonts w:eastAsia="Calibri"/>
        </w:rPr>
        <w:t>polycarbophil</w:t>
      </w:r>
      <w:r>
        <w:rPr>
          <w:rFonts w:eastAsia="Calibri"/>
        </w:rPr>
        <w:t xml:space="preserve"> also notably affects the particle length. Because the awareness of </w:t>
      </w:r>
      <w:r>
        <w:rPr>
          <w:rFonts w:eastAsia="Calibri"/>
        </w:rPr>
        <w:t>noveon</w:t>
      </w:r>
      <w:r>
        <w:rPr>
          <w:rFonts w:eastAsia="Calibri"/>
        </w:rPr>
        <w:t xml:space="preserve"> aa1 </w:t>
      </w:r>
      <w:r>
        <w:rPr>
          <w:rFonts w:eastAsia="Calibri"/>
        </w:rPr>
        <w:t>polycarbophil</w:t>
      </w:r>
      <w:r>
        <w:rPr>
          <w:rFonts w:eastAsia="Calibri"/>
        </w:rPr>
        <w:t xml:space="preserve"> will increase the particle size also increases which is probably due to formation of thick coat around </w:t>
      </w:r>
      <w:r>
        <w:rPr>
          <w:rFonts w:eastAsia="Calibri"/>
        </w:rPr>
        <w:t>niosomes</w:t>
      </w:r>
    </w:p>
    <w:p>
      <w:pPr>
        <w:pStyle w:val="style66"/>
        <w:spacing w:lineRule="auto" w:line="276"/>
        <w:ind w:right="730"/>
        <w:jc w:val="both"/>
        <w:rPr>
          <w:rFonts w:eastAsia="Calibri"/>
        </w:rPr>
      </w:pPr>
    </w:p>
    <w:p>
      <w:pPr>
        <w:pStyle w:val="style66"/>
        <w:spacing w:lineRule="auto" w:line="276"/>
        <w:ind w:right="730"/>
        <w:jc w:val="both"/>
        <w:rPr>
          <w:rFonts w:eastAsia="Calibri"/>
        </w:rPr>
      </w:pPr>
      <w:r>
        <w:rPr>
          <w:rFonts w:eastAsia="Calibri"/>
        </w:rPr>
        <w:t>3</w:t>
      </w:r>
      <w:r>
        <w:rPr>
          <w:rFonts w:eastAsia="Calibri"/>
        </w:rPr>
        <w:t>.2</w:t>
      </w:r>
      <w:r>
        <w:rPr>
          <w:rFonts w:eastAsia="Calibri"/>
        </w:rPr>
        <w:t>.Zeta</w:t>
      </w:r>
      <w:r>
        <w:rPr>
          <w:rFonts w:eastAsia="Calibri"/>
        </w:rPr>
        <w:t xml:space="preserve"> capacity And </w:t>
      </w:r>
      <w:r>
        <w:rPr>
          <w:rFonts w:eastAsia="Calibri"/>
        </w:rPr>
        <w:t>Polydispersity</w:t>
      </w:r>
      <w:r>
        <w:rPr>
          <w:rFonts w:eastAsia="Calibri"/>
        </w:rPr>
        <w:t xml:space="preserve"> Index</w:t>
      </w:r>
    </w:p>
    <w:p>
      <w:pPr>
        <w:pStyle w:val="style66"/>
        <w:spacing w:lineRule="auto" w:line="276"/>
        <w:ind w:right="730"/>
        <w:jc w:val="both"/>
        <w:rPr>
          <w:rFonts w:eastAsia="Calibri"/>
          <w:vertAlign w:val="superscript"/>
        </w:rPr>
      </w:pPr>
      <w:r>
        <w:rPr>
          <w:rFonts w:eastAsia="Calibri"/>
        </w:rPr>
        <w:t xml:space="preserve">The physicochemical traits of </w:t>
      </w:r>
      <w:r>
        <w:rPr>
          <w:rFonts w:eastAsia="Calibri"/>
        </w:rPr>
        <w:t>niosomes</w:t>
      </w:r>
      <w:r>
        <w:rPr>
          <w:rFonts w:eastAsia="Calibri"/>
        </w:rPr>
        <w:t xml:space="preserve">, including average </w:t>
      </w:r>
      <w:r>
        <w:rPr>
          <w:rFonts w:eastAsia="Calibri"/>
        </w:rPr>
        <w:t>length(</w:t>
      </w:r>
      <w:r>
        <w:rPr>
          <w:rFonts w:eastAsia="Calibri"/>
        </w:rPr>
        <w:t xml:space="preserve">&lt;350 nm),PDI (&lt;0.5) and zeta capacity (&lt;-30mV) values had been taken into consideration as essential exceptional attributes (CQAs). Right here, PDI values lower than 0.5 indicates low level of aggregated </w:t>
      </w:r>
      <w:r>
        <w:rPr>
          <w:rFonts w:eastAsia="Calibri"/>
        </w:rPr>
        <w:t>niosomes</w:t>
      </w:r>
      <w:r>
        <w:rPr>
          <w:rFonts w:eastAsia="Calibri"/>
        </w:rPr>
        <w:t xml:space="preserve">. Further, a zeta-capacity cost beneath -30mV shows the presence of electrostatic repulsive forces, which bring about better balance of the gadget. The </w:t>
      </w:r>
      <w:r>
        <w:rPr>
          <w:rFonts w:eastAsia="Calibri"/>
        </w:rPr>
        <w:t>prescense</w:t>
      </w:r>
      <w:r>
        <w:rPr>
          <w:rFonts w:eastAsia="Calibri"/>
        </w:rPr>
        <w:t xml:space="preserve"> of </w:t>
      </w:r>
      <w:r>
        <w:rPr>
          <w:rFonts w:eastAsia="Calibri"/>
        </w:rPr>
        <w:t>ldl</w:t>
      </w:r>
      <w:r>
        <w:rPr>
          <w:rFonts w:eastAsia="Calibri"/>
        </w:rPr>
        <w:t xml:space="preserve"> cholesterol resulted in more stable, inflexible and intact </w:t>
      </w:r>
      <w:r>
        <w:rPr>
          <w:rFonts w:eastAsia="Calibri"/>
        </w:rPr>
        <w:t>niosomes</w:t>
      </w:r>
      <w:r>
        <w:rPr>
          <w:rFonts w:eastAsia="Calibri"/>
        </w:rPr>
        <w:t>, and for this reason, cholesterol turned into i</w:t>
      </w:r>
      <w:r>
        <w:rPr>
          <w:rFonts w:eastAsia="Calibri"/>
        </w:rPr>
        <w:t>ntroduced to composition</w:t>
      </w:r>
      <w:r>
        <w:rPr>
          <w:rFonts w:eastAsia="Calibri"/>
        </w:rPr>
        <w:t>.</w:t>
      </w:r>
      <w:r>
        <w:rPr>
          <w:rFonts w:eastAsia="Calibri"/>
          <w:vertAlign w:val="superscript"/>
        </w:rPr>
        <w:t>(</w:t>
      </w:r>
      <w:r>
        <w:rPr>
          <w:rFonts w:eastAsia="Calibri"/>
          <w:vertAlign w:val="superscript"/>
        </w:rPr>
        <w:t>27-28)</w:t>
      </w:r>
    </w:p>
    <w:p>
      <w:pPr>
        <w:pStyle w:val="style66"/>
        <w:spacing w:lineRule="auto" w:line="276"/>
        <w:ind w:right="730"/>
        <w:jc w:val="both"/>
        <w:rPr>
          <w:rFonts w:eastAsia="Calibri"/>
        </w:rPr>
      </w:pPr>
    </w:p>
    <w:p>
      <w:pPr>
        <w:pStyle w:val="style66"/>
        <w:spacing w:lineRule="auto" w:line="276"/>
        <w:ind w:right="730"/>
        <w:jc w:val="both"/>
        <w:rPr>
          <w:rFonts w:eastAsia="Calibri"/>
        </w:rPr>
      </w:pPr>
      <w:r>
        <w:rPr>
          <w:rFonts w:eastAsia="Calibri"/>
        </w:rPr>
        <w:t>3.3</w:t>
      </w:r>
      <w:r>
        <w:rPr>
          <w:rFonts w:eastAsia="Calibri"/>
        </w:rPr>
        <w:t>.Drug</w:t>
      </w:r>
      <w:r>
        <w:rPr>
          <w:rFonts w:eastAsia="Calibri"/>
        </w:rPr>
        <w:t xml:space="preserve"> entrapment performance</w:t>
      </w:r>
    </w:p>
    <w:p>
      <w:pPr>
        <w:pStyle w:val="style66"/>
        <w:spacing w:lineRule="auto" w:line="276"/>
        <w:ind w:right="730"/>
        <w:jc w:val="both"/>
        <w:rPr>
          <w:rFonts w:eastAsia="Calibri"/>
        </w:rPr>
      </w:pPr>
      <w:r>
        <w:rPr>
          <w:rFonts w:eastAsia="Calibri"/>
        </w:rPr>
        <w:t xml:space="preserve">The percentages of entrapment efficiency (%EE) values of all of the </w:t>
      </w:r>
      <w:r>
        <w:rPr>
          <w:rFonts w:eastAsia="Calibri"/>
        </w:rPr>
        <w:t>niosome</w:t>
      </w:r>
      <w:r>
        <w:rPr>
          <w:rFonts w:eastAsia="Calibri"/>
        </w:rPr>
        <w:t xml:space="preserve"> formula containing </w:t>
      </w:r>
      <w:r>
        <w:rPr>
          <w:rFonts w:eastAsia="Calibri"/>
        </w:rPr>
        <w:t>Ropinirole</w:t>
      </w:r>
      <w:r>
        <w:rPr>
          <w:rFonts w:eastAsia="Calibri"/>
        </w:rPr>
        <w:t xml:space="preserve">  were</w:t>
      </w:r>
      <w:r>
        <w:rPr>
          <w:rFonts w:eastAsia="Calibri"/>
        </w:rPr>
        <w:t xml:space="preserve"> uniform and within the variety of 74.2 to 87.7% and the differences inside the values between special batches had been very </w:t>
      </w:r>
      <w:r>
        <w:rPr>
          <w:rFonts w:eastAsia="Calibri"/>
        </w:rPr>
        <w:t>small.The</w:t>
      </w:r>
      <w:r>
        <w:rPr>
          <w:rFonts w:eastAsia="Calibri"/>
        </w:rPr>
        <w:t xml:space="preserve"> components batch nine has maximum entrapment efficiency value.</w:t>
      </w:r>
    </w:p>
    <w:p>
      <w:pPr>
        <w:pStyle w:val="style66"/>
        <w:spacing w:lineRule="auto" w:line="276"/>
        <w:ind w:right="730"/>
        <w:jc w:val="both"/>
        <w:rPr>
          <w:rFonts w:eastAsia="Calibri"/>
        </w:rPr>
      </w:pPr>
      <w:r>
        <w:rPr>
          <w:rFonts w:eastAsia="Calibri"/>
        </w:rPr>
        <w:t>Noveon</w:t>
      </w:r>
      <w:r>
        <w:rPr>
          <w:rFonts w:eastAsia="Calibri"/>
        </w:rPr>
        <w:t xml:space="preserve"> AA 1 attention inversely influences the entrapment efficiency. The entrapment efficiency was determined to be decreased because the attention of </w:t>
      </w:r>
      <w:r>
        <w:rPr>
          <w:rFonts w:eastAsia="Calibri"/>
        </w:rPr>
        <w:t>noveon</w:t>
      </w:r>
      <w:r>
        <w:rPr>
          <w:rFonts w:eastAsia="Calibri"/>
        </w:rPr>
        <w:t xml:space="preserve"> aa1 </w:t>
      </w:r>
      <w:r>
        <w:rPr>
          <w:rFonts w:eastAsia="Calibri"/>
        </w:rPr>
        <w:t>polycarbophil</w:t>
      </w:r>
      <w:r>
        <w:rPr>
          <w:rFonts w:eastAsia="Calibri"/>
        </w:rPr>
        <w:t xml:space="preserve"> is increased.</w:t>
      </w:r>
    </w:p>
    <w:p>
      <w:pPr>
        <w:pStyle w:val="style66"/>
        <w:spacing w:lineRule="auto" w:line="276"/>
        <w:ind w:right="730"/>
        <w:jc w:val="both"/>
        <w:rPr>
          <w:rFonts w:eastAsia="Calibri"/>
        </w:rPr>
      </w:pPr>
      <w:r>
        <w:rPr>
          <w:rFonts w:eastAsia="Calibri"/>
        </w:rPr>
        <w:t xml:space="preserve">Addition of </w:t>
      </w:r>
      <w:r>
        <w:rPr>
          <w:rFonts w:eastAsia="Calibri"/>
        </w:rPr>
        <w:t>ldl</w:t>
      </w:r>
      <w:r>
        <w:rPr>
          <w:rFonts w:eastAsia="Calibri"/>
        </w:rPr>
        <w:t xml:space="preserve"> cholesterol inhibits the gel to liquid phase transition of the surfactant by embedding itself within the </w:t>
      </w:r>
      <w:r>
        <w:rPr>
          <w:rFonts w:eastAsia="Calibri"/>
        </w:rPr>
        <w:t>bilayer</w:t>
      </w:r>
      <w:r>
        <w:rPr>
          <w:rFonts w:eastAsia="Calibri"/>
        </w:rPr>
        <w:t xml:space="preserve"> providing tension to the vesicles and stopping leakage. </w:t>
      </w:r>
      <w:r>
        <w:rPr>
          <w:rFonts w:eastAsia="Calibri"/>
        </w:rPr>
        <w:t xml:space="preserve">This </w:t>
      </w:r>
      <w:r>
        <w:rPr>
          <w:rFonts w:eastAsia="Calibri"/>
        </w:rPr>
        <w:t>explaines</w:t>
      </w:r>
      <w:r>
        <w:rPr>
          <w:rFonts w:eastAsia="Calibri"/>
        </w:rPr>
        <w:t xml:space="preserve"> the boom in %EE of </w:t>
      </w:r>
      <w:r>
        <w:rPr>
          <w:rFonts w:eastAsia="Calibri"/>
        </w:rPr>
        <w:t>niosomal</w:t>
      </w:r>
      <w:r>
        <w:rPr>
          <w:rFonts w:eastAsia="Calibri"/>
        </w:rPr>
        <w:t xml:space="preserve"> system.</w:t>
      </w:r>
    </w:p>
    <w:p>
      <w:pPr>
        <w:pStyle w:val="style66"/>
        <w:spacing w:lineRule="auto" w:line="276"/>
        <w:ind w:right="730"/>
        <w:jc w:val="both"/>
        <w:rPr>
          <w:rFonts w:eastAsia="Calibri"/>
        </w:rPr>
      </w:pPr>
    </w:p>
    <w:p>
      <w:pPr>
        <w:pStyle w:val="style66"/>
        <w:spacing w:lineRule="auto" w:line="276"/>
        <w:ind w:right="730"/>
        <w:jc w:val="both"/>
        <w:rPr>
          <w:rFonts w:eastAsia="Calibri"/>
        </w:rPr>
      </w:pPr>
      <w:r>
        <w:rPr>
          <w:rFonts w:eastAsia="Calibri"/>
        </w:rPr>
        <w:t>3.4</w:t>
      </w:r>
      <w:r>
        <w:rPr>
          <w:rFonts w:eastAsia="Calibri"/>
        </w:rPr>
        <w:t>.Drug</w:t>
      </w:r>
      <w:r>
        <w:rPr>
          <w:rFonts w:eastAsia="Calibri"/>
        </w:rPr>
        <w:t xml:space="preserve"> </w:t>
      </w:r>
      <w:r>
        <w:rPr>
          <w:rFonts w:eastAsia="Calibri"/>
        </w:rPr>
        <w:t>Excipients</w:t>
      </w:r>
      <w:r>
        <w:rPr>
          <w:rFonts w:eastAsia="Calibri"/>
        </w:rPr>
        <w:t xml:space="preserve"> </w:t>
      </w:r>
      <w:r>
        <w:rPr>
          <w:rFonts w:eastAsia="Calibri"/>
        </w:rPr>
        <w:t>nanocarrier</w:t>
      </w:r>
      <w:r>
        <w:rPr>
          <w:rFonts w:eastAsia="Calibri"/>
        </w:rPr>
        <w:t xml:space="preserve"> compatibility</w:t>
      </w:r>
    </w:p>
    <w:p>
      <w:pPr>
        <w:pStyle w:val="style66"/>
        <w:spacing w:lineRule="auto" w:line="276"/>
        <w:ind w:right="730"/>
        <w:jc w:val="both"/>
        <w:rPr>
          <w:rFonts w:eastAsia="Calibri"/>
        </w:rPr>
      </w:pPr>
      <w:r>
        <w:rPr>
          <w:rFonts w:eastAsia="Calibri"/>
        </w:rPr>
        <w:t xml:space="preserve">The structural traits height of </w:t>
      </w:r>
      <w:r>
        <w:rPr>
          <w:rFonts w:eastAsia="Calibri"/>
        </w:rPr>
        <w:t>Ropinirole</w:t>
      </w:r>
      <w:r>
        <w:rPr>
          <w:rFonts w:eastAsia="Calibri"/>
        </w:rPr>
        <w:t xml:space="preserve"> HCL, cholesterol, span 20 and span 60 corresponds to practical organization from this the drug and polymers become recognized and its interpretation was confirmed.</w:t>
      </w:r>
    </w:p>
    <w:p>
      <w:pPr>
        <w:pStyle w:val="style66"/>
        <w:spacing w:lineRule="auto" w:line="276"/>
        <w:ind w:right="730"/>
        <w:jc w:val="both"/>
        <w:rPr>
          <w:rFonts w:eastAsia="Calibri"/>
        </w:rPr>
      </w:pPr>
      <w:r>
        <w:rPr>
          <w:rFonts w:eastAsia="Calibri"/>
        </w:rPr>
        <w:t>Fig  shows</w:t>
      </w:r>
      <w:r>
        <w:rPr>
          <w:rFonts w:eastAsia="Calibri"/>
        </w:rPr>
        <w:t xml:space="preserve"> the FTIR </w:t>
      </w:r>
      <w:r>
        <w:rPr>
          <w:rFonts w:eastAsia="Calibri"/>
        </w:rPr>
        <w:t>spectras</w:t>
      </w:r>
      <w:r>
        <w:rPr>
          <w:rFonts w:eastAsia="Calibri"/>
        </w:rPr>
        <w:t xml:space="preserve"> of  cholesterol, span 20, span 60, </w:t>
      </w:r>
      <w:r>
        <w:rPr>
          <w:rFonts w:eastAsia="Calibri"/>
        </w:rPr>
        <w:t>niosomal</w:t>
      </w:r>
      <w:r>
        <w:rPr>
          <w:rFonts w:eastAsia="Calibri"/>
        </w:rPr>
        <w:t xml:space="preserve"> formula and drug. Distinguish peaks similar to </w:t>
      </w:r>
      <w:r>
        <w:rPr>
          <w:rFonts w:eastAsia="Calibri"/>
        </w:rPr>
        <w:t>ldl</w:t>
      </w:r>
      <w:r>
        <w:rPr>
          <w:rFonts w:eastAsia="Calibri"/>
        </w:rPr>
        <w:t xml:space="preserve"> cholesterol, span 20 and span 60(2500-2000 cm-1) have been seen within the determine. </w:t>
      </w:r>
      <w:r>
        <w:rPr>
          <w:rFonts w:eastAsia="Calibri"/>
        </w:rPr>
        <w:t>Ldl</w:t>
      </w:r>
      <w:r>
        <w:rPr>
          <w:rFonts w:eastAsia="Calibri"/>
        </w:rPr>
        <w:t xml:space="preserve"> </w:t>
      </w:r>
      <w:r>
        <w:rPr>
          <w:rFonts w:eastAsia="Calibri"/>
        </w:rPr>
        <w:t>cholesterol  suggests</w:t>
      </w:r>
      <w:r>
        <w:rPr>
          <w:rFonts w:eastAsia="Calibri"/>
        </w:rPr>
        <w:t xml:space="preserve"> the </w:t>
      </w:r>
      <w:r>
        <w:rPr>
          <w:rFonts w:eastAsia="Calibri"/>
        </w:rPr>
        <w:t>prescense</w:t>
      </w:r>
      <w:r>
        <w:rPr>
          <w:rFonts w:eastAsia="Calibri"/>
        </w:rPr>
        <w:t xml:space="preserve"> of band vibrations at (3500-3000 cm-1). Furthermore a height at 2900 cm-1 corresponding to –CH3 </w:t>
      </w:r>
      <w:r>
        <w:rPr>
          <w:rFonts w:eastAsia="Calibri"/>
        </w:rPr>
        <w:t>streching</w:t>
      </w:r>
      <w:r>
        <w:rPr>
          <w:rFonts w:eastAsia="Calibri"/>
        </w:rPr>
        <w:t xml:space="preserve"> confirms its </w:t>
      </w:r>
      <w:r>
        <w:rPr>
          <w:rFonts w:eastAsia="Calibri"/>
        </w:rPr>
        <w:t>prescense</w:t>
      </w:r>
      <w:r>
        <w:rPr>
          <w:rFonts w:eastAsia="Calibri"/>
        </w:rPr>
        <w:t xml:space="preserve">. Similarly span 20 </w:t>
      </w:r>
      <w:r>
        <w:rPr>
          <w:rFonts w:eastAsia="Calibri"/>
        </w:rPr>
        <w:t>structure</w:t>
      </w:r>
      <w:r>
        <w:rPr>
          <w:rFonts w:eastAsia="Calibri"/>
        </w:rPr>
        <w:t xml:space="preserve"> is likewise confirmed by using the </w:t>
      </w:r>
      <w:r>
        <w:rPr>
          <w:rFonts w:eastAsia="Calibri"/>
        </w:rPr>
        <w:t>prescense</w:t>
      </w:r>
      <w:r>
        <w:rPr>
          <w:rFonts w:eastAsia="Calibri"/>
        </w:rPr>
        <w:t xml:space="preserve"> of C-O and ester organization stretching peaks at 1600 cm-1 and 1800cm-1 respectfully. Additionally span 60 showed the peaks at 2900 cm-1 and 2800 cm-1 because of –OH stretching.</w:t>
      </w:r>
    </w:p>
    <w:p>
      <w:pPr>
        <w:pStyle w:val="style66"/>
        <w:spacing w:lineRule="auto" w:line="276"/>
        <w:ind w:right="730"/>
        <w:jc w:val="both"/>
        <w:rPr>
          <w:rFonts w:eastAsia="Calibri"/>
        </w:rPr>
      </w:pPr>
      <w:r>
        <w:rPr>
          <w:rFonts w:eastAsia="Calibri"/>
        </w:rPr>
        <w:t xml:space="preserve">All the peaks respective to </w:t>
      </w:r>
      <w:r>
        <w:rPr>
          <w:rFonts w:eastAsia="Calibri"/>
        </w:rPr>
        <w:t>ldl</w:t>
      </w:r>
      <w:r>
        <w:rPr>
          <w:rFonts w:eastAsia="Calibri"/>
        </w:rPr>
        <w:t xml:space="preserve"> cholesterol, span 20, span 60 were present in </w:t>
      </w:r>
      <w:r>
        <w:rPr>
          <w:rFonts w:eastAsia="Calibri"/>
        </w:rPr>
        <w:t>niosome</w:t>
      </w:r>
      <w:r>
        <w:rPr>
          <w:rFonts w:eastAsia="Calibri"/>
        </w:rPr>
        <w:t xml:space="preserve"> spectra as properly. Some additional peaks seen in the </w:t>
      </w:r>
      <w:r>
        <w:rPr>
          <w:rFonts w:eastAsia="Calibri"/>
        </w:rPr>
        <w:t>niosome</w:t>
      </w:r>
      <w:r>
        <w:rPr>
          <w:rFonts w:eastAsia="Calibri"/>
        </w:rPr>
        <w:t xml:space="preserve"> spectra were recognized and that had been additionally found in cholesterol, span 20 and span 60 as well.</w:t>
      </w:r>
    </w:p>
    <w:p>
      <w:pPr>
        <w:pStyle w:val="style66"/>
        <w:spacing w:lineRule="auto" w:line="276"/>
        <w:ind w:right="730"/>
        <w:jc w:val="both"/>
        <w:rPr>
          <w:rFonts w:eastAsia="Calibri"/>
        </w:rPr>
      </w:pPr>
      <w:r>
        <w:rPr>
          <w:rFonts w:eastAsia="Calibri"/>
        </w:rPr>
        <w:t xml:space="preserve">Absence of any drug related peaks within the </w:t>
      </w:r>
      <w:r>
        <w:rPr>
          <w:rFonts w:eastAsia="Calibri"/>
        </w:rPr>
        <w:t>Ropinirole</w:t>
      </w:r>
      <w:r>
        <w:rPr>
          <w:rFonts w:eastAsia="Calibri"/>
        </w:rPr>
        <w:t xml:space="preserve"> HCL loaded </w:t>
      </w:r>
      <w:r>
        <w:rPr>
          <w:rFonts w:eastAsia="Calibri"/>
        </w:rPr>
        <w:t>niosome</w:t>
      </w:r>
      <w:r>
        <w:rPr>
          <w:rFonts w:eastAsia="Calibri"/>
        </w:rPr>
        <w:t xml:space="preserve"> spectra verify the entrapment of medicine inside the </w:t>
      </w:r>
      <w:r>
        <w:rPr>
          <w:rFonts w:eastAsia="Calibri"/>
        </w:rPr>
        <w:t>bilayer</w:t>
      </w:r>
      <w:r>
        <w:rPr>
          <w:rFonts w:eastAsia="Calibri"/>
        </w:rPr>
        <w:t xml:space="preserve"> and the drug </w:t>
      </w:r>
      <w:r>
        <w:rPr>
          <w:rFonts w:eastAsia="Calibri"/>
        </w:rPr>
        <w:t>excipient</w:t>
      </w:r>
      <w:r>
        <w:rPr>
          <w:rFonts w:eastAsia="Calibri"/>
        </w:rPr>
        <w:t xml:space="preserve"> compatibility. For drug </w:t>
      </w:r>
      <w:r>
        <w:rPr>
          <w:rFonts w:eastAsia="Calibri"/>
        </w:rPr>
        <w:t>Ropinirole</w:t>
      </w:r>
      <w:r>
        <w:rPr>
          <w:rFonts w:eastAsia="Calibri"/>
        </w:rPr>
        <w:t xml:space="preserve"> HCL peaks on the 1694 cm-1 suggests the </w:t>
      </w:r>
      <w:r>
        <w:rPr>
          <w:rFonts w:eastAsia="Calibri"/>
        </w:rPr>
        <w:t>prescense</w:t>
      </w:r>
      <w:r>
        <w:rPr>
          <w:rFonts w:eastAsia="Calibri"/>
        </w:rPr>
        <w:t xml:space="preserve"> of C=O stretch and peaks at 1453 indicates the C=C fragrant stretch</w:t>
      </w:r>
      <w:r>
        <w:rPr>
          <w:rFonts w:eastAsia="Calibri"/>
        </w:rPr>
        <w:t>.(</w:t>
      </w:r>
      <w:r>
        <w:rPr>
          <w:rFonts w:eastAsia="Calibri"/>
        </w:rPr>
        <w:t>27-33)</w:t>
      </w:r>
    </w:p>
    <w:p>
      <w:pPr>
        <w:pStyle w:val="style66"/>
        <w:spacing w:lineRule="auto" w:line="276"/>
        <w:ind w:right="730"/>
        <w:jc w:val="both"/>
        <w:rPr>
          <w:b/>
        </w:rPr>
      </w:pPr>
      <w:r>
        <w:rPr>
          <w:b/>
        </w:rPr>
      </w:r>
      <w:r>
        <w:rPr>
          <w:b/>
        </w:rPr>
      </w:r>
      <w:r>
        <w:rPr>
          <w:b/>
        </w:rPr>
      </w:r>
      <w:r>
        <w:rPr>
          <w:b/>
        </w:rPr>
        <w:object>
          <v:shape id="1038" type="#_x0000_t75" filled="f" stroked="f" style="margin-left:0.0pt;margin-top:0.0pt;width:402.75pt;height:301.5pt;mso-wrap-distance-left:0.0pt;mso-wrap-distance-right:0.0pt;visibility:visible;">
            <v:imagedata r:id="rId8" embosscolor="white" o:title=""/>
            <v:stroke on="f" joinstyle="miter"/>
            <o:lock aspectratio="true" v:ext="view"/>
            <v:fill/>
          </v:shape>
          <o:OLEObject Type="EMBED" ProgID="PowerPoint.Slide.12" ShapeID="1038" DrawAspect="Content" ObjectID="0" r:id="rId9"/>
        </w:object>
      </w:r>
      <w:r>
        <w:rPr>
          <w:b/>
        </w:rPr>
      </w:r>
    </w:p>
    <w:p>
      <w:pPr>
        <w:pStyle w:val="style0"/>
        <w:tabs>
          <w:tab w:val="left" w:leader="none" w:pos="1440"/>
        </w:tabs>
        <w:jc w:val="center"/>
        <w:rPr>
          <w:rFonts w:ascii="Times New Roman" w:cs="Times New Roman" w:hAnsi="Times New Roman"/>
          <w:sz w:val="24"/>
          <w:szCs w:val="24"/>
        </w:rPr>
      </w:pPr>
      <w:r>
        <w:rPr>
          <w:rFonts w:ascii="Times New Roman" w:cs="Times New Roman" w:hAnsi="Times New Roman"/>
          <w:sz w:val="24"/>
          <w:szCs w:val="24"/>
        </w:rPr>
        <w:t xml:space="preserve">Fig no-7 Drug </w:t>
      </w:r>
      <w:r>
        <w:rPr>
          <w:rFonts w:ascii="Times New Roman" w:cs="Times New Roman" w:hAnsi="Times New Roman"/>
          <w:sz w:val="24"/>
          <w:szCs w:val="24"/>
        </w:rPr>
        <w:t>Excipient</w:t>
      </w:r>
      <w:r>
        <w:rPr>
          <w:rFonts w:ascii="Times New Roman" w:cs="Times New Roman" w:hAnsi="Times New Roman"/>
          <w:sz w:val="24"/>
          <w:szCs w:val="24"/>
        </w:rPr>
        <w:t xml:space="preserve"> compatibility by FTIR Spectra</w:t>
      </w:r>
    </w:p>
    <w:p>
      <w:pPr>
        <w:pStyle w:val="style66"/>
        <w:spacing w:lineRule="auto" w:line="276"/>
        <w:ind w:right="730"/>
        <w:jc w:val="both"/>
        <w:rPr>
          <w:b/>
        </w:rPr>
      </w:pPr>
    </w:p>
    <w:p>
      <w:pPr>
        <w:pStyle w:val="style66"/>
        <w:spacing w:lineRule="auto" w:line="276"/>
        <w:ind w:right="730"/>
        <w:jc w:val="both"/>
        <w:rPr>
          <w:b/>
        </w:rPr>
      </w:pPr>
    </w:p>
    <w:p>
      <w:pPr>
        <w:pStyle w:val="style66"/>
        <w:spacing w:lineRule="auto" w:line="276"/>
        <w:ind w:right="730"/>
        <w:jc w:val="center"/>
        <w:rPr>
          <w:rFonts w:eastAsia="Calibri"/>
        </w:rPr>
      </w:pPr>
      <w:r>
        <w:rPr/>
      </w:r>
      <w:r/>
      <w:r>
        <w:rPr/>
      </w:r>
      <w:r>
        <w:rPr/>
        <w:object>
          <v:shape id="1040" type="#_x0000_t75" filled="f" stroked="f" style="margin-left:0.0pt;margin-top:0.0pt;width:337.5pt;height:189.0pt;mso-wrap-distance-left:0.0pt;mso-wrap-distance-right:0.0pt;visibility:visible;">
            <v:imagedata r:id="rId10" embosscolor="white" o:title=""/>
            <v:stroke on="f" joinstyle="miter"/>
            <o:lock aspectratio="true" v:ext="view"/>
            <v:fill/>
          </v:shape>
          <o:OLEObject Type="EMBED" ProgID="PowerPoint.Slide.12" ShapeID="1040" DrawAspect="Content" ObjectID="0" r:id="rId11"/>
        </w:object>
      </w:r>
      <w:r>
        <w:rPr/>
      </w:r>
    </w:p>
    <w:p>
      <w:pPr>
        <w:pStyle w:val="style0"/>
        <w:tabs>
          <w:tab w:val="left" w:leader="none" w:pos="1440"/>
        </w:tabs>
        <w:jc w:val="center"/>
        <w:rPr>
          <w:rFonts w:ascii="Times New Roman" w:cs="Times New Roman" w:hAnsi="Times New Roman"/>
          <w:sz w:val="24"/>
        </w:rPr>
      </w:pPr>
      <w:r>
        <w:rPr>
          <w:rFonts w:ascii="Times New Roman" w:cs="Times New Roman" w:hAnsi="Times New Roman"/>
          <w:sz w:val="24"/>
        </w:rPr>
        <w:t xml:space="preserve">Fig 8- Drug </w:t>
      </w:r>
      <w:r>
        <w:rPr>
          <w:rFonts w:ascii="Times New Roman" w:cs="Times New Roman" w:hAnsi="Times New Roman"/>
          <w:sz w:val="24"/>
        </w:rPr>
        <w:t>excipient</w:t>
      </w:r>
      <w:r>
        <w:rPr>
          <w:rFonts w:ascii="Times New Roman" w:cs="Times New Roman" w:hAnsi="Times New Roman"/>
          <w:sz w:val="24"/>
        </w:rPr>
        <w:t xml:space="preserve"> compatibility by DSC</w:t>
      </w:r>
    </w:p>
    <w:p>
      <w:pPr>
        <w:pStyle w:val="style66"/>
        <w:spacing w:lineRule="auto" w:line="276"/>
        <w:ind w:right="730"/>
        <w:jc w:val="both"/>
        <w:rPr>
          <w:rFonts w:eastAsia="Calibri"/>
        </w:rPr>
      </w:pPr>
    </w:p>
    <w:p>
      <w:pPr>
        <w:pStyle w:val="style66"/>
        <w:spacing w:lineRule="auto" w:line="276"/>
        <w:ind w:right="730"/>
        <w:jc w:val="both"/>
        <w:rPr>
          <w:rFonts w:eastAsia="Calibri"/>
        </w:rPr>
      </w:pPr>
      <w:r>
        <w:rPr>
          <w:rFonts w:eastAsia="Calibri"/>
        </w:rPr>
        <w:t>3.5</w:t>
      </w:r>
      <w:r>
        <w:rPr>
          <w:rFonts w:eastAsia="Calibri"/>
        </w:rPr>
        <w:t>.In</w:t>
      </w:r>
      <w:r>
        <w:rPr>
          <w:rFonts w:eastAsia="Calibri"/>
        </w:rPr>
        <w:t>-Vitro drug release studies.</w:t>
      </w:r>
    </w:p>
    <w:p>
      <w:pPr>
        <w:pStyle w:val="style66"/>
        <w:spacing w:lineRule="auto" w:line="276"/>
        <w:ind w:right="730"/>
        <w:jc w:val="both"/>
        <w:rPr>
          <w:rFonts w:eastAsia="Calibri"/>
        </w:rPr>
      </w:pPr>
      <w:r>
        <w:rPr>
          <w:rFonts w:eastAsia="Calibri"/>
        </w:rPr>
        <w:t xml:space="preserve">Formulations F1 to F15 have been evaluated to in-vitro </w:t>
      </w:r>
      <w:r>
        <w:rPr>
          <w:rFonts w:eastAsia="Calibri"/>
        </w:rPr>
        <w:t>drug  launch</w:t>
      </w:r>
      <w:r>
        <w:rPr>
          <w:rFonts w:eastAsia="Calibri"/>
        </w:rPr>
        <w:t xml:space="preserve"> research which will recognize the effect of </w:t>
      </w:r>
      <w:r>
        <w:rPr>
          <w:rFonts w:eastAsia="Calibri"/>
        </w:rPr>
        <w:t>mucoadhesive</w:t>
      </w:r>
      <w:r>
        <w:rPr>
          <w:rFonts w:eastAsia="Calibri"/>
        </w:rPr>
        <w:t xml:space="preserve"> polymers on launch profile. The discharge profile of </w:t>
      </w:r>
      <w:r>
        <w:rPr>
          <w:rFonts w:eastAsia="Calibri"/>
        </w:rPr>
        <w:t>Ropinirole</w:t>
      </w:r>
      <w:r>
        <w:rPr>
          <w:rFonts w:eastAsia="Calibri"/>
        </w:rPr>
        <w:t xml:space="preserve"> HCL from </w:t>
      </w:r>
      <w:r>
        <w:rPr>
          <w:rFonts w:eastAsia="Calibri"/>
        </w:rPr>
        <w:t>niosomes</w:t>
      </w:r>
      <w:r>
        <w:rPr>
          <w:rFonts w:eastAsia="Calibri"/>
        </w:rPr>
        <w:t xml:space="preserve"> showed an initial burst launch followed by means of sustained released. In vitro release profiles of </w:t>
      </w:r>
      <w:r>
        <w:rPr>
          <w:rFonts w:eastAsia="Calibri"/>
        </w:rPr>
        <w:t>Ropinirole</w:t>
      </w:r>
      <w:r>
        <w:rPr>
          <w:rFonts w:eastAsia="Calibri"/>
        </w:rPr>
        <w:t xml:space="preserve"> HCL of F1 to F15 given in the table.</w:t>
      </w:r>
    </w:p>
    <w:p>
      <w:pPr>
        <w:pStyle w:val="style66"/>
        <w:spacing w:lineRule="auto" w:line="276"/>
        <w:ind w:right="730"/>
        <w:jc w:val="both"/>
        <w:rPr>
          <w:rFonts w:eastAsia="Calibri"/>
        </w:rPr>
      </w:pPr>
      <w:r>
        <w:rPr>
          <w:rFonts w:eastAsia="Calibri"/>
        </w:rPr>
        <w:t xml:space="preserve">From the discharge profile of all formulations F1 to F15, it turned into located that with boom in concentration of </w:t>
      </w:r>
      <w:r>
        <w:rPr>
          <w:rFonts w:eastAsia="Calibri"/>
        </w:rPr>
        <w:t>Noveon</w:t>
      </w:r>
      <w:r>
        <w:rPr>
          <w:rFonts w:eastAsia="Calibri"/>
        </w:rPr>
        <w:t xml:space="preserve"> AA1 </w:t>
      </w:r>
      <w:r>
        <w:rPr>
          <w:rFonts w:eastAsia="Calibri"/>
        </w:rPr>
        <w:t>polycarbophil</w:t>
      </w:r>
      <w:r>
        <w:rPr>
          <w:rFonts w:eastAsia="Calibri"/>
        </w:rPr>
        <w:t xml:space="preserve"> charge of drug launch decreases. The diffusion profile of </w:t>
      </w:r>
      <w:r>
        <w:rPr>
          <w:rFonts w:eastAsia="Calibri"/>
        </w:rPr>
        <w:t>Ropinirole</w:t>
      </w:r>
      <w:r>
        <w:rPr>
          <w:rFonts w:eastAsia="Calibri"/>
        </w:rPr>
        <w:t xml:space="preserve"> HCL </w:t>
      </w:r>
      <w:r>
        <w:rPr>
          <w:rFonts w:eastAsia="Calibri"/>
        </w:rPr>
        <w:t>niosomes</w:t>
      </w:r>
      <w:r>
        <w:rPr>
          <w:rFonts w:eastAsia="Calibri"/>
        </w:rPr>
        <w:t xml:space="preserve"> showed speedy release to start with until 2 hr which become presumably associated with the diffusion of </w:t>
      </w:r>
      <w:r>
        <w:rPr>
          <w:rFonts w:eastAsia="Calibri"/>
        </w:rPr>
        <w:t>Ropinirole</w:t>
      </w:r>
      <w:r>
        <w:rPr>
          <w:rFonts w:eastAsia="Calibri"/>
        </w:rPr>
        <w:t xml:space="preserve"> HCL from the water channel in the higher layer of </w:t>
      </w:r>
      <w:r>
        <w:rPr>
          <w:rFonts w:eastAsia="Calibri"/>
        </w:rPr>
        <w:t>niosomal</w:t>
      </w:r>
      <w:r>
        <w:rPr>
          <w:rFonts w:eastAsia="Calibri"/>
        </w:rPr>
        <w:t xml:space="preserve"> segment. This became due to boom in amount of </w:t>
      </w:r>
      <w:r>
        <w:rPr>
          <w:rFonts w:eastAsia="Calibri"/>
        </w:rPr>
        <w:t>Noveon</w:t>
      </w:r>
      <w:r>
        <w:rPr>
          <w:rFonts w:eastAsia="Calibri"/>
        </w:rPr>
        <w:t xml:space="preserve"> AA1 </w:t>
      </w:r>
      <w:r>
        <w:rPr>
          <w:rFonts w:eastAsia="Calibri"/>
        </w:rPr>
        <w:t>polycarbophil</w:t>
      </w:r>
      <w:r>
        <w:rPr>
          <w:rFonts w:eastAsia="Calibri"/>
        </w:rPr>
        <w:t xml:space="preserve">, as the capacity of the </w:t>
      </w:r>
      <w:r>
        <w:rPr>
          <w:rFonts w:eastAsia="Calibri"/>
        </w:rPr>
        <w:t>niosomal</w:t>
      </w:r>
      <w:r>
        <w:rPr>
          <w:rFonts w:eastAsia="Calibri"/>
        </w:rPr>
        <w:t xml:space="preserve"> structure to hold the drug decreased likely because of extended </w:t>
      </w:r>
      <w:r>
        <w:rPr>
          <w:rFonts w:eastAsia="Calibri"/>
        </w:rPr>
        <w:t>hydrophillicity</w:t>
      </w:r>
      <w:r>
        <w:rPr>
          <w:rFonts w:eastAsia="Calibri"/>
        </w:rPr>
        <w:t xml:space="preserve"> of the </w:t>
      </w:r>
      <w:r>
        <w:rPr>
          <w:rFonts w:eastAsia="Calibri"/>
        </w:rPr>
        <w:t>niosomes</w:t>
      </w:r>
      <w:r>
        <w:rPr>
          <w:rFonts w:eastAsia="Calibri"/>
        </w:rPr>
        <w:t xml:space="preserve"> and drug get away into the outer </w:t>
      </w:r>
      <w:r>
        <w:rPr>
          <w:rFonts w:eastAsia="Calibri"/>
        </w:rPr>
        <w:t>aquousenvironment</w:t>
      </w:r>
      <w:r>
        <w:rPr>
          <w:rFonts w:eastAsia="Calibri"/>
        </w:rPr>
        <w:t xml:space="preserve"> together with polymer.</w:t>
      </w:r>
    </w:p>
    <w:p>
      <w:pPr>
        <w:pStyle w:val="style66"/>
        <w:spacing w:lineRule="auto" w:line="276"/>
        <w:ind w:right="730"/>
        <w:jc w:val="both"/>
        <w:rPr>
          <w:rFonts w:eastAsia="Calibri"/>
        </w:rPr>
      </w:pPr>
      <w:r>
        <w:rPr>
          <w:rFonts w:eastAsia="Calibri"/>
        </w:rPr>
        <w:t xml:space="preserve">The gradual launch changed into corresponds to the diffusion from the internal water channels and use of </w:t>
      </w:r>
      <w:r>
        <w:rPr>
          <w:rFonts w:eastAsia="Calibri"/>
        </w:rPr>
        <w:t>Noveon</w:t>
      </w:r>
      <w:r>
        <w:rPr>
          <w:rFonts w:eastAsia="Calibri"/>
        </w:rPr>
        <w:t xml:space="preserve"> AA1 </w:t>
      </w:r>
      <w:r>
        <w:rPr>
          <w:rFonts w:eastAsia="Calibri"/>
        </w:rPr>
        <w:t>polycarbophil</w:t>
      </w:r>
      <w:r>
        <w:rPr>
          <w:rFonts w:eastAsia="Calibri"/>
        </w:rPr>
        <w:t xml:space="preserve"> for sustained launch of drug. The water channels are very small in size and the discharge of </w:t>
      </w:r>
      <w:r>
        <w:rPr>
          <w:rFonts w:eastAsia="Calibri"/>
        </w:rPr>
        <w:t>Ropinirole</w:t>
      </w:r>
      <w:r>
        <w:rPr>
          <w:rFonts w:eastAsia="Calibri"/>
        </w:rPr>
        <w:t xml:space="preserve"> HCL became maximum possibly diffusion controlled. The release profile of formulations were discovered to be in the range </w:t>
      </w:r>
      <w:r>
        <w:rPr>
          <w:rFonts w:eastAsia="Calibri"/>
        </w:rPr>
        <w:t>of  85</w:t>
      </w:r>
      <w:r>
        <w:rPr>
          <w:rFonts w:eastAsia="Calibri"/>
        </w:rPr>
        <w:t>% to ninety two%. Formulations F3 and F9 indicates maximum launch whilst formulations F2 and F15 suggests lowest release.</w:t>
      </w:r>
    </w:p>
    <w:p>
      <w:pPr>
        <w:pStyle w:val="style66"/>
        <w:spacing w:lineRule="auto" w:line="276"/>
        <w:ind w:right="730"/>
        <w:jc w:val="both"/>
        <w:rPr>
          <w:rFonts w:eastAsia="Calibri"/>
        </w:rPr>
      </w:pPr>
    </w:p>
    <w:p>
      <w:pPr>
        <w:pStyle w:val="style66"/>
        <w:spacing w:lineRule="auto" w:line="276"/>
        <w:ind w:right="730"/>
        <w:jc w:val="center"/>
        <w:rPr>
          <w:rFonts w:eastAsia="Calibri"/>
        </w:rPr>
      </w:pPr>
      <w:r>
        <w:rPr>
          <w:rFonts w:eastAsia="Calibri"/>
          <w:noProof/>
        </w:rPr>
      </w:r>
      <w:r>
        <w:rPr>
          <w:rFonts w:eastAsia="Calibri"/>
          <w:noProof/>
        </w:rPr>
      </w:r>
      <w:r>
        <w:rPr>
          <w:rFonts w:eastAsia="Calibri"/>
          <w:noProof/>
        </w:rPr>
      </w:r>
      <w:r>
        <w:rPr>
          <w:rFonts w:eastAsia="Calibri"/>
          <w:noProof/>
        </w:rPr>
        <w:drawing>
          <wp:inline distL="114300" distT="0" distB="0" distR="114300">
            <wp:extent cx="4572000" cy="2743200"/>
            <wp:effectExtent l="0" t="0" r="0" b="0"/>
            <wp:docPr id="104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Pr>
          <w:rFonts w:eastAsia="Calibri"/>
          <w:noProof/>
        </w:rPr>
      </w:r>
    </w:p>
    <w:p>
      <w:pPr>
        <w:pStyle w:val="style66"/>
        <w:spacing w:lineRule="auto" w:line="276"/>
        <w:ind w:right="730"/>
        <w:jc w:val="both"/>
        <w:rPr>
          <w:rFonts w:eastAsia="Calibri"/>
        </w:rPr>
      </w:pPr>
    </w:p>
    <w:p>
      <w:pPr>
        <w:pStyle w:val="style0"/>
        <w:tabs>
          <w:tab w:val="left" w:leader="none" w:pos="1440"/>
        </w:tabs>
        <w:jc w:val="center"/>
        <w:rPr>
          <w:rFonts w:ascii="Times New Roman" w:cs="Times New Roman" w:hAnsi="Times New Roman"/>
          <w:sz w:val="24"/>
        </w:rPr>
      </w:pPr>
      <w:r>
        <w:rPr>
          <w:rFonts w:ascii="Times New Roman" w:cs="Times New Roman" w:hAnsi="Times New Roman"/>
          <w:sz w:val="24"/>
        </w:rPr>
        <w:t>Fig 9-In-vitro drug release of F1 to F5</w:t>
      </w:r>
    </w:p>
    <w:p>
      <w:pPr>
        <w:pStyle w:val="style0"/>
        <w:tabs>
          <w:tab w:val="left" w:leader="none" w:pos="1440"/>
        </w:tabs>
        <w:jc w:val="center"/>
        <w:rPr>
          <w:rFonts w:ascii="Times New Roman" w:cs="Times New Roman" w:hAnsi="Times New Roman"/>
          <w:sz w:val="24"/>
          <w:szCs w:val="24"/>
        </w:rPr>
      </w:pPr>
    </w:p>
    <w:p>
      <w:pPr>
        <w:pStyle w:val="style66"/>
        <w:spacing w:lineRule="auto" w:line="276"/>
        <w:ind w:right="730"/>
        <w:jc w:val="both"/>
        <w:rPr>
          <w:rFonts w:eastAsia="Calibri"/>
        </w:rPr>
      </w:pPr>
    </w:p>
    <w:p>
      <w:pPr>
        <w:pStyle w:val="style66"/>
        <w:spacing w:lineRule="auto" w:line="276"/>
        <w:ind w:right="730"/>
        <w:jc w:val="center"/>
        <w:rPr>
          <w:rFonts w:eastAsia="Calibri"/>
        </w:rPr>
      </w:pPr>
      <w:r>
        <w:rPr>
          <w:rFonts w:eastAsia="Calibri"/>
          <w:noProof/>
        </w:rPr>
      </w:r>
      <w:r>
        <w:rPr>
          <w:rFonts w:eastAsia="Calibri"/>
          <w:noProof/>
        </w:rPr>
      </w:r>
      <w:r>
        <w:rPr>
          <w:rFonts w:eastAsia="Calibri"/>
          <w:noProof/>
        </w:rPr>
      </w:r>
      <w:r>
        <w:rPr>
          <w:rFonts w:eastAsia="Calibri"/>
          <w:noProof/>
        </w:rPr>
        <w:drawing>
          <wp:inline distL="114300" distT="0" distB="0" distR="114300">
            <wp:extent cx="4572000" cy="2743200"/>
            <wp:effectExtent l="0" t="0" r="0" b="0"/>
            <wp:docPr id="104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rFonts w:eastAsia="Calibri"/>
          <w:noProof/>
        </w:rPr>
      </w:r>
    </w:p>
    <w:p>
      <w:pPr>
        <w:pStyle w:val="style66"/>
        <w:spacing w:lineRule="auto" w:line="276"/>
        <w:ind w:right="730"/>
        <w:jc w:val="both"/>
        <w:rPr>
          <w:rFonts w:eastAsia="Calibri"/>
        </w:rPr>
      </w:pPr>
    </w:p>
    <w:p>
      <w:pPr>
        <w:pStyle w:val="style0"/>
        <w:tabs>
          <w:tab w:val="left" w:leader="none" w:pos="1440"/>
        </w:tabs>
        <w:jc w:val="center"/>
        <w:rPr>
          <w:rFonts w:ascii="Times New Roman" w:cs="Times New Roman" w:hAnsi="Times New Roman"/>
          <w:sz w:val="24"/>
          <w:szCs w:val="24"/>
        </w:rPr>
      </w:pPr>
      <w:r>
        <w:rPr>
          <w:rFonts w:ascii="Times New Roman" w:cs="Times New Roman" w:hAnsi="Times New Roman"/>
          <w:sz w:val="24"/>
          <w:szCs w:val="24"/>
        </w:rPr>
        <w:t xml:space="preserve">Fig 10- </w:t>
      </w:r>
      <w:r>
        <w:rPr>
          <w:rFonts w:ascii="Times New Roman" w:cs="Times New Roman" w:hAnsi="Times New Roman"/>
          <w:sz w:val="24"/>
          <w:szCs w:val="24"/>
        </w:rPr>
        <w:t>In-vitro drug release of F10 to F14</w:t>
      </w:r>
    </w:p>
    <w:p>
      <w:pPr>
        <w:pStyle w:val="style66"/>
        <w:spacing w:lineRule="auto" w:line="276"/>
        <w:ind w:right="730"/>
        <w:jc w:val="both"/>
        <w:rPr>
          <w:rFonts w:eastAsia="Calibri"/>
        </w:rPr>
      </w:pPr>
    </w:p>
    <w:p>
      <w:pPr>
        <w:pStyle w:val="style66"/>
        <w:spacing w:lineRule="auto" w:line="276"/>
        <w:ind w:right="730"/>
        <w:jc w:val="both"/>
        <w:rPr>
          <w:rFonts w:eastAsia="Calibri"/>
        </w:rPr>
      </w:pPr>
    </w:p>
    <w:p>
      <w:pPr>
        <w:pStyle w:val="style66"/>
        <w:spacing w:lineRule="auto" w:line="276"/>
        <w:ind w:right="730"/>
        <w:jc w:val="both"/>
        <w:rPr>
          <w:rFonts w:eastAsia="Calibri"/>
        </w:rPr>
      </w:pPr>
    </w:p>
    <w:p>
      <w:pPr>
        <w:pStyle w:val="style66"/>
        <w:spacing w:lineRule="auto" w:line="276"/>
        <w:ind w:right="730"/>
        <w:jc w:val="both"/>
        <w:rPr>
          <w:rFonts w:eastAsia="Calibri"/>
        </w:rPr>
      </w:pPr>
      <w:r>
        <w:rPr>
          <w:rFonts w:eastAsia="Calibri"/>
        </w:rPr>
        <w:t xml:space="preserve">3.6. Nasal </w:t>
      </w:r>
      <w:r>
        <w:rPr>
          <w:rFonts w:eastAsia="Calibri"/>
        </w:rPr>
        <w:t>Mucoasal</w:t>
      </w:r>
      <w:r>
        <w:rPr>
          <w:rFonts w:eastAsia="Calibri"/>
        </w:rPr>
        <w:t xml:space="preserve"> permeation examine</w:t>
      </w:r>
    </w:p>
    <w:p>
      <w:pPr>
        <w:pStyle w:val="style66"/>
        <w:spacing w:lineRule="auto" w:line="276"/>
        <w:ind w:right="730"/>
        <w:jc w:val="both"/>
        <w:rPr>
          <w:rFonts w:eastAsia="Calibri"/>
        </w:rPr>
      </w:pPr>
      <w:r>
        <w:rPr>
          <w:rFonts w:eastAsia="Calibri"/>
        </w:rPr>
        <w:t xml:space="preserve">Ex vivo permeation study of selected </w:t>
      </w:r>
      <w:r>
        <w:rPr>
          <w:rFonts w:eastAsia="Calibri"/>
        </w:rPr>
        <w:t>niosomal</w:t>
      </w:r>
      <w:r>
        <w:rPr>
          <w:rFonts w:eastAsia="Calibri"/>
        </w:rPr>
        <w:t xml:space="preserve"> method of </w:t>
      </w:r>
      <w:r>
        <w:rPr>
          <w:rFonts w:eastAsia="Calibri"/>
        </w:rPr>
        <w:t>noveon</w:t>
      </w:r>
      <w:r>
        <w:rPr>
          <w:rFonts w:eastAsia="Calibri"/>
        </w:rPr>
        <w:t xml:space="preserve"> covered </w:t>
      </w:r>
      <w:r>
        <w:rPr>
          <w:rFonts w:eastAsia="Calibri"/>
        </w:rPr>
        <w:t>Ropinirole</w:t>
      </w:r>
      <w:r>
        <w:rPr>
          <w:rFonts w:eastAsia="Calibri"/>
        </w:rPr>
        <w:t xml:space="preserve"> </w:t>
      </w:r>
      <w:r>
        <w:rPr>
          <w:rFonts w:eastAsia="Calibri"/>
        </w:rPr>
        <w:t xml:space="preserve">HCL </w:t>
      </w:r>
      <w:r>
        <w:rPr>
          <w:rFonts w:eastAsia="Calibri"/>
        </w:rPr>
        <w:t>niosomes</w:t>
      </w:r>
      <w:r>
        <w:rPr>
          <w:rFonts w:eastAsia="Calibri"/>
        </w:rPr>
        <w:t xml:space="preserve"> was completed with the aid of the use of goat </w:t>
      </w:r>
      <w:r>
        <w:rPr>
          <w:rFonts w:eastAsia="Calibri"/>
        </w:rPr>
        <w:t>nasal  mucosa</w:t>
      </w:r>
      <w:r>
        <w:rPr>
          <w:rFonts w:eastAsia="Calibri"/>
        </w:rPr>
        <w:t xml:space="preserve"> .The percentage drug permeated</w:t>
      </w:r>
      <w:r>
        <w:rPr>
          <w:rFonts w:eastAsia="Calibri"/>
        </w:rPr>
        <w:t xml:space="preserve"> was discovered to be 95.6</w:t>
      </w:r>
      <w:r>
        <w:rPr>
          <w:rFonts w:eastAsia="Calibri"/>
        </w:rPr>
        <w:t xml:space="preserve">% after 6h that is substantially higher than the </w:t>
      </w:r>
      <w:r>
        <w:rPr>
          <w:rFonts w:eastAsia="Calibri"/>
        </w:rPr>
        <w:t>niosomal</w:t>
      </w:r>
      <w:r>
        <w:rPr>
          <w:rFonts w:eastAsia="Calibri"/>
        </w:rPr>
        <w:t xml:space="preserve"> answer</w:t>
      </w:r>
    </w:p>
    <w:p>
      <w:pPr>
        <w:pStyle w:val="style66"/>
        <w:spacing w:lineRule="auto" w:line="276"/>
        <w:ind w:right="730"/>
        <w:jc w:val="both"/>
        <w:rPr>
          <w:rFonts w:eastAsia="Calibri"/>
        </w:rPr>
      </w:pPr>
    </w:p>
    <w:p>
      <w:pPr>
        <w:pStyle w:val="style66"/>
        <w:spacing w:lineRule="auto" w:line="276"/>
        <w:ind w:right="730"/>
        <w:jc w:val="center"/>
        <w:rPr>
          <w:rFonts w:eastAsia="Calibri"/>
        </w:rPr>
      </w:pPr>
      <w:r>
        <w:rPr>
          <w:rFonts w:eastAsia="Calibri"/>
          <w:noProof/>
        </w:rPr>
      </w:r>
      <w:r>
        <w:rPr>
          <w:rFonts w:eastAsia="Calibri"/>
          <w:noProof/>
        </w:rPr>
      </w:r>
      <w:r>
        <w:rPr>
          <w:rFonts w:eastAsia="Calibri"/>
          <w:noProof/>
        </w:rPr>
      </w:r>
      <w:r>
        <w:rPr>
          <w:rFonts w:eastAsia="Calibri"/>
          <w:noProof/>
        </w:rPr>
        <w:drawing>
          <wp:inline distL="114300" distT="0" distB="0" distR="114300">
            <wp:extent cx="4572000" cy="2743200"/>
            <wp:effectExtent l="0" t="0" r="0" b="0"/>
            <wp:docPr id="104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Pr>
          <w:rFonts w:eastAsia="Calibri"/>
          <w:noProof/>
        </w:rPr>
      </w:r>
    </w:p>
    <w:p>
      <w:pPr>
        <w:pStyle w:val="style0"/>
        <w:tabs>
          <w:tab w:val="left" w:leader="none" w:pos="2325"/>
        </w:tabs>
        <w:jc w:val="center"/>
        <w:rPr>
          <w:rFonts w:ascii="Times New Roman" w:cs="Times New Roman" w:hAnsi="Times New Roman"/>
          <w:sz w:val="24"/>
          <w:szCs w:val="24"/>
        </w:rPr>
      </w:pPr>
      <w:r>
        <w:rPr>
          <w:rFonts w:ascii="Times New Roman" w:cs="Times New Roman" w:hAnsi="Times New Roman"/>
          <w:sz w:val="24"/>
          <w:szCs w:val="24"/>
        </w:rPr>
        <w:t>Fig 11- Ex-Vivo study of formulation and drug</w:t>
      </w:r>
    </w:p>
    <w:p>
      <w:pPr>
        <w:pStyle w:val="style66"/>
        <w:spacing w:lineRule="auto" w:line="276"/>
        <w:ind w:right="730"/>
        <w:jc w:val="both"/>
        <w:rPr>
          <w:rFonts w:eastAsia="Calibri"/>
        </w:rPr>
      </w:pPr>
    </w:p>
    <w:p>
      <w:pPr>
        <w:pStyle w:val="style66"/>
        <w:spacing w:lineRule="auto" w:line="276"/>
        <w:ind w:right="730"/>
        <w:jc w:val="both"/>
        <w:rPr>
          <w:rFonts w:eastAsia="Calibri"/>
        </w:rPr>
      </w:pPr>
      <w:r>
        <w:rPr>
          <w:rFonts w:eastAsia="Calibri"/>
        </w:rPr>
        <w:t>3.7</w:t>
      </w:r>
      <w:r>
        <w:rPr>
          <w:rFonts w:eastAsia="Calibri"/>
        </w:rPr>
        <w:t>.Selection</w:t>
      </w:r>
      <w:r>
        <w:rPr>
          <w:rFonts w:eastAsia="Calibri"/>
        </w:rPr>
        <w:t xml:space="preserve"> of optimized batch</w:t>
      </w:r>
    </w:p>
    <w:p>
      <w:pPr>
        <w:pStyle w:val="style66"/>
        <w:spacing w:lineRule="auto" w:line="276"/>
        <w:ind w:right="730"/>
        <w:jc w:val="both"/>
        <w:rPr>
          <w:rFonts w:eastAsia="Calibri"/>
        </w:rPr>
      </w:pPr>
      <w:r>
        <w:rPr>
          <w:rFonts w:eastAsia="Calibri"/>
        </w:rPr>
        <w:t xml:space="preserve">Amongst numerous batches of </w:t>
      </w:r>
      <w:r>
        <w:rPr>
          <w:rFonts w:eastAsia="Calibri"/>
        </w:rPr>
        <w:t>niosomes</w:t>
      </w:r>
      <w:r>
        <w:rPr>
          <w:rFonts w:eastAsia="Calibri"/>
        </w:rPr>
        <w:t xml:space="preserve"> prepared, Batch F3</w:t>
      </w:r>
      <w:r>
        <w:rPr>
          <w:rFonts w:eastAsia="Calibri"/>
        </w:rPr>
        <w:t>,F7,F9</w:t>
      </w:r>
      <w:r>
        <w:rPr>
          <w:rFonts w:eastAsia="Calibri"/>
        </w:rPr>
        <w:t xml:space="preserve"> indicates maximum cumulative drug launch. Out of those the imply particle size of F9 turned into lowest as properly because it shows maximum entrapment performance. Moreover, the zeta ability of batch F9 become located to be -thirteen mV which shows properly balance of system and thus batch F9 changed into decided on for in addition observe.</w:t>
      </w:r>
    </w:p>
    <w:p>
      <w:pPr>
        <w:pStyle w:val="style66"/>
        <w:spacing w:lineRule="auto" w:line="276"/>
        <w:ind w:right="730"/>
        <w:jc w:val="both"/>
        <w:rPr>
          <w:rFonts w:eastAsia="Calibri"/>
        </w:rPr>
      </w:pPr>
    </w:p>
    <w:p>
      <w:pPr>
        <w:pStyle w:val="style66"/>
        <w:spacing w:lineRule="auto" w:line="276"/>
        <w:ind w:right="730"/>
        <w:jc w:val="both"/>
        <w:rPr>
          <w:rFonts w:eastAsia="Calibri"/>
        </w:rPr>
      </w:pPr>
      <w:r>
        <w:rPr>
          <w:rFonts w:eastAsia="Calibri"/>
        </w:rPr>
        <w:t xml:space="preserve">3.8. </w:t>
      </w:r>
      <w:r>
        <w:rPr>
          <w:rFonts w:eastAsia="Calibri"/>
        </w:rPr>
        <w:t>Mucoahesive</w:t>
      </w:r>
      <w:r>
        <w:rPr>
          <w:rFonts w:eastAsia="Calibri"/>
        </w:rPr>
        <w:t xml:space="preserve"> observe of </w:t>
      </w:r>
      <w:r>
        <w:rPr>
          <w:rFonts w:eastAsia="Calibri"/>
        </w:rPr>
        <w:t>niosomal</w:t>
      </w:r>
      <w:r>
        <w:rPr>
          <w:rFonts w:eastAsia="Calibri"/>
        </w:rPr>
        <w:t xml:space="preserve"> system</w:t>
      </w:r>
    </w:p>
    <w:p>
      <w:pPr>
        <w:pStyle w:val="style66"/>
        <w:spacing w:lineRule="auto" w:line="276"/>
        <w:ind w:right="730"/>
        <w:jc w:val="both"/>
        <w:rPr>
          <w:rFonts w:eastAsia="Calibri"/>
        </w:rPr>
      </w:pPr>
      <w:r>
        <w:rPr>
          <w:rFonts w:eastAsia="Calibri"/>
        </w:rPr>
        <w:t xml:space="preserve">The </w:t>
      </w:r>
      <w:r>
        <w:rPr>
          <w:rFonts w:eastAsia="Calibri"/>
        </w:rPr>
        <w:t>mucoadhesive</w:t>
      </w:r>
      <w:r>
        <w:rPr>
          <w:rFonts w:eastAsia="Calibri"/>
        </w:rPr>
        <w:t xml:space="preserve"> potency of </w:t>
      </w:r>
      <w:r>
        <w:rPr>
          <w:rFonts w:eastAsia="Calibri"/>
        </w:rPr>
        <w:t>niosomal</w:t>
      </w:r>
      <w:r>
        <w:rPr>
          <w:rFonts w:eastAsia="Calibri"/>
        </w:rPr>
        <w:t xml:space="preserve"> method turned into determined via their </w:t>
      </w:r>
      <w:r>
        <w:rPr>
          <w:rFonts w:eastAsia="Calibri"/>
        </w:rPr>
        <w:t>mucin</w:t>
      </w:r>
      <w:r>
        <w:rPr>
          <w:rFonts w:eastAsia="Calibri"/>
        </w:rPr>
        <w:t xml:space="preserve"> binding efficacy It changed into observed that, the </w:t>
      </w:r>
      <w:r>
        <w:rPr>
          <w:rFonts w:eastAsia="Calibri"/>
        </w:rPr>
        <w:t>mucin</w:t>
      </w:r>
      <w:r>
        <w:rPr>
          <w:rFonts w:eastAsia="Calibri"/>
        </w:rPr>
        <w:t xml:space="preserve"> binding efficacy values of prepared formulation did now not display full-size distinction, recommended that the drug changed into uniformly dispersed in prepared nasal gel system. As the concentration of </w:t>
      </w:r>
      <w:r>
        <w:rPr>
          <w:rFonts w:eastAsia="Calibri"/>
        </w:rPr>
        <w:t>pluronic</w:t>
      </w:r>
      <w:r>
        <w:rPr>
          <w:rFonts w:eastAsia="Calibri"/>
        </w:rPr>
        <w:t xml:space="preserve"> extended, there determined increase in </w:t>
      </w:r>
      <w:r>
        <w:rPr>
          <w:rFonts w:eastAsia="Calibri"/>
        </w:rPr>
        <w:t>Mucin</w:t>
      </w:r>
      <w:r>
        <w:rPr>
          <w:rFonts w:eastAsia="Calibri"/>
        </w:rPr>
        <w:t xml:space="preserve"> binding efficacy. </w:t>
      </w:r>
      <w:r>
        <w:rPr>
          <w:rFonts w:eastAsia="Calibri"/>
        </w:rPr>
        <w:t>Method F9 confirmed 85</w:t>
      </w:r>
      <w:r>
        <w:rPr>
          <w:rFonts w:eastAsia="Calibri"/>
        </w:rPr>
        <w:t xml:space="preserve">% most </w:t>
      </w:r>
      <w:r>
        <w:rPr>
          <w:rFonts w:eastAsia="Calibri"/>
        </w:rPr>
        <w:t>mucin</w:t>
      </w:r>
      <w:r>
        <w:rPr>
          <w:rFonts w:eastAsia="Calibri"/>
        </w:rPr>
        <w:t xml:space="preserve"> binding efficacy.</w:t>
      </w:r>
    </w:p>
    <w:p>
      <w:pPr>
        <w:pStyle w:val="style66"/>
        <w:spacing w:lineRule="auto" w:line="276"/>
        <w:ind w:right="730"/>
        <w:jc w:val="both"/>
        <w:rPr>
          <w:rFonts w:eastAsia="Calibri"/>
        </w:rPr>
      </w:pPr>
    </w:p>
    <w:p>
      <w:pPr>
        <w:pStyle w:val="style66"/>
        <w:spacing w:lineRule="auto" w:line="276"/>
        <w:ind w:right="730"/>
        <w:jc w:val="both"/>
        <w:rPr>
          <w:rFonts w:eastAsia="Calibri"/>
        </w:rPr>
      </w:pPr>
      <w:r>
        <w:rPr>
          <w:rFonts w:eastAsia="Calibri"/>
        </w:rPr>
        <w:t>3.9</w:t>
      </w:r>
      <w:r>
        <w:rPr>
          <w:rFonts w:eastAsia="Calibri"/>
        </w:rPr>
        <w:t xml:space="preserve">. Stability examine </w:t>
      </w:r>
    </w:p>
    <w:p>
      <w:pPr>
        <w:pStyle w:val="style66"/>
        <w:spacing w:lineRule="auto" w:line="276"/>
        <w:ind w:right="730"/>
        <w:jc w:val="both"/>
        <w:rPr>
          <w:rFonts w:eastAsia="Calibri"/>
        </w:rPr>
      </w:pPr>
      <w:r>
        <w:rPr>
          <w:rFonts w:eastAsia="Calibri"/>
        </w:rPr>
        <w:t xml:space="preserve">Throughout stability duration particle length of optimized method barely elevated one hundred sixty </w:t>
      </w:r>
      <w:r>
        <w:rPr>
          <w:rFonts w:eastAsia="Calibri"/>
        </w:rPr>
        <w:t>five.Eight</w:t>
      </w:r>
      <w:r>
        <w:rPr>
          <w:rFonts w:eastAsia="Calibri"/>
        </w:rPr>
        <w:t xml:space="preserve"> nm would possibly due to attraction of small </w:t>
      </w:r>
      <w:r>
        <w:rPr>
          <w:rFonts w:eastAsia="Calibri"/>
        </w:rPr>
        <w:t>nanoparticles</w:t>
      </w:r>
      <w:r>
        <w:rPr>
          <w:rFonts w:eastAsia="Calibri"/>
        </w:rPr>
        <w:t xml:space="preserve"> found in </w:t>
      </w:r>
      <w:r>
        <w:rPr>
          <w:rFonts w:eastAsia="Calibri"/>
        </w:rPr>
        <w:t>niosomes</w:t>
      </w:r>
      <w:r>
        <w:rPr>
          <w:rFonts w:eastAsia="Calibri"/>
        </w:rPr>
        <w:t xml:space="preserve">. Whereas PDI changed into determined to be 0.278 indicates excellent homogenous nature of the dispersion after stability. Zeta ability </w:t>
      </w:r>
      <w:r>
        <w:rPr>
          <w:rFonts w:eastAsia="Calibri"/>
        </w:rPr>
        <w:t>become</w:t>
      </w:r>
      <w:r>
        <w:rPr>
          <w:rFonts w:eastAsia="Calibri"/>
        </w:rPr>
        <w:t xml:space="preserve"> discovered to be </w:t>
      </w:r>
      <w:r>
        <w:rPr>
          <w:rFonts w:eastAsia="Calibri"/>
        </w:rPr>
        <w:t xml:space="preserve">-11.4 mV which indicated the stability of optimized formulation. Entrapment performance of the optimized method become barely reduced after 1 month of stability take a look at however it was within established specification for </w:t>
      </w:r>
      <w:r>
        <w:rPr>
          <w:rFonts w:eastAsia="Calibri"/>
        </w:rPr>
        <w:t>Ropinirole</w:t>
      </w:r>
      <w:r>
        <w:rPr>
          <w:rFonts w:eastAsia="Calibri"/>
        </w:rPr>
        <w:t xml:space="preserve"> HCL. </w:t>
      </w:r>
    </w:p>
    <w:p>
      <w:pPr>
        <w:pStyle w:val="style66"/>
        <w:spacing w:lineRule="auto" w:line="276"/>
        <w:ind w:right="730"/>
        <w:jc w:val="both"/>
        <w:rPr>
          <w:rFonts w:eastAsia="Calibri"/>
        </w:rPr>
      </w:pPr>
    </w:p>
    <w:bookmarkStart w:id="0" w:name="_GoBack" w:colFirst="0" w:colLast="3"/>
    <w:tbl>
      <w:tblPr>
        <w:tblStyle w:val="style154"/>
        <w:tblW w:w="0" w:type="auto"/>
        <w:tblLook w:val="04A0" w:firstRow="1" w:lastRow="0" w:firstColumn="1" w:lastColumn="0" w:noHBand="0" w:noVBand="1"/>
      </w:tblPr>
      <w:tblGrid>
        <w:gridCol w:w="1897"/>
        <w:gridCol w:w="1897"/>
        <w:gridCol w:w="2434"/>
        <w:gridCol w:w="2520"/>
      </w:tblGrid>
      <w:tr>
        <w:trPr>
          <w:trHeight w:val="415" w:hRule="atLeast"/>
        </w:trPr>
        <w:tc>
          <w:tcPr>
            <w:tcW w:w="1897" w:type="dxa"/>
            <w:tcBorders/>
          </w:tcPr>
          <w:p>
            <w:pPr>
              <w:pStyle w:val="style157"/>
              <w:rPr>
                <w:rFonts w:ascii="Times New Roman" w:cs="Times New Roman" w:hAnsi="Times New Roman"/>
                <w:sz w:val="24"/>
                <w:szCs w:val="24"/>
              </w:rPr>
            </w:pPr>
            <w:r>
              <w:rPr>
                <w:rFonts w:ascii="Times New Roman" w:cs="Times New Roman" w:hAnsi="Times New Roman"/>
                <w:sz w:val="24"/>
                <w:szCs w:val="24"/>
              </w:rPr>
              <w:t>Particle Size</w:t>
            </w:r>
          </w:p>
        </w:tc>
        <w:tc>
          <w:tcPr>
            <w:tcW w:w="1897" w:type="dxa"/>
            <w:tcBorders/>
          </w:tcPr>
          <w:p>
            <w:pPr>
              <w:pStyle w:val="style157"/>
              <w:rPr>
                <w:rFonts w:ascii="Times New Roman" w:cs="Times New Roman" w:hAnsi="Times New Roman"/>
                <w:sz w:val="24"/>
                <w:szCs w:val="24"/>
              </w:rPr>
            </w:pPr>
            <w:r>
              <w:rPr>
                <w:rFonts w:ascii="Times New Roman" w:cs="Times New Roman" w:hAnsi="Times New Roman"/>
                <w:sz w:val="24"/>
                <w:szCs w:val="24"/>
              </w:rPr>
              <w:t>PDI</w:t>
            </w:r>
          </w:p>
        </w:tc>
        <w:tc>
          <w:tcPr>
            <w:tcW w:w="2434" w:type="dxa"/>
            <w:tcBorders/>
          </w:tcPr>
          <w:p>
            <w:pPr>
              <w:pStyle w:val="style157"/>
              <w:rPr>
                <w:rFonts w:ascii="Times New Roman" w:cs="Times New Roman" w:hAnsi="Times New Roman"/>
                <w:sz w:val="24"/>
                <w:szCs w:val="24"/>
              </w:rPr>
            </w:pPr>
            <w:r>
              <w:rPr>
                <w:rFonts w:ascii="Times New Roman" w:cs="Times New Roman" w:hAnsi="Times New Roman"/>
                <w:sz w:val="24"/>
                <w:szCs w:val="24"/>
              </w:rPr>
              <w:t>Zeta Potential</w:t>
            </w:r>
          </w:p>
        </w:tc>
        <w:tc>
          <w:tcPr>
            <w:tcW w:w="2520" w:type="dxa"/>
            <w:tcBorders/>
          </w:tcPr>
          <w:p>
            <w:pPr>
              <w:pStyle w:val="style157"/>
              <w:rPr>
                <w:rFonts w:ascii="Times New Roman" w:cs="Times New Roman" w:hAnsi="Times New Roman"/>
                <w:sz w:val="24"/>
                <w:szCs w:val="24"/>
              </w:rPr>
            </w:pPr>
            <w:r>
              <w:rPr>
                <w:rFonts w:ascii="Times New Roman" w:cs="Times New Roman" w:hAnsi="Times New Roman"/>
                <w:sz w:val="24"/>
                <w:szCs w:val="24"/>
              </w:rPr>
              <w:t>%Entrapment efficiency</w:t>
            </w:r>
          </w:p>
        </w:tc>
      </w:tr>
      <w:tr>
        <w:tblPrEx/>
        <w:trPr>
          <w:trHeight w:val="415" w:hRule="atLeast"/>
        </w:trPr>
        <w:tc>
          <w:tcPr>
            <w:tcW w:w="1897" w:type="dxa"/>
            <w:tcBorders/>
          </w:tcPr>
          <w:p>
            <w:pPr>
              <w:pStyle w:val="style157"/>
              <w:rPr>
                <w:rFonts w:ascii="Times New Roman" w:cs="Times New Roman" w:hAnsi="Times New Roman"/>
                <w:sz w:val="24"/>
                <w:szCs w:val="24"/>
              </w:rPr>
            </w:pPr>
            <w:r>
              <w:rPr>
                <w:rFonts w:ascii="Times New Roman" w:cs="Times New Roman" w:hAnsi="Times New Roman"/>
                <w:sz w:val="24"/>
                <w:szCs w:val="24"/>
              </w:rPr>
              <w:t>Intial-158nm</w:t>
            </w:r>
          </w:p>
        </w:tc>
        <w:tc>
          <w:tcPr>
            <w:tcW w:w="1897" w:type="dxa"/>
            <w:tcBorders/>
          </w:tcPr>
          <w:p>
            <w:pPr>
              <w:pStyle w:val="style157"/>
              <w:rPr>
                <w:rFonts w:ascii="Times New Roman" w:cs="Times New Roman" w:hAnsi="Times New Roman"/>
                <w:sz w:val="24"/>
                <w:szCs w:val="24"/>
              </w:rPr>
            </w:pPr>
            <w:r>
              <w:rPr>
                <w:rFonts w:ascii="Times New Roman" w:cs="Times New Roman" w:hAnsi="Times New Roman"/>
                <w:sz w:val="24"/>
                <w:szCs w:val="24"/>
              </w:rPr>
              <w:t>Initial-0.3</w:t>
            </w:r>
          </w:p>
        </w:tc>
        <w:tc>
          <w:tcPr>
            <w:tcW w:w="2434" w:type="dxa"/>
            <w:tcBorders/>
          </w:tcPr>
          <w:p>
            <w:pPr>
              <w:pStyle w:val="style157"/>
              <w:rPr>
                <w:rFonts w:ascii="Times New Roman" w:cs="Times New Roman" w:hAnsi="Times New Roman"/>
                <w:sz w:val="24"/>
                <w:szCs w:val="24"/>
              </w:rPr>
            </w:pPr>
            <w:r>
              <w:rPr>
                <w:rFonts w:ascii="Times New Roman" w:cs="Times New Roman" w:hAnsi="Times New Roman"/>
                <w:sz w:val="24"/>
                <w:szCs w:val="24"/>
              </w:rPr>
              <w:t>Initial- - 13.5</w:t>
            </w:r>
          </w:p>
        </w:tc>
        <w:tc>
          <w:tcPr>
            <w:tcW w:w="2520" w:type="dxa"/>
            <w:tcBorders/>
          </w:tcPr>
          <w:p>
            <w:pPr>
              <w:pStyle w:val="style157"/>
              <w:rPr>
                <w:rFonts w:ascii="Times New Roman" w:cs="Times New Roman" w:hAnsi="Times New Roman"/>
                <w:sz w:val="24"/>
                <w:szCs w:val="24"/>
              </w:rPr>
            </w:pPr>
            <w:r>
              <w:rPr>
                <w:rFonts w:ascii="Times New Roman" w:cs="Times New Roman" w:hAnsi="Times New Roman"/>
                <w:sz w:val="24"/>
                <w:szCs w:val="24"/>
              </w:rPr>
              <w:t>Initial-87.7</w:t>
            </w:r>
          </w:p>
        </w:tc>
      </w:tr>
      <w:tr>
        <w:tblPrEx/>
        <w:trPr>
          <w:trHeight w:val="415" w:hRule="atLeast"/>
        </w:trPr>
        <w:tc>
          <w:tcPr>
            <w:tcW w:w="1897" w:type="dxa"/>
            <w:tcBorders/>
          </w:tcPr>
          <w:p>
            <w:pPr>
              <w:pStyle w:val="style157"/>
              <w:rPr>
                <w:rFonts w:ascii="Times New Roman" w:cs="Times New Roman" w:hAnsi="Times New Roman"/>
                <w:sz w:val="24"/>
                <w:szCs w:val="24"/>
              </w:rPr>
            </w:pPr>
            <w:r>
              <w:rPr>
                <w:rFonts w:ascii="Times New Roman" w:cs="Times New Roman" w:hAnsi="Times New Roman"/>
                <w:sz w:val="24"/>
                <w:szCs w:val="24"/>
              </w:rPr>
              <w:t>1 Month-165.8nm</w:t>
            </w:r>
          </w:p>
        </w:tc>
        <w:tc>
          <w:tcPr>
            <w:tcW w:w="1897" w:type="dxa"/>
            <w:tcBorders/>
          </w:tcPr>
          <w:p>
            <w:pPr>
              <w:pStyle w:val="style157"/>
              <w:rPr>
                <w:rFonts w:ascii="Times New Roman" w:cs="Times New Roman" w:hAnsi="Times New Roman"/>
                <w:sz w:val="24"/>
                <w:szCs w:val="24"/>
              </w:rPr>
            </w:pPr>
            <w:r>
              <w:rPr>
                <w:rFonts w:ascii="Times New Roman" w:cs="Times New Roman" w:hAnsi="Times New Roman"/>
                <w:sz w:val="24"/>
                <w:szCs w:val="24"/>
              </w:rPr>
              <w:t>1 Month-0.278</w:t>
            </w:r>
          </w:p>
        </w:tc>
        <w:tc>
          <w:tcPr>
            <w:tcW w:w="2434" w:type="dxa"/>
            <w:tcBorders/>
          </w:tcPr>
          <w:p>
            <w:pPr>
              <w:pStyle w:val="style157"/>
              <w:rPr>
                <w:rFonts w:ascii="Times New Roman" w:cs="Times New Roman" w:hAnsi="Times New Roman"/>
                <w:sz w:val="24"/>
                <w:szCs w:val="24"/>
              </w:rPr>
            </w:pPr>
            <w:r>
              <w:rPr>
                <w:rFonts w:ascii="Times New Roman" w:cs="Times New Roman" w:hAnsi="Times New Roman"/>
                <w:sz w:val="24"/>
                <w:szCs w:val="24"/>
              </w:rPr>
              <w:t>1 Month- -11.4</w:t>
            </w:r>
          </w:p>
        </w:tc>
        <w:tc>
          <w:tcPr>
            <w:tcW w:w="2520" w:type="dxa"/>
            <w:tcBorders/>
          </w:tcPr>
          <w:p>
            <w:pPr>
              <w:pStyle w:val="style157"/>
              <w:rPr>
                <w:rFonts w:ascii="Times New Roman" w:cs="Times New Roman" w:hAnsi="Times New Roman"/>
                <w:sz w:val="24"/>
                <w:szCs w:val="24"/>
              </w:rPr>
            </w:pPr>
            <w:r>
              <w:rPr>
                <w:rFonts w:ascii="Times New Roman" w:cs="Times New Roman" w:hAnsi="Times New Roman"/>
                <w:sz w:val="24"/>
                <w:szCs w:val="24"/>
              </w:rPr>
              <w:t>1 Month-85.6</w:t>
            </w:r>
          </w:p>
          <w:bookmarkEnd w:id="0"/>
        </w:tc>
      </w:tr>
    </w:tbl>
    <w:p>
      <w:pPr>
        <w:pStyle w:val="style0"/>
        <w:rPr>
          <w:rFonts w:ascii="Times New Roman" w:cs="Times New Roman" w:hAnsi="Times New Roman"/>
          <w:sz w:val="24"/>
          <w:szCs w:val="24"/>
        </w:rPr>
      </w:pPr>
      <w:r>
        <w:t xml:space="preserve">                                  </w:t>
      </w:r>
      <w:r>
        <w:rPr>
          <w:rFonts w:ascii="Times New Roman" w:cs="Times New Roman" w:hAnsi="Times New Roman"/>
          <w:sz w:val="24"/>
          <w:szCs w:val="24"/>
        </w:rPr>
        <w:t>Table No-5 Stability Study of selected batch</w:t>
      </w:r>
    </w:p>
    <w:p>
      <w:pPr>
        <w:pStyle w:val="style66"/>
        <w:spacing w:lineRule="auto" w:line="276"/>
        <w:ind w:right="730"/>
        <w:jc w:val="both"/>
        <w:rPr>
          <w:rFonts w:eastAsia="Calibri"/>
        </w:rPr>
      </w:pPr>
    </w:p>
    <w:p>
      <w:pPr>
        <w:pStyle w:val="style66"/>
        <w:spacing w:lineRule="auto" w:line="276"/>
        <w:ind w:right="730"/>
        <w:jc w:val="both"/>
        <w:rPr>
          <w:rFonts w:eastAsia="Calibri"/>
        </w:rPr>
      </w:pPr>
      <w:r>
        <w:rPr>
          <w:rFonts w:eastAsia="Calibri"/>
        </w:rPr>
        <w:t>Conclusion</w:t>
      </w:r>
    </w:p>
    <w:p>
      <w:pPr>
        <w:pStyle w:val="style66"/>
        <w:spacing w:lineRule="auto" w:line="276"/>
        <w:ind w:right="730"/>
        <w:jc w:val="both"/>
        <w:rPr>
          <w:rFonts w:eastAsia="Calibri"/>
        </w:rPr>
      </w:pPr>
      <w:r>
        <w:rPr>
          <w:rFonts w:eastAsia="Calibri"/>
        </w:rPr>
        <w:t xml:space="preserve">On this study, </w:t>
      </w:r>
      <w:r>
        <w:rPr>
          <w:rFonts w:eastAsia="Calibri"/>
        </w:rPr>
        <w:t>Noveon</w:t>
      </w:r>
      <w:r>
        <w:rPr>
          <w:rFonts w:eastAsia="Calibri"/>
        </w:rPr>
        <w:t xml:space="preserve"> AA1 </w:t>
      </w:r>
      <w:r>
        <w:rPr>
          <w:rFonts w:eastAsia="Calibri"/>
        </w:rPr>
        <w:t>Polycarbophil</w:t>
      </w:r>
      <w:r>
        <w:rPr>
          <w:rFonts w:eastAsia="Calibri"/>
        </w:rPr>
        <w:t xml:space="preserve"> lined </w:t>
      </w:r>
      <w:r>
        <w:rPr>
          <w:rFonts w:eastAsia="Calibri"/>
        </w:rPr>
        <w:t>mucoadhesive</w:t>
      </w:r>
      <w:r>
        <w:rPr>
          <w:rFonts w:eastAsia="Calibri"/>
        </w:rPr>
        <w:t xml:space="preserve"> </w:t>
      </w:r>
      <w:r>
        <w:rPr>
          <w:rFonts w:eastAsia="Calibri"/>
        </w:rPr>
        <w:t>niosomes</w:t>
      </w:r>
      <w:r>
        <w:rPr>
          <w:rFonts w:eastAsia="Calibri"/>
        </w:rPr>
        <w:t xml:space="preserve"> of </w:t>
      </w:r>
      <w:r>
        <w:rPr>
          <w:rFonts w:eastAsia="Calibri"/>
        </w:rPr>
        <w:t>Ropinirole</w:t>
      </w:r>
      <w:r>
        <w:rPr>
          <w:rFonts w:eastAsia="Calibri"/>
        </w:rPr>
        <w:t xml:space="preserve"> HCL have been evolved. The Formulated </w:t>
      </w:r>
      <w:r>
        <w:rPr>
          <w:rFonts w:eastAsia="Calibri"/>
        </w:rPr>
        <w:t>niosomes</w:t>
      </w:r>
      <w:r>
        <w:rPr>
          <w:rFonts w:eastAsia="Calibri"/>
        </w:rPr>
        <w:t xml:space="preserve"> confirmed small average sizes stages from 158 nm to 215 nm. With low PDI values (zero.3-zero.Four) Drug entrapment efficiencies were also e</w:t>
      </w:r>
      <w:r>
        <w:rPr>
          <w:rFonts w:eastAsia="Calibri"/>
        </w:rPr>
        <w:t>xcessive with values over 80% .</w:t>
      </w:r>
      <w:r>
        <w:rPr>
          <w:rFonts w:eastAsia="Calibri"/>
        </w:rPr>
        <w:t xml:space="preserve">1 month balance studies at distinctive temperature conditions showed suitable colloidal stability. The drug release profile of drug was improved in </w:t>
      </w:r>
      <w:r>
        <w:rPr>
          <w:rFonts w:eastAsia="Calibri"/>
        </w:rPr>
        <w:t>prescense</w:t>
      </w:r>
      <w:r>
        <w:rPr>
          <w:rFonts w:eastAsia="Calibri"/>
        </w:rPr>
        <w:t xml:space="preserve"> of </w:t>
      </w:r>
      <w:r>
        <w:rPr>
          <w:rFonts w:eastAsia="Calibri"/>
        </w:rPr>
        <w:t>Mucoadhesive</w:t>
      </w:r>
      <w:r>
        <w:rPr>
          <w:rFonts w:eastAsia="Calibri"/>
        </w:rPr>
        <w:t xml:space="preserve"> agent due to its effect. The components showed controlled drug release 6 hr time. Hence the formulated </w:t>
      </w:r>
      <w:r>
        <w:rPr>
          <w:rFonts w:eastAsia="Calibri"/>
        </w:rPr>
        <w:t>niosomal</w:t>
      </w:r>
      <w:r>
        <w:rPr>
          <w:rFonts w:eastAsia="Calibri"/>
        </w:rPr>
        <w:t xml:space="preserve"> formulation had been stable and small in length and having excessive entrapment and also </w:t>
      </w:r>
      <w:r>
        <w:rPr>
          <w:rFonts w:eastAsia="Calibri"/>
        </w:rPr>
        <w:t>mucin</w:t>
      </w:r>
      <w:r>
        <w:rPr>
          <w:rFonts w:eastAsia="Calibri"/>
        </w:rPr>
        <w:t xml:space="preserve"> binding performance as well as </w:t>
      </w:r>
      <w:r>
        <w:rPr>
          <w:rFonts w:eastAsia="Calibri"/>
        </w:rPr>
        <w:t>progressed</w:t>
      </w:r>
      <w:r>
        <w:rPr>
          <w:rFonts w:eastAsia="Calibri"/>
        </w:rPr>
        <w:t xml:space="preserve"> drug release profiles.</w:t>
      </w:r>
    </w:p>
    <w:p>
      <w:pPr>
        <w:pStyle w:val="style66"/>
        <w:spacing w:lineRule="auto" w:line="276"/>
        <w:ind w:right="730"/>
        <w:jc w:val="both"/>
        <w:rPr/>
      </w:pPr>
    </w:p>
    <w:p>
      <w:pPr>
        <w:pStyle w:val="style66"/>
        <w:spacing w:lineRule="auto" w:line="360"/>
        <w:ind w:right="730"/>
        <w:jc w:val="both"/>
        <w:rPr/>
      </w:pPr>
      <w:r>
        <w:t>References:</w:t>
      </w:r>
    </w:p>
    <w:p>
      <w:pPr>
        <w:pStyle w:val="style0"/>
        <w:jc w:val="both"/>
        <w:rPr>
          <w:rFonts w:ascii="Times New Roman" w:cs="Times New Roman" w:hAnsi="Times New Roman"/>
          <w:sz w:val="24"/>
          <w:szCs w:val="24"/>
        </w:rPr>
      </w:pPr>
      <w:r>
        <w:rPr>
          <w:rFonts w:ascii="Times New Roman" w:cs="Times New Roman" w:hAnsi="Times New Roman"/>
          <w:sz w:val="24"/>
          <w:szCs w:val="24"/>
        </w:rPr>
        <w:t xml:space="preserve">1. GBD 2016 neurology collaborators. Global, regional, and national burden of neurological disorders, 1990–2016: A systematic analysis for the global burden of disease study 2016. Lancet </w:t>
      </w:r>
      <w:r>
        <w:rPr>
          <w:rFonts w:ascii="Times New Roman" w:cs="Times New Roman" w:hAnsi="Times New Roman"/>
          <w:sz w:val="24"/>
          <w:szCs w:val="24"/>
        </w:rPr>
        <w:t>Neurol</w:t>
      </w:r>
      <w:r>
        <w:rPr>
          <w:rFonts w:ascii="Times New Roman" w:cs="Times New Roman" w:hAnsi="Times New Roman"/>
          <w:sz w:val="24"/>
          <w:szCs w:val="24"/>
        </w:rPr>
        <w:t xml:space="preserve"> 2019</w:t>
      </w:r>
      <w:r>
        <w:rPr>
          <w:rFonts w:ascii="Times New Roman" w:cs="Times New Roman" w:hAnsi="Times New Roman"/>
          <w:sz w:val="24"/>
          <w:szCs w:val="24"/>
        </w:rPr>
        <w:t>;18</w:t>
      </w:r>
      <w:r>
        <w:rPr>
          <w:rFonts w:ascii="Times New Roman" w:cs="Times New Roman" w:hAnsi="Times New Roman"/>
          <w:sz w:val="24"/>
          <w:szCs w:val="24"/>
        </w:rPr>
        <w:t>(5):459–480. [PMC free article] [</w:t>
      </w:r>
      <w:r>
        <w:rPr>
          <w:rFonts w:ascii="Times New Roman" w:cs="Times New Roman" w:hAnsi="Times New Roman"/>
          <w:sz w:val="24"/>
          <w:szCs w:val="24"/>
        </w:rPr>
        <w:t>PubMed</w:t>
      </w:r>
      <w:r>
        <w:rPr>
          <w:rFonts w:ascii="Times New Roman" w:cs="Times New Roman" w:hAnsi="Times New Roman"/>
          <w:sz w:val="24"/>
          <w:szCs w:val="24"/>
        </w:rPr>
        <w:t>] [Google Scholar]</w:t>
      </w:r>
    </w:p>
    <w:p>
      <w:pPr>
        <w:pStyle w:val="style0"/>
        <w:jc w:val="both"/>
        <w:rPr>
          <w:rFonts w:ascii="Times New Roman" w:cs="Times New Roman" w:hAnsi="Times New Roman"/>
          <w:sz w:val="24"/>
          <w:szCs w:val="24"/>
        </w:rPr>
      </w:pPr>
      <w:r>
        <w:rPr>
          <w:rFonts w:ascii="Times New Roman" w:cs="Times New Roman" w:hAnsi="Times New Roman"/>
          <w:sz w:val="24"/>
          <w:szCs w:val="24"/>
        </w:rPr>
        <w:t xml:space="preserve">2. Dong X Current strategies for brain drug delivery. </w:t>
      </w:r>
      <w:r>
        <w:rPr>
          <w:rFonts w:ascii="Times New Roman" w:cs="Times New Roman" w:hAnsi="Times New Roman"/>
          <w:sz w:val="24"/>
          <w:szCs w:val="24"/>
        </w:rPr>
        <w:t>Theranostics</w:t>
      </w:r>
      <w:r>
        <w:rPr>
          <w:rFonts w:ascii="Times New Roman" w:cs="Times New Roman" w:hAnsi="Times New Roman"/>
          <w:sz w:val="24"/>
          <w:szCs w:val="24"/>
        </w:rPr>
        <w:t>.</w:t>
      </w:r>
      <w:r>
        <w:rPr>
          <w:rFonts w:ascii="Times New Roman" w:cs="Times New Roman" w:hAnsi="Times New Roman"/>
          <w:sz w:val="24"/>
          <w:szCs w:val="24"/>
        </w:rPr>
        <w:t xml:space="preserve"> 2018</w:t>
      </w:r>
      <w:r>
        <w:rPr>
          <w:rFonts w:ascii="Times New Roman" w:cs="Times New Roman" w:hAnsi="Times New Roman"/>
          <w:sz w:val="24"/>
          <w:szCs w:val="24"/>
        </w:rPr>
        <w:t>;8</w:t>
      </w:r>
      <w:r>
        <w:rPr>
          <w:rFonts w:ascii="Times New Roman" w:cs="Times New Roman" w:hAnsi="Times New Roman"/>
          <w:sz w:val="24"/>
          <w:szCs w:val="24"/>
        </w:rPr>
        <w:t>(6):1481–1493. [PMC free article] [</w:t>
      </w:r>
      <w:r>
        <w:rPr>
          <w:rFonts w:ascii="Times New Roman" w:cs="Times New Roman" w:hAnsi="Times New Roman"/>
          <w:sz w:val="24"/>
          <w:szCs w:val="24"/>
        </w:rPr>
        <w:t>PubMed</w:t>
      </w:r>
      <w:r>
        <w:rPr>
          <w:rFonts w:ascii="Times New Roman" w:cs="Times New Roman" w:hAnsi="Times New Roman"/>
          <w:sz w:val="24"/>
          <w:szCs w:val="24"/>
        </w:rPr>
        <w:t>] [Google Scholar]</w:t>
      </w:r>
    </w:p>
    <w:p>
      <w:pPr>
        <w:pStyle w:val="style0"/>
        <w:jc w:val="both"/>
        <w:rPr>
          <w:rFonts w:ascii="Times New Roman" w:cs="Times New Roman" w:hAnsi="Times New Roman"/>
          <w:sz w:val="24"/>
          <w:szCs w:val="24"/>
        </w:rPr>
      </w:pPr>
      <w:r>
        <w:rPr>
          <w:rFonts w:ascii="Times New Roman" w:cs="Times New Roman" w:hAnsi="Times New Roman"/>
          <w:sz w:val="24"/>
          <w:szCs w:val="24"/>
        </w:rPr>
        <w:t xml:space="preserve">3. </w:t>
      </w:r>
      <w:r>
        <w:rPr>
          <w:rFonts w:ascii="Times New Roman" w:cs="Times New Roman" w:hAnsi="Times New Roman"/>
          <w:sz w:val="24"/>
          <w:szCs w:val="24"/>
        </w:rPr>
        <w:t>Erdő</w:t>
      </w:r>
      <w:r>
        <w:rPr>
          <w:rFonts w:ascii="Times New Roman" w:cs="Times New Roman" w:hAnsi="Times New Roman"/>
          <w:sz w:val="24"/>
          <w:szCs w:val="24"/>
        </w:rPr>
        <w:t xml:space="preserve"> F, </w:t>
      </w:r>
      <w:r>
        <w:rPr>
          <w:rFonts w:ascii="Times New Roman" w:cs="Times New Roman" w:hAnsi="Times New Roman"/>
          <w:sz w:val="24"/>
          <w:szCs w:val="24"/>
        </w:rPr>
        <w:t>Bors</w:t>
      </w:r>
      <w:r>
        <w:rPr>
          <w:rFonts w:ascii="Times New Roman" w:cs="Times New Roman" w:hAnsi="Times New Roman"/>
          <w:sz w:val="24"/>
          <w:szCs w:val="24"/>
        </w:rPr>
        <w:t xml:space="preserve"> LA, </w:t>
      </w:r>
      <w:r>
        <w:rPr>
          <w:rFonts w:ascii="Times New Roman" w:cs="Times New Roman" w:hAnsi="Times New Roman"/>
          <w:sz w:val="24"/>
          <w:szCs w:val="24"/>
        </w:rPr>
        <w:t>Farkas</w:t>
      </w:r>
      <w:r>
        <w:rPr>
          <w:rFonts w:ascii="Times New Roman" w:cs="Times New Roman" w:hAnsi="Times New Roman"/>
          <w:sz w:val="24"/>
          <w:szCs w:val="24"/>
        </w:rPr>
        <w:t xml:space="preserve"> D, </w:t>
      </w:r>
      <w:r>
        <w:rPr>
          <w:rFonts w:ascii="Times New Roman" w:cs="Times New Roman" w:hAnsi="Times New Roman"/>
          <w:sz w:val="24"/>
          <w:szCs w:val="24"/>
        </w:rPr>
        <w:t>Bajza</w:t>
      </w:r>
      <w:r>
        <w:rPr>
          <w:rFonts w:ascii="Times New Roman" w:cs="Times New Roman" w:hAnsi="Times New Roman"/>
          <w:sz w:val="24"/>
          <w:szCs w:val="24"/>
        </w:rPr>
        <w:t xml:space="preserve"> Á, </w:t>
      </w:r>
      <w:r>
        <w:rPr>
          <w:rFonts w:ascii="Times New Roman" w:cs="Times New Roman" w:hAnsi="Times New Roman"/>
          <w:sz w:val="24"/>
          <w:szCs w:val="24"/>
        </w:rPr>
        <w:t>Gizurarson</w:t>
      </w:r>
      <w:r>
        <w:rPr>
          <w:rFonts w:ascii="Times New Roman" w:cs="Times New Roman" w:hAnsi="Times New Roman"/>
          <w:sz w:val="24"/>
          <w:szCs w:val="24"/>
        </w:rPr>
        <w:t xml:space="preserve"> S. Evaluation of intranasal delivery route of drug administration for brain targeting. Brain Res Bull. 2018</w:t>
      </w:r>
      <w:r>
        <w:rPr>
          <w:rFonts w:ascii="Times New Roman" w:cs="Times New Roman" w:hAnsi="Times New Roman"/>
          <w:sz w:val="24"/>
          <w:szCs w:val="24"/>
        </w:rPr>
        <w:t>;143:155</w:t>
      </w:r>
      <w:r>
        <w:rPr>
          <w:rFonts w:ascii="Times New Roman" w:cs="Times New Roman" w:hAnsi="Times New Roman"/>
          <w:sz w:val="24"/>
          <w:szCs w:val="24"/>
        </w:rPr>
        <w:t>–170. [</w:t>
      </w:r>
      <w:r>
        <w:rPr>
          <w:rFonts w:ascii="Times New Roman" w:cs="Times New Roman" w:hAnsi="Times New Roman"/>
          <w:sz w:val="24"/>
          <w:szCs w:val="24"/>
        </w:rPr>
        <w:t>PubMed</w:t>
      </w:r>
      <w:r>
        <w:rPr>
          <w:rFonts w:ascii="Times New Roman" w:cs="Times New Roman" w:hAnsi="Times New Roman"/>
          <w:sz w:val="24"/>
          <w:szCs w:val="24"/>
        </w:rPr>
        <w:t>] [Google Scholar]</w:t>
      </w:r>
    </w:p>
    <w:p>
      <w:pPr>
        <w:pStyle w:val="style0"/>
        <w:jc w:val="both"/>
        <w:rPr>
          <w:rFonts w:ascii="Times New Roman" w:cs="Times New Roman" w:hAnsi="Times New Roman"/>
          <w:sz w:val="24"/>
          <w:szCs w:val="24"/>
        </w:rPr>
      </w:pPr>
      <w:r>
        <w:rPr>
          <w:rFonts w:ascii="Times New Roman" w:cs="Times New Roman" w:hAnsi="Times New Roman"/>
          <w:sz w:val="24"/>
          <w:szCs w:val="24"/>
        </w:rPr>
        <w:t xml:space="preserve">4. Craft S, Baker LD, </w:t>
      </w:r>
      <w:r>
        <w:rPr>
          <w:rFonts w:ascii="Times New Roman" w:cs="Times New Roman" w:hAnsi="Times New Roman"/>
          <w:sz w:val="24"/>
          <w:szCs w:val="24"/>
        </w:rPr>
        <w:t>Montine</w:t>
      </w:r>
      <w:r>
        <w:rPr>
          <w:rFonts w:ascii="Times New Roman" w:cs="Times New Roman" w:hAnsi="Times New Roman"/>
          <w:sz w:val="24"/>
          <w:szCs w:val="24"/>
        </w:rPr>
        <w:t xml:space="preserve"> TJ, </w:t>
      </w:r>
      <w:r>
        <w:rPr>
          <w:rFonts w:ascii="Times New Roman" w:cs="Times New Roman" w:hAnsi="Times New Roman"/>
          <w:sz w:val="24"/>
          <w:szCs w:val="24"/>
        </w:rPr>
        <w:t>Minoshima</w:t>
      </w:r>
      <w:r>
        <w:rPr>
          <w:rFonts w:ascii="Times New Roman" w:cs="Times New Roman" w:hAnsi="Times New Roman"/>
          <w:sz w:val="24"/>
          <w:szCs w:val="24"/>
        </w:rPr>
        <w:t xml:space="preserve"> S, Watson GS, Claxton A, et al. Intranasal insulin therapy for </w:t>
      </w:r>
      <w:r>
        <w:rPr>
          <w:rFonts w:ascii="Times New Roman" w:cs="Times New Roman" w:hAnsi="Times New Roman"/>
          <w:sz w:val="24"/>
          <w:szCs w:val="24"/>
        </w:rPr>
        <w:t>alzheimer</w:t>
      </w:r>
      <w:r>
        <w:rPr>
          <w:rFonts w:ascii="Times New Roman" w:cs="Times New Roman" w:hAnsi="Times New Roman"/>
          <w:sz w:val="24"/>
          <w:szCs w:val="24"/>
        </w:rPr>
        <w:t xml:space="preserve"> disease and </w:t>
      </w:r>
      <w:r>
        <w:rPr>
          <w:rFonts w:ascii="Times New Roman" w:cs="Times New Roman" w:hAnsi="Times New Roman"/>
          <w:sz w:val="24"/>
          <w:szCs w:val="24"/>
        </w:rPr>
        <w:t>amnestic</w:t>
      </w:r>
      <w:r>
        <w:rPr>
          <w:rFonts w:ascii="Times New Roman" w:cs="Times New Roman" w:hAnsi="Times New Roman"/>
          <w:sz w:val="24"/>
          <w:szCs w:val="24"/>
        </w:rPr>
        <w:t xml:space="preserve"> mild cognitive impairment: A pilot clinical trial. </w:t>
      </w:r>
      <w:r>
        <w:rPr>
          <w:rFonts w:ascii="Times New Roman" w:cs="Times New Roman" w:hAnsi="Times New Roman"/>
          <w:sz w:val="24"/>
          <w:szCs w:val="24"/>
        </w:rPr>
        <w:t>AMA.</w:t>
      </w:r>
      <w:r>
        <w:rPr>
          <w:rFonts w:ascii="Times New Roman" w:cs="Times New Roman" w:hAnsi="Times New Roman"/>
          <w:sz w:val="24"/>
          <w:szCs w:val="24"/>
        </w:rPr>
        <w:t xml:space="preserve"> 2012; 69(1):29–38. [PMC free article] [</w:t>
      </w:r>
      <w:r>
        <w:rPr>
          <w:rFonts w:ascii="Times New Roman" w:cs="Times New Roman" w:hAnsi="Times New Roman"/>
          <w:sz w:val="24"/>
          <w:szCs w:val="24"/>
        </w:rPr>
        <w:t>PubMed</w:t>
      </w:r>
      <w:r>
        <w:rPr>
          <w:rFonts w:ascii="Times New Roman" w:cs="Times New Roman" w:hAnsi="Times New Roman"/>
          <w:sz w:val="24"/>
          <w:szCs w:val="24"/>
        </w:rPr>
        <w:t>] [Google Scholar]</w:t>
      </w:r>
    </w:p>
    <w:p>
      <w:pPr>
        <w:pStyle w:val="style0"/>
        <w:jc w:val="both"/>
        <w:rPr>
          <w:rFonts w:ascii="Times New Roman" w:cs="Times New Roman" w:hAnsi="Times New Roman"/>
          <w:sz w:val="24"/>
          <w:szCs w:val="24"/>
        </w:rPr>
      </w:pPr>
      <w:r>
        <w:rPr>
          <w:rFonts w:ascii="Times New Roman" w:cs="Times New Roman" w:hAnsi="Times New Roman"/>
          <w:sz w:val="24"/>
          <w:szCs w:val="24"/>
        </w:rPr>
        <w:t xml:space="preserve">5. </w:t>
      </w:r>
      <w:r>
        <w:rPr>
          <w:rFonts w:ascii="Times New Roman" w:cs="Times New Roman" w:hAnsi="Times New Roman"/>
          <w:sz w:val="24"/>
          <w:szCs w:val="24"/>
        </w:rPr>
        <w:t>Dhuria</w:t>
      </w:r>
      <w:r>
        <w:rPr>
          <w:rFonts w:ascii="Times New Roman" w:cs="Times New Roman" w:hAnsi="Times New Roman"/>
          <w:sz w:val="24"/>
          <w:szCs w:val="24"/>
        </w:rPr>
        <w:t xml:space="preserve"> SV, Hanson LR, Frey WH II.</w:t>
      </w:r>
      <w:r>
        <w:rPr>
          <w:rFonts w:ascii="Times New Roman" w:cs="Times New Roman" w:hAnsi="Times New Roman"/>
          <w:sz w:val="24"/>
          <w:szCs w:val="24"/>
        </w:rPr>
        <w:t xml:space="preserve"> Intranasal delivery to the central nervous system: mechanisms and experimental considerations. J </w:t>
      </w:r>
      <w:r>
        <w:rPr>
          <w:rFonts w:ascii="Times New Roman" w:cs="Times New Roman" w:hAnsi="Times New Roman"/>
          <w:sz w:val="24"/>
          <w:szCs w:val="24"/>
        </w:rPr>
        <w:t>Pharm</w:t>
      </w:r>
      <w:r>
        <w:rPr>
          <w:rFonts w:ascii="Times New Roman" w:cs="Times New Roman" w:hAnsi="Times New Roman"/>
          <w:sz w:val="24"/>
          <w:szCs w:val="24"/>
        </w:rPr>
        <w:t xml:space="preserve"> Sci. 2010</w:t>
      </w:r>
      <w:r>
        <w:rPr>
          <w:rFonts w:ascii="Times New Roman" w:cs="Times New Roman" w:hAnsi="Times New Roman"/>
          <w:sz w:val="24"/>
          <w:szCs w:val="24"/>
        </w:rPr>
        <w:t>;99</w:t>
      </w:r>
      <w:r>
        <w:rPr>
          <w:rFonts w:ascii="Times New Roman" w:cs="Times New Roman" w:hAnsi="Times New Roman"/>
          <w:sz w:val="24"/>
          <w:szCs w:val="24"/>
        </w:rPr>
        <w:t>(4):1654–1673. [</w:t>
      </w:r>
      <w:r>
        <w:rPr>
          <w:rFonts w:ascii="Times New Roman" w:cs="Times New Roman" w:hAnsi="Times New Roman"/>
          <w:sz w:val="24"/>
          <w:szCs w:val="24"/>
        </w:rPr>
        <w:t>PubMed</w:t>
      </w:r>
      <w:r>
        <w:rPr>
          <w:rFonts w:ascii="Times New Roman" w:cs="Times New Roman" w:hAnsi="Times New Roman"/>
          <w:sz w:val="24"/>
          <w:szCs w:val="24"/>
        </w:rPr>
        <w:t>] [Google Scholar]</w:t>
      </w:r>
    </w:p>
    <w:p>
      <w:pPr>
        <w:pStyle w:val="style0"/>
        <w:jc w:val="both"/>
        <w:rPr>
          <w:rFonts w:ascii="Times New Roman" w:cs="Times New Roman" w:hAnsi="Times New Roman"/>
          <w:sz w:val="24"/>
          <w:szCs w:val="24"/>
        </w:rPr>
      </w:pPr>
      <w:r>
        <w:rPr>
          <w:rFonts w:ascii="Times New Roman" w:cs="Times New Roman" w:hAnsi="Times New Roman"/>
          <w:sz w:val="24"/>
          <w:szCs w:val="24"/>
        </w:rPr>
        <w:t xml:space="preserve">6. </w:t>
      </w:r>
      <w:r>
        <w:rPr>
          <w:rFonts w:ascii="Times New Roman" w:cs="Times New Roman" w:hAnsi="Times New Roman"/>
          <w:sz w:val="24"/>
          <w:szCs w:val="24"/>
        </w:rPr>
        <w:t>Lioutas</w:t>
      </w:r>
      <w:r>
        <w:rPr>
          <w:rFonts w:ascii="Times New Roman" w:cs="Times New Roman" w:hAnsi="Times New Roman"/>
          <w:sz w:val="24"/>
          <w:szCs w:val="24"/>
        </w:rPr>
        <w:t xml:space="preserve"> VA, Alfaro-Martinez F, </w:t>
      </w:r>
      <w:r>
        <w:rPr>
          <w:rFonts w:ascii="Times New Roman" w:cs="Times New Roman" w:hAnsi="Times New Roman"/>
          <w:sz w:val="24"/>
          <w:szCs w:val="24"/>
        </w:rPr>
        <w:t>Bedoya</w:t>
      </w:r>
      <w:r>
        <w:rPr>
          <w:rFonts w:ascii="Times New Roman" w:cs="Times New Roman" w:hAnsi="Times New Roman"/>
          <w:sz w:val="24"/>
          <w:szCs w:val="24"/>
        </w:rPr>
        <w:t xml:space="preserve"> F, Chung CC, Pimentel DA, Novak V. Intranasal insulin and insulin-like growth factor 1 as </w:t>
      </w:r>
      <w:r>
        <w:rPr>
          <w:rFonts w:ascii="Times New Roman" w:cs="Times New Roman" w:hAnsi="Times New Roman"/>
          <w:sz w:val="24"/>
          <w:szCs w:val="24"/>
        </w:rPr>
        <w:t>neuroprotectants</w:t>
      </w:r>
      <w:r>
        <w:rPr>
          <w:rFonts w:ascii="Times New Roman" w:cs="Times New Roman" w:hAnsi="Times New Roman"/>
          <w:sz w:val="24"/>
          <w:szCs w:val="24"/>
        </w:rPr>
        <w:t xml:space="preserve"> in acute ischemic stroke. </w:t>
      </w:r>
      <w:r>
        <w:rPr>
          <w:rFonts w:ascii="Times New Roman" w:cs="Times New Roman" w:hAnsi="Times New Roman"/>
          <w:sz w:val="24"/>
          <w:szCs w:val="24"/>
        </w:rPr>
        <w:t>Transl</w:t>
      </w:r>
      <w:r>
        <w:rPr>
          <w:rFonts w:ascii="Times New Roman" w:cs="Times New Roman" w:hAnsi="Times New Roman"/>
          <w:sz w:val="24"/>
          <w:szCs w:val="24"/>
        </w:rPr>
        <w:t xml:space="preserve"> Stroke Res. 2015</w:t>
      </w:r>
      <w:r>
        <w:rPr>
          <w:rFonts w:ascii="Times New Roman" w:cs="Times New Roman" w:hAnsi="Times New Roman"/>
          <w:sz w:val="24"/>
          <w:szCs w:val="24"/>
        </w:rPr>
        <w:t>;6</w:t>
      </w:r>
      <w:r>
        <w:rPr>
          <w:rFonts w:ascii="Times New Roman" w:cs="Times New Roman" w:hAnsi="Times New Roman"/>
          <w:sz w:val="24"/>
          <w:szCs w:val="24"/>
        </w:rPr>
        <w:t>(4):264–275. [PMC free article] [</w:t>
      </w:r>
      <w:r>
        <w:rPr>
          <w:rFonts w:ascii="Times New Roman" w:cs="Times New Roman" w:hAnsi="Times New Roman"/>
          <w:sz w:val="24"/>
          <w:szCs w:val="24"/>
        </w:rPr>
        <w:t>PubMed</w:t>
      </w:r>
      <w:r>
        <w:rPr>
          <w:rFonts w:ascii="Times New Roman" w:cs="Times New Roman" w:hAnsi="Times New Roman"/>
          <w:sz w:val="24"/>
          <w:szCs w:val="24"/>
        </w:rPr>
        <w:t>] [Google Scholar]</w:t>
      </w:r>
    </w:p>
    <w:p>
      <w:pPr>
        <w:pStyle w:val="style0"/>
        <w:jc w:val="both"/>
        <w:rPr>
          <w:rFonts w:ascii="Times New Roman" w:cs="Times New Roman" w:hAnsi="Times New Roman"/>
          <w:sz w:val="24"/>
          <w:szCs w:val="24"/>
        </w:rPr>
      </w:pPr>
      <w:r>
        <w:rPr>
          <w:rFonts w:ascii="Times New Roman" w:cs="Times New Roman" w:hAnsi="Times New Roman"/>
          <w:sz w:val="24"/>
          <w:szCs w:val="24"/>
        </w:rPr>
        <w:t xml:space="preserve">12.E. </w:t>
      </w:r>
      <w:r>
        <w:rPr>
          <w:rFonts w:ascii="Times New Roman" w:cs="Times New Roman" w:hAnsi="Times New Roman"/>
          <w:sz w:val="24"/>
          <w:szCs w:val="24"/>
        </w:rPr>
        <w:t>Essa</w:t>
      </w:r>
      <w:r>
        <w:rPr>
          <w:rFonts w:ascii="Times New Roman" w:cs="Times New Roman" w:hAnsi="Times New Roman"/>
          <w:sz w:val="24"/>
          <w:szCs w:val="24"/>
        </w:rPr>
        <w:t xml:space="preserve"> Effect of formulation and processing variables on the particle size of </w:t>
      </w:r>
      <w:r>
        <w:rPr>
          <w:rFonts w:ascii="Times New Roman" w:cs="Times New Roman" w:hAnsi="Times New Roman"/>
          <w:sz w:val="24"/>
          <w:szCs w:val="24"/>
        </w:rPr>
        <w:t>sorbitan</w:t>
      </w:r>
      <w:r>
        <w:rPr>
          <w:rFonts w:ascii="Times New Roman" w:cs="Times New Roman" w:hAnsi="Times New Roman"/>
          <w:sz w:val="24"/>
          <w:szCs w:val="24"/>
        </w:rPr>
        <w:t xml:space="preserve"> </w:t>
      </w:r>
      <w:r>
        <w:rPr>
          <w:rFonts w:ascii="Times New Roman" w:cs="Times New Roman" w:hAnsi="Times New Roman"/>
          <w:sz w:val="24"/>
          <w:szCs w:val="24"/>
        </w:rPr>
        <w:t>mono</w:t>
      </w:r>
      <w:r>
        <w:rPr>
          <w:rFonts w:ascii="Times New Roman" w:cs="Times New Roman" w:hAnsi="Times New Roman"/>
          <w:sz w:val="24"/>
          <w:szCs w:val="24"/>
        </w:rPr>
        <w:t xml:space="preserve"> </w:t>
      </w:r>
      <w:r>
        <w:rPr>
          <w:rFonts w:ascii="Times New Roman" w:cs="Times New Roman" w:hAnsi="Times New Roman"/>
          <w:sz w:val="24"/>
          <w:szCs w:val="24"/>
        </w:rPr>
        <w:t>palmitate</w:t>
      </w:r>
      <w:r>
        <w:rPr>
          <w:rFonts w:ascii="Times New Roman" w:cs="Times New Roman" w:hAnsi="Times New Roman"/>
          <w:sz w:val="24"/>
          <w:szCs w:val="24"/>
        </w:rPr>
        <w:t xml:space="preserve"> </w:t>
      </w:r>
      <w:r>
        <w:rPr>
          <w:rFonts w:ascii="Times New Roman" w:cs="Times New Roman" w:hAnsi="Times New Roman"/>
          <w:sz w:val="24"/>
          <w:szCs w:val="24"/>
        </w:rPr>
        <w:t>niosomes</w:t>
      </w:r>
      <w:r>
        <w:rPr>
          <w:rFonts w:ascii="Times New Roman" w:cs="Times New Roman" w:hAnsi="Times New Roman"/>
          <w:sz w:val="24"/>
          <w:szCs w:val="24"/>
        </w:rPr>
        <w:t xml:space="preserve"> </w:t>
      </w:r>
      <w:r>
        <w:rPr>
          <w:rFonts w:ascii="Times New Roman" w:cs="Times New Roman" w:hAnsi="Times New Roman"/>
          <w:sz w:val="24"/>
          <w:szCs w:val="24"/>
        </w:rPr>
        <w:t>Asian J. Pharm., 4 (2010), p. 227, 10.4103/0973-8398.76752</w:t>
      </w:r>
    </w:p>
    <w:p>
      <w:pPr>
        <w:pStyle w:val="style0"/>
        <w:jc w:val="both"/>
        <w:rPr>
          <w:rFonts w:ascii="Times New Roman" w:cs="Times New Roman" w:hAnsi="Times New Roman"/>
          <w:sz w:val="24"/>
          <w:szCs w:val="24"/>
        </w:rPr>
      </w:pPr>
      <w:r>
        <w:rPr>
          <w:rFonts w:ascii="Times New Roman" w:cs="Times New Roman" w:hAnsi="Times New Roman"/>
          <w:sz w:val="24"/>
          <w:szCs w:val="24"/>
        </w:rPr>
        <w:t>13</w:t>
      </w:r>
      <w:r>
        <w:rPr>
          <w:rFonts w:ascii="Times New Roman" w:cs="Times New Roman" w:hAnsi="Times New Roman"/>
          <w:sz w:val="24"/>
          <w:szCs w:val="24"/>
        </w:rPr>
        <w:t>.G.P</w:t>
      </w:r>
      <w:r>
        <w:rPr>
          <w:rFonts w:ascii="Times New Roman" w:cs="Times New Roman" w:hAnsi="Times New Roman"/>
          <w:sz w:val="24"/>
          <w:szCs w:val="24"/>
        </w:rPr>
        <w:t xml:space="preserve">. Kumar, P </w:t>
      </w:r>
      <w:r>
        <w:rPr>
          <w:rFonts w:ascii="Times New Roman" w:cs="Times New Roman" w:hAnsi="Times New Roman"/>
          <w:sz w:val="24"/>
          <w:szCs w:val="24"/>
        </w:rPr>
        <w:t>Rajeshwar</w:t>
      </w:r>
      <w:r>
        <w:rPr>
          <w:rFonts w:ascii="Times New Roman" w:cs="Times New Roman" w:hAnsi="Times New Roman"/>
          <w:sz w:val="24"/>
          <w:szCs w:val="24"/>
        </w:rPr>
        <w:t xml:space="preserve"> </w:t>
      </w:r>
      <w:r>
        <w:rPr>
          <w:rFonts w:ascii="Times New Roman" w:cs="Times New Roman" w:hAnsi="Times New Roman"/>
          <w:sz w:val="24"/>
          <w:szCs w:val="24"/>
        </w:rPr>
        <w:t>rao</w:t>
      </w:r>
      <w:r>
        <w:rPr>
          <w:rFonts w:ascii="Times New Roman" w:cs="Times New Roman" w:hAnsi="Times New Roman"/>
          <w:sz w:val="24"/>
          <w:szCs w:val="24"/>
        </w:rPr>
        <w:t xml:space="preserve"> </w:t>
      </w:r>
      <w:r>
        <w:rPr>
          <w:rFonts w:ascii="Times New Roman" w:cs="Times New Roman" w:hAnsi="Times New Roman"/>
          <w:sz w:val="24"/>
          <w:szCs w:val="24"/>
        </w:rPr>
        <w:t>Nonionic surfactant vesicular systems for effective drug delivery—an overview</w:t>
      </w:r>
      <w:r>
        <w:rPr>
          <w:rFonts w:ascii="Times New Roman" w:cs="Times New Roman" w:hAnsi="Times New Roman"/>
          <w:sz w:val="24"/>
          <w:szCs w:val="24"/>
        </w:rPr>
        <w:t xml:space="preserve"> </w:t>
      </w:r>
      <w:r>
        <w:rPr>
          <w:rFonts w:ascii="Times New Roman" w:cs="Times New Roman" w:hAnsi="Times New Roman"/>
          <w:sz w:val="24"/>
          <w:szCs w:val="24"/>
        </w:rPr>
        <w:t>Acta</w:t>
      </w:r>
      <w:r>
        <w:rPr>
          <w:rFonts w:ascii="Times New Roman" w:cs="Times New Roman" w:hAnsi="Times New Roman"/>
          <w:sz w:val="24"/>
          <w:szCs w:val="24"/>
        </w:rPr>
        <w:t xml:space="preserve"> Pharm. Sin. B., 1 (2011), pp. 208-219, 10.1016/j.apsb.2011.09.002</w:t>
      </w:r>
    </w:p>
    <w:p>
      <w:pPr>
        <w:pStyle w:val="style0"/>
        <w:jc w:val="both"/>
        <w:rPr>
          <w:rFonts w:ascii="Times New Roman" w:cs="Times New Roman" w:hAnsi="Times New Roman"/>
          <w:sz w:val="24"/>
          <w:szCs w:val="24"/>
        </w:rPr>
      </w:pPr>
      <w:r>
        <w:rPr>
          <w:rFonts w:ascii="Times New Roman" w:cs="Times New Roman" w:hAnsi="Times New Roman"/>
          <w:sz w:val="24"/>
          <w:szCs w:val="24"/>
        </w:rPr>
        <w:t>14</w:t>
      </w:r>
      <w:r>
        <w:rPr>
          <w:rFonts w:ascii="Times New Roman" w:cs="Times New Roman" w:hAnsi="Times New Roman"/>
          <w:sz w:val="24"/>
          <w:szCs w:val="24"/>
        </w:rPr>
        <w:t>.I.F</w:t>
      </w:r>
      <w:r>
        <w:rPr>
          <w:rFonts w:ascii="Times New Roman" w:cs="Times New Roman" w:hAnsi="Times New Roman"/>
          <w:sz w:val="24"/>
          <w:szCs w:val="24"/>
        </w:rPr>
        <w:t xml:space="preserve">. </w:t>
      </w:r>
      <w:r>
        <w:rPr>
          <w:rFonts w:ascii="Times New Roman" w:cs="Times New Roman" w:hAnsi="Times New Roman"/>
          <w:sz w:val="24"/>
          <w:szCs w:val="24"/>
        </w:rPr>
        <w:t>Uchegbu</w:t>
      </w:r>
      <w:r>
        <w:rPr>
          <w:rFonts w:ascii="Times New Roman" w:cs="Times New Roman" w:hAnsi="Times New Roman"/>
          <w:sz w:val="24"/>
          <w:szCs w:val="24"/>
        </w:rPr>
        <w:t xml:space="preserve">, S.P. </w:t>
      </w:r>
      <w:r>
        <w:rPr>
          <w:rFonts w:ascii="Times New Roman" w:cs="Times New Roman" w:hAnsi="Times New Roman"/>
          <w:sz w:val="24"/>
          <w:szCs w:val="24"/>
        </w:rPr>
        <w:t>Vyas</w:t>
      </w:r>
      <w:r>
        <w:rPr>
          <w:rFonts w:ascii="Times New Roman" w:cs="Times New Roman" w:hAnsi="Times New Roman"/>
          <w:sz w:val="24"/>
          <w:szCs w:val="24"/>
        </w:rPr>
        <w:t xml:space="preserve"> Non-ionic surfactant based vesicles (</w:t>
      </w:r>
      <w:r>
        <w:rPr>
          <w:rFonts w:ascii="Times New Roman" w:cs="Times New Roman" w:hAnsi="Times New Roman"/>
          <w:sz w:val="24"/>
          <w:szCs w:val="24"/>
        </w:rPr>
        <w:t>niosomes</w:t>
      </w:r>
      <w:r>
        <w:rPr>
          <w:rFonts w:ascii="Times New Roman" w:cs="Times New Roman" w:hAnsi="Times New Roman"/>
          <w:sz w:val="24"/>
          <w:szCs w:val="24"/>
        </w:rPr>
        <w:t>) in drug delivery Int. J. Pharm., 172 (1998), pp. 33-70, 10.1016/S0378-5173(98)00169-0</w:t>
      </w:r>
    </w:p>
    <w:p>
      <w:pPr>
        <w:pStyle w:val="style0"/>
        <w:jc w:val="both"/>
        <w:rPr>
          <w:rFonts w:ascii="Times New Roman" w:cs="Times New Roman" w:hAnsi="Times New Roman"/>
          <w:sz w:val="24"/>
          <w:szCs w:val="24"/>
        </w:rPr>
      </w:pPr>
      <w:r>
        <w:rPr>
          <w:rFonts w:ascii="Times New Roman" w:cs="Times New Roman" w:hAnsi="Times New Roman"/>
          <w:sz w:val="24"/>
          <w:szCs w:val="24"/>
        </w:rPr>
        <w:t xml:space="preserve">15.Z. </w:t>
      </w:r>
      <w:r>
        <w:rPr>
          <w:rFonts w:ascii="Times New Roman" w:cs="Times New Roman" w:hAnsi="Times New Roman"/>
          <w:sz w:val="24"/>
          <w:szCs w:val="24"/>
        </w:rPr>
        <w:t>SadeghiGhadi</w:t>
      </w:r>
      <w:r>
        <w:rPr>
          <w:rFonts w:ascii="Times New Roman" w:cs="Times New Roman" w:hAnsi="Times New Roman"/>
          <w:sz w:val="24"/>
          <w:szCs w:val="24"/>
        </w:rPr>
        <w:t xml:space="preserve">, R. </w:t>
      </w:r>
      <w:r>
        <w:rPr>
          <w:rFonts w:ascii="Times New Roman" w:cs="Times New Roman" w:hAnsi="Times New Roman"/>
          <w:sz w:val="24"/>
          <w:szCs w:val="24"/>
        </w:rPr>
        <w:t>Dinarvand</w:t>
      </w:r>
      <w:r>
        <w:rPr>
          <w:rFonts w:ascii="Times New Roman" w:cs="Times New Roman" w:hAnsi="Times New Roman"/>
          <w:sz w:val="24"/>
          <w:szCs w:val="24"/>
        </w:rPr>
        <w:t xml:space="preserve">, N. </w:t>
      </w:r>
      <w:r>
        <w:rPr>
          <w:rFonts w:ascii="Times New Roman" w:cs="Times New Roman" w:hAnsi="Times New Roman"/>
          <w:sz w:val="24"/>
          <w:szCs w:val="24"/>
        </w:rPr>
        <w:t>Asemi</w:t>
      </w:r>
      <w:r>
        <w:rPr>
          <w:rFonts w:ascii="Times New Roman" w:cs="Times New Roman" w:hAnsi="Times New Roman"/>
          <w:sz w:val="24"/>
          <w:szCs w:val="24"/>
        </w:rPr>
        <w:t xml:space="preserve">, F. </w:t>
      </w:r>
      <w:r>
        <w:rPr>
          <w:rFonts w:ascii="Times New Roman" w:cs="Times New Roman" w:hAnsi="Times New Roman"/>
          <w:sz w:val="24"/>
          <w:szCs w:val="24"/>
        </w:rPr>
        <w:t>TalebpourAmiri</w:t>
      </w:r>
      <w:r>
        <w:rPr>
          <w:rFonts w:ascii="Times New Roman" w:cs="Times New Roman" w:hAnsi="Times New Roman"/>
          <w:sz w:val="24"/>
          <w:szCs w:val="24"/>
        </w:rPr>
        <w:t xml:space="preserve">, P. </w:t>
      </w:r>
      <w:r>
        <w:rPr>
          <w:rFonts w:ascii="Times New Roman" w:cs="Times New Roman" w:hAnsi="Times New Roman"/>
          <w:sz w:val="24"/>
          <w:szCs w:val="24"/>
        </w:rPr>
        <w:t>EbrahimnejadPreparation</w:t>
      </w:r>
      <w:r>
        <w:rPr>
          <w:rFonts w:ascii="Times New Roman" w:cs="Times New Roman" w:hAnsi="Times New Roman"/>
          <w:sz w:val="24"/>
          <w:szCs w:val="24"/>
        </w:rPr>
        <w:t xml:space="preserve">, characterization and in vivo evaluation of novel </w:t>
      </w:r>
      <w:r>
        <w:rPr>
          <w:rFonts w:ascii="Times New Roman" w:cs="Times New Roman" w:hAnsi="Times New Roman"/>
          <w:sz w:val="24"/>
          <w:szCs w:val="24"/>
        </w:rPr>
        <w:t>hyaluronan</w:t>
      </w:r>
      <w:r>
        <w:rPr>
          <w:rFonts w:ascii="Times New Roman" w:cs="Times New Roman" w:hAnsi="Times New Roman"/>
          <w:sz w:val="24"/>
          <w:szCs w:val="24"/>
        </w:rPr>
        <w:t xml:space="preserve"> containing </w:t>
      </w:r>
      <w:r>
        <w:rPr>
          <w:rFonts w:ascii="Times New Roman" w:cs="Times New Roman" w:hAnsi="Times New Roman"/>
          <w:sz w:val="24"/>
          <w:szCs w:val="24"/>
        </w:rPr>
        <w:t>niosomes</w:t>
      </w:r>
      <w:r>
        <w:rPr>
          <w:rFonts w:ascii="Times New Roman" w:cs="Times New Roman" w:hAnsi="Times New Roman"/>
          <w:sz w:val="24"/>
          <w:szCs w:val="24"/>
        </w:rPr>
        <w:t xml:space="preserve"> tailored by Box-</w:t>
      </w:r>
      <w:r>
        <w:rPr>
          <w:rFonts w:ascii="Times New Roman" w:cs="Times New Roman" w:hAnsi="Times New Roman"/>
          <w:sz w:val="24"/>
          <w:szCs w:val="24"/>
        </w:rPr>
        <w:t>Behnken</w:t>
      </w:r>
      <w:r>
        <w:rPr>
          <w:rFonts w:ascii="Times New Roman" w:cs="Times New Roman" w:hAnsi="Times New Roman"/>
          <w:sz w:val="24"/>
          <w:szCs w:val="24"/>
        </w:rPr>
        <w:t xml:space="preserve"> design to co-encapsulate </w:t>
      </w:r>
      <w:r>
        <w:rPr>
          <w:rFonts w:ascii="Times New Roman" w:cs="Times New Roman" w:hAnsi="Times New Roman"/>
          <w:sz w:val="24"/>
          <w:szCs w:val="24"/>
        </w:rPr>
        <w:t>curcumin</w:t>
      </w:r>
      <w:r>
        <w:rPr>
          <w:rFonts w:ascii="Times New Roman" w:cs="Times New Roman" w:hAnsi="Times New Roman"/>
          <w:sz w:val="24"/>
          <w:szCs w:val="24"/>
        </w:rPr>
        <w:t xml:space="preserve"> and </w:t>
      </w:r>
      <w:r>
        <w:rPr>
          <w:rFonts w:ascii="Times New Roman" w:cs="Times New Roman" w:hAnsi="Times New Roman"/>
          <w:sz w:val="24"/>
          <w:szCs w:val="24"/>
        </w:rPr>
        <w:t>quercetin</w:t>
      </w:r>
      <w:r>
        <w:rPr>
          <w:rFonts w:ascii="Times New Roman" w:cs="Times New Roman" w:hAnsi="Times New Roman"/>
          <w:sz w:val="24"/>
          <w:szCs w:val="24"/>
        </w:rPr>
        <w:t xml:space="preserve"> Eur. J. </w:t>
      </w:r>
      <w:r>
        <w:rPr>
          <w:rFonts w:ascii="Times New Roman" w:cs="Times New Roman" w:hAnsi="Times New Roman"/>
          <w:sz w:val="24"/>
          <w:szCs w:val="24"/>
        </w:rPr>
        <w:t>Pharmaceut</w:t>
      </w:r>
      <w:r>
        <w:rPr>
          <w:rFonts w:ascii="Times New Roman" w:cs="Times New Roman" w:hAnsi="Times New Roman"/>
          <w:sz w:val="24"/>
          <w:szCs w:val="24"/>
        </w:rPr>
        <w:t>. Sci., 130 (2019), pp. 234-246, 10.1016/j.ejps.2019.01.035</w:t>
      </w:r>
    </w:p>
    <w:p>
      <w:pPr>
        <w:pStyle w:val="style0"/>
        <w:jc w:val="both"/>
        <w:rPr>
          <w:rFonts w:ascii="Times New Roman" w:cs="Times New Roman" w:hAnsi="Times New Roman"/>
          <w:sz w:val="24"/>
          <w:szCs w:val="24"/>
        </w:rPr>
      </w:pPr>
      <w:r>
        <w:rPr>
          <w:rFonts w:ascii="Times New Roman" w:cs="Times New Roman" w:hAnsi="Times New Roman"/>
          <w:sz w:val="24"/>
          <w:szCs w:val="24"/>
        </w:rPr>
        <w:t>16</w:t>
      </w:r>
      <w:r>
        <w:rPr>
          <w:rFonts w:ascii="Times New Roman" w:cs="Times New Roman" w:hAnsi="Times New Roman"/>
          <w:sz w:val="24"/>
          <w:szCs w:val="24"/>
        </w:rPr>
        <w:t>.M.I</w:t>
      </w:r>
      <w:r>
        <w:rPr>
          <w:rFonts w:ascii="Times New Roman" w:cs="Times New Roman" w:hAnsi="Times New Roman"/>
          <w:sz w:val="24"/>
          <w:szCs w:val="24"/>
        </w:rPr>
        <w:t xml:space="preserve">. Khan, A. </w:t>
      </w:r>
      <w:r>
        <w:rPr>
          <w:rFonts w:ascii="Times New Roman" w:cs="Times New Roman" w:hAnsi="Times New Roman"/>
          <w:sz w:val="24"/>
          <w:szCs w:val="24"/>
        </w:rPr>
        <w:t>Madni</w:t>
      </w:r>
      <w:r>
        <w:rPr>
          <w:rFonts w:ascii="Times New Roman" w:cs="Times New Roman" w:hAnsi="Times New Roman"/>
          <w:sz w:val="24"/>
          <w:szCs w:val="24"/>
        </w:rPr>
        <w:t xml:space="preserve">, L. </w:t>
      </w:r>
      <w:r>
        <w:rPr>
          <w:rFonts w:ascii="Times New Roman" w:cs="Times New Roman" w:hAnsi="Times New Roman"/>
          <w:sz w:val="24"/>
          <w:szCs w:val="24"/>
        </w:rPr>
        <w:t>PeltonenDevelopment</w:t>
      </w:r>
      <w:r>
        <w:rPr>
          <w:rFonts w:ascii="Times New Roman" w:cs="Times New Roman" w:hAnsi="Times New Roman"/>
          <w:sz w:val="24"/>
          <w:szCs w:val="24"/>
        </w:rPr>
        <w:t xml:space="preserve"> and in-vitro characterization of </w:t>
      </w:r>
      <w:r>
        <w:rPr>
          <w:rFonts w:ascii="Times New Roman" w:cs="Times New Roman" w:hAnsi="Times New Roman"/>
          <w:sz w:val="24"/>
          <w:szCs w:val="24"/>
        </w:rPr>
        <w:t>sorbitanmonolaurate</w:t>
      </w:r>
      <w:r>
        <w:rPr>
          <w:rFonts w:ascii="Times New Roman" w:cs="Times New Roman" w:hAnsi="Times New Roman"/>
          <w:sz w:val="24"/>
          <w:szCs w:val="24"/>
        </w:rPr>
        <w:t xml:space="preserve"> and </w:t>
      </w:r>
      <w:r>
        <w:rPr>
          <w:rFonts w:ascii="Times New Roman" w:cs="Times New Roman" w:hAnsi="Times New Roman"/>
          <w:sz w:val="24"/>
          <w:szCs w:val="24"/>
        </w:rPr>
        <w:t>poloxamer</w:t>
      </w:r>
      <w:r>
        <w:rPr>
          <w:rFonts w:ascii="Times New Roman" w:cs="Times New Roman" w:hAnsi="Times New Roman"/>
          <w:sz w:val="24"/>
          <w:szCs w:val="24"/>
        </w:rPr>
        <w:t xml:space="preserve"> 184 based </w:t>
      </w:r>
      <w:r>
        <w:rPr>
          <w:rFonts w:ascii="Times New Roman" w:cs="Times New Roman" w:hAnsi="Times New Roman"/>
          <w:sz w:val="24"/>
          <w:szCs w:val="24"/>
        </w:rPr>
        <w:t>niosomes</w:t>
      </w:r>
      <w:r>
        <w:rPr>
          <w:rFonts w:ascii="Times New Roman" w:cs="Times New Roman" w:hAnsi="Times New Roman"/>
          <w:sz w:val="24"/>
          <w:szCs w:val="24"/>
        </w:rPr>
        <w:t xml:space="preserve"> for oral delivery of </w:t>
      </w:r>
      <w:r>
        <w:rPr>
          <w:rFonts w:ascii="Times New Roman" w:cs="Times New Roman" w:hAnsi="Times New Roman"/>
          <w:sz w:val="24"/>
          <w:szCs w:val="24"/>
        </w:rPr>
        <w:t>diacereinEur</w:t>
      </w:r>
      <w:r>
        <w:rPr>
          <w:rFonts w:ascii="Times New Roman" w:cs="Times New Roman" w:hAnsi="Times New Roman"/>
          <w:sz w:val="24"/>
          <w:szCs w:val="24"/>
        </w:rPr>
        <w:t xml:space="preserve">. J. </w:t>
      </w:r>
      <w:r>
        <w:rPr>
          <w:rFonts w:ascii="Times New Roman" w:cs="Times New Roman" w:hAnsi="Times New Roman"/>
          <w:sz w:val="24"/>
          <w:szCs w:val="24"/>
        </w:rPr>
        <w:t>Pharmaceut</w:t>
      </w:r>
      <w:r>
        <w:rPr>
          <w:rFonts w:ascii="Times New Roman" w:cs="Times New Roman" w:hAnsi="Times New Roman"/>
          <w:sz w:val="24"/>
          <w:szCs w:val="24"/>
        </w:rPr>
        <w:t>. Sci., 95 (2016), pp. 88-95, 10.1016/j.ejps.2016.09.002</w:t>
      </w:r>
    </w:p>
    <w:p>
      <w:pPr>
        <w:pStyle w:val="style0"/>
        <w:jc w:val="both"/>
        <w:rPr>
          <w:rFonts w:ascii="Times New Roman" w:cs="Times New Roman" w:hAnsi="Times New Roman"/>
          <w:sz w:val="24"/>
          <w:szCs w:val="24"/>
        </w:rPr>
      </w:pPr>
      <w:r>
        <w:rPr>
          <w:rFonts w:ascii="Times New Roman" w:cs="Times New Roman" w:hAnsi="Times New Roman"/>
          <w:sz w:val="24"/>
          <w:szCs w:val="24"/>
        </w:rPr>
        <w:t>17</w:t>
      </w:r>
      <w:r>
        <w:rPr>
          <w:rFonts w:ascii="Times New Roman" w:cs="Times New Roman" w:hAnsi="Times New Roman"/>
          <w:sz w:val="24"/>
          <w:szCs w:val="24"/>
        </w:rPr>
        <w:t>.I</w:t>
      </w:r>
      <w:r>
        <w:rPr>
          <w:rFonts w:ascii="Times New Roman" w:cs="Times New Roman" w:hAnsi="Times New Roman"/>
          <w:sz w:val="24"/>
          <w:szCs w:val="24"/>
        </w:rPr>
        <w:t xml:space="preserve">. </w:t>
      </w:r>
      <w:r>
        <w:rPr>
          <w:rFonts w:ascii="Times New Roman" w:cs="Times New Roman" w:hAnsi="Times New Roman"/>
          <w:sz w:val="24"/>
          <w:szCs w:val="24"/>
        </w:rPr>
        <w:t>Escudero</w:t>
      </w:r>
      <w:r>
        <w:rPr>
          <w:rFonts w:ascii="Times New Roman" w:cs="Times New Roman" w:hAnsi="Times New Roman"/>
          <w:sz w:val="24"/>
          <w:szCs w:val="24"/>
        </w:rPr>
        <w:t xml:space="preserve">, </w:t>
      </w:r>
      <w:r>
        <w:rPr>
          <w:rFonts w:ascii="Times New Roman" w:cs="Times New Roman" w:hAnsi="Times New Roman"/>
          <w:sz w:val="24"/>
          <w:szCs w:val="24"/>
        </w:rPr>
        <w:t>R.M.Geanta</w:t>
      </w:r>
      <w:r>
        <w:rPr>
          <w:rFonts w:ascii="Times New Roman" w:cs="Times New Roman" w:hAnsi="Times New Roman"/>
          <w:sz w:val="24"/>
          <w:szCs w:val="24"/>
        </w:rPr>
        <w:t xml:space="preserve">, M.O. Ruiz, J.M. Benito Formulation and characterization of </w:t>
      </w:r>
      <w:r>
        <w:rPr>
          <w:rFonts w:ascii="Times New Roman" w:cs="Times New Roman" w:hAnsi="Times New Roman"/>
          <w:sz w:val="24"/>
          <w:szCs w:val="24"/>
        </w:rPr>
        <w:t>Tween</w:t>
      </w:r>
      <w:r>
        <w:rPr>
          <w:rFonts w:ascii="Times New Roman" w:cs="Times New Roman" w:hAnsi="Times New Roman"/>
          <w:sz w:val="24"/>
          <w:szCs w:val="24"/>
        </w:rPr>
        <w:t xml:space="preserve"> 80/</w:t>
      </w:r>
      <w:r>
        <w:rPr>
          <w:rFonts w:ascii="Times New Roman" w:cs="Times New Roman" w:hAnsi="Times New Roman"/>
          <w:sz w:val="24"/>
          <w:szCs w:val="24"/>
        </w:rPr>
        <w:t>cholestherolniosomes</w:t>
      </w:r>
      <w:r>
        <w:rPr>
          <w:rFonts w:ascii="Times New Roman" w:cs="Times New Roman" w:hAnsi="Times New Roman"/>
          <w:sz w:val="24"/>
          <w:szCs w:val="24"/>
        </w:rPr>
        <w:t xml:space="preserve"> modified with tri-n-</w:t>
      </w:r>
      <w:r>
        <w:rPr>
          <w:rFonts w:ascii="Times New Roman" w:cs="Times New Roman" w:hAnsi="Times New Roman"/>
          <w:sz w:val="24"/>
          <w:szCs w:val="24"/>
        </w:rPr>
        <w:t>octylmethylammonium</w:t>
      </w:r>
      <w:r>
        <w:rPr>
          <w:rFonts w:ascii="Times New Roman" w:cs="Times New Roman" w:hAnsi="Times New Roman"/>
          <w:sz w:val="24"/>
          <w:szCs w:val="24"/>
        </w:rPr>
        <w:t xml:space="preserve"> chloride (TOMAC) for carboxylic acids entrapment Colloid. </w:t>
      </w:r>
      <w:r>
        <w:rPr>
          <w:rFonts w:ascii="Times New Roman" w:cs="Times New Roman" w:hAnsi="Times New Roman"/>
          <w:sz w:val="24"/>
          <w:szCs w:val="24"/>
        </w:rPr>
        <w:t>Surf.APhysicochem</w:t>
      </w:r>
      <w:r>
        <w:rPr>
          <w:rFonts w:ascii="Times New Roman" w:cs="Times New Roman" w:hAnsi="Times New Roman"/>
          <w:sz w:val="24"/>
          <w:szCs w:val="24"/>
        </w:rPr>
        <w:t xml:space="preserve">. Eng. </w:t>
      </w:r>
      <w:r>
        <w:rPr>
          <w:rFonts w:ascii="Times New Roman" w:cs="Times New Roman" w:hAnsi="Times New Roman"/>
          <w:sz w:val="24"/>
          <w:szCs w:val="24"/>
        </w:rPr>
        <w:t>Asp.,</w:t>
      </w:r>
      <w:r>
        <w:rPr>
          <w:rFonts w:ascii="Times New Roman" w:cs="Times New Roman" w:hAnsi="Times New Roman"/>
          <w:sz w:val="24"/>
          <w:szCs w:val="24"/>
        </w:rPr>
        <w:t xml:space="preserve"> 461 (2014), pp. 167-177, 10.1016/J.COLSURFA.2014.07.042</w:t>
      </w:r>
    </w:p>
    <w:p>
      <w:pPr>
        <w:pStyle w:val="style0"/>
        <w:jc w:val="both"/>
        <w:rPr>
          <w:rFonts w:ascii="Times New Roman" w:cs="Times New Roman" w:hAnsi="Times New Roman"/>
          <w:sz w:val="24"/>
          <w:szCs w:val="24"/>
        </w:rPr>
      </w:pPr>
      <w:r>
        <w:rPr>
          <w:rFonts w:ascii="Times New Roman" w:cs="Times New Roman" w:hAnsi="Times New Roman"/>
          <w:sz w:val="24"/>
          <w:szCs w:val="24"/>
        </w:rPr>
        <w:t>18.</w:t>
      </w:r>
      <w:r>
        <w:rPr>
          <w:rFonts w:ascii="Times New Roman" w:cs="Times New Roman" w:hAnsi="Times New Roman"/>
          <w:sz w:val="24"/>
          <w:szCs w:val="24"/>
        </w:rPr>
        <w:t xml:space="preserve"> </w:t>
      </w:r>
      <w:r>
        <w:rPr>
          <w:rFonts w:ascii="Times New Roman" w:cs="Times New Roman" w:hAnsi="Times New Roman"/>
          <w:sz w:val="24"/>
          <w:szCs w:val="24"/>
        </w:rPr>
        <w:t xml:space="preserve">L. Di </w:t>
      </w:r>
      <w:r>
        <w:rPr>
          <w:rFonts w:ascii="Times New Roman" w:cs="Times New Roman" w:hAnsi="Times New Roman"/>
          <w:sz w:val="24"/>
          <w:szCs w:val="24"/>
        </w:rPr>
        <w:t>Marzio</w:t>
      </w:r>
      <w:r>
        <w:rPr>
          <w:rFonts w:ascii="Times New Roman" w:cs="Times New Roman" w:hAnsi="Times New Roman"/>
          <w:sz w:val="24"/>
          <w:szCs w:val="24"/>
        </w:rPr>
        <w:t xml:space="preserve">, C. </w:t>
      </w:r>
      <w:r>
        <w:rPr>
          <w:rFonts w:ascii="Times New Roman" w:cs="Times New Roman" w:hAnsi="Times New Roman"/>
          <w:sz w:val="24"/>
          <w:szCs w:val="24"/>
        </w:rPr>
        <w:t>Marianecci</w:t>
      </w:r>
      <w:r>
        <w:rPr>
          <w:rFonts w:ascii="Times New Roman" w:cs="Times New Roman" w:hAnsi="Times New Roman"/>
          <w:sz w:val="24"/>
          <w:szCs w:val="24"/>
        </w:rPr>
        <w:t xml:space="preserve">, </w:t>
      </w:r>
      <w:r>
        <w:rPr>
          <w:rFonts w:ascii="Times New Roman" w:cs="Times New Roman" w:hAnsi="Times New Roman"/>
          <w:sz w:val="24"/>
          <w:szCs w:val="24"/>
        </w:rPr>
        <w:t>M.Petrone</w:t>
      </w:r>
      <w:r>
        <w:rPr>
          <w:rFonts w:ascii="Times New Roman" w:cs="Times New Roman" w:hAnsi="Times New Roman"/>
          <w:sz w:val="24"/>
          <w:szCs w:val="24"/>
        </w:rPr>
        <w:t xml:space="preserve">, F. </w:t>
      </w:r>
      <w:r>
        <w:rPr>
          <w:rFonts w:ascii="Times New Roman" w:cs="Times New Roman" w:hAnsi="Times New Roman"/>
          <w:sz w:val="24"/>
          <w:szCs w:val="24"/>
        </w:rPr>
        <w:t>Rinaldi</w:t>
      </w:r>
      <w:r>
        <w:rPr>
          <w:rFonts w:ascii="Times New Roman" w:cs="Times New Roman" w:hAnsi="Times New Roman"/>
          <w:sz w:val="24"/>
          <w:szCs w:val="24"/>
        </w:rPr>
        <w:t xml:space="preserve">, M. </w:t>
      </w:r>
      <w:r>
        <w:rPr>
          <w:rFonts w:ascii="Times New Roman" w:cs="Times New Roman" w:hAnsi="Times New Roman"/>
          <w:sz w:val="24"/>
          <w:szCs w:val="24"/>
        </w:rPr>
        <w:t>CarafaNovel</w:t>
      </w:r>
      <w:r>
        <w:rPr>
          <w:rFonts w:ascii="Times New Roman" w:cs="Times New Roman" w:hAnsi="Times New Roman"/>
          <w:sz w:val="24"/>
          <w:szCs w:val="24"/>
        </w:rPr>
        <w:t xml:space="preserve"> pH-sensitive non-ionic surfactant vesicles: comparison between </w:t>
      </w:r>
      <w:r>
        <w:rPr>
          <w:rFonts w:ascii="Times New Roman" w:cs="Times New Roman" w:hAnsi="Times New Roman"/>
          <w:sz w:val="24"/>
          <w:szCs w:val="24"/>
        </w:rPr>
        <w:t>Tween</w:t>
      </w:r>
      <w:r>
        <w:rPr>
          <w:rFonts w:ascii="Times New Roman" w:cs="Times New Roman" w:hAnsi="Times New Roman"/>
          <w:sz w:val="24"/>
          <w:szCs w:val="24"/>
        </w:rPr>
        <w:t xml:space="preserve"> 21 and </w:t>
      </w:r>
      <w:r>
        <w:rPr>
          <w:rFonts w:ascii="Times New Roman" w:cs="Times New Roman" w:hAnsi="Times New Roman"/>
          <w:sz w:val="24"/>
          <w:szCs w:val="24"/>
        </w:rPr>
        <w:t>Tween</w:t>
      </w:r>
      <w:r>
        <w:rPr>
          <w:rFonts w:ascii="Times New Roman" w:cs="Times New Roman" w:hAnsi="Times New Roman"/>
          <w:sz w:val="24"/>
          <w:szCs w:val="24"/>
        </w:rPr>
        <w:t xml:space="preserve"> 20 Colloids Surf. B </w:t>
      </w:r>
      <w:r>
        <w:rPr>
          <w:rFonts w:ascii="Times New Roman" w:cs="Times New Roman" w:hAnsi="Times New Roman"/>
          <w:sz w:val="24"/>
          <w:szCs w:val="24"/>
        </w:rPr>
        <w:t>Biointerfaces</w:t>
      </w:r>
      <w:r>
        <w:rPr>
          <w:rFonts w:ascii="Times New Roman" w:cs="Times New Roman" w:hAnsi="Times New Roman"/>
          <w:sz w:val="24"/>
          <w:szCs w:val="24"/>
        </w:rPr>
        <w:t>, 82 (2011), pp. 18-24, 10.1016/j.colsurfb.2010.08.004</w:t>
      </w:r>
    </w:p>
    <w:p>
      <w:pPr>
        <w:pStyle w:val="style66"/>
        <w:spacing w:lineRule="auto" w:line="360"/>
        <w:ind w:right="730"/>
        <w:jc w:val="both"/>
        <w:rPr/>
      </w:pPr>
      <w:r>
        <w:t>19.</w:t>
      </w:r>
      <w:r>
        <w:t xml:space="preserve"> </w:t>
      </w:r>
      <w:r>
        <w:t xml:space="preserve">S. </w:t>
      </w:r>
      <w:r>
        <w:t>Moghassemi</w:t>
      </w:r>
      <w:r>
        <w:t xml:space="preserve">, A. </w:t>
      </w:r>
      <w:r>
        <w:t>HadjizadehNano-niosomes</w:t>
      </w:r>
      <w:r>
        <w:t xml:space="preserve"> as </w:t>
      </w:r>
      <w:r>
        <w:t>nanoscale</w:t>
      </w:r>
      <w:r>
        <w:t xml:space="preserve"> drug delivery systems: an illustrated review J. Contr. Release, 185</w:t>
      </w:r>
      <w:r>
        <w:t xml:space="preserve"> (2014), pp. 22-36, 10.1016</w:t>
      </w:r>
    </w:p>
    <w:p>
      <w:pPr>
        <w:pStyle w:val="style0"/>
        <w:jc w:val="both"/>
        <w:rPr>
          <w:rFonts w:ascii="Times New Roman" w:cs="Times New Roman" w:hAnsi="Times New Roman"/>
          <w:sz w:val="24"/>
          <w:szCs w:val="24"/>
        </w:rPr>
      </w:pPr>
      <w:r>
        <w:rPr>
          <w:rFonts w:ascii="Times New Roman" w:cs="Times New Roman" w:hAnsi="Times New Roman"/>
          <w:sz w:val="24"/>
          <w:szCs w:val="24"/>
        </w:rPr>
        <w:t xml:space="preserve">20. </w:t>
      </w:r>
      <w:r>
        <w:rPr>
          <w:rFonts w:ascii="Times New Roman" w:cs="Times New Roman" w:hAnsi="Times New Roman"/>
          <w:sz w:val="24"/>
          <w:szCs w:val="24"/>
        </w:rPr>
        <w:t xml:space="preserve">M.I. Khan, A. </w:t>
      </w:r>
      <w:r>
        <w:rPr>
          <w:rFonts w:ascii="Times New Roman" w:cs="Times New Roman" w:hAnsi="Times New Roman"/>
          <w:sz w:val="24"/>
          <w:szCs w:val="24"/>
        </w:rPr>
        <w:t>Madni</w:t>
      </w:r>
      <w:r>
        <w:rPr>
          <w:rFonts w:ascii="Times New Roman" w:cs="Times New Roman" w:hAnsi="Times New Roman"/>
          <w:sz w:val="24"/>
          <w:szCs w:val="24"/>
        </w:rPr>
        <w:t xml:space="preserve">, L. </w:t>
      </w:r>
      <w:r>
        <w:rPr>
          <w:rFonts w:ascii="Times New Roman" w:cs="Times New Roman" w:hAnsi="Times New Roman"/>
          <w:sz w:val="24"/>
          <w:szCs w:val="24"/>
        </w:rPr>
        <w:t>Peltonen</w:t>
      </w:r>
      <w:r>
        <w:rPr>
          <w:rFonts w:ascii="Times New Roman" w:cs="Times New Roman" w:hAnsi="Times New Roman"/>
          <w:sz w:val="24"/>
          <w:szCs w:val="24"/>
        </w:rPr>
        <w:t xml:space="preserve">, Development and in-vitro characterization of </w:t>
      </w:r>
      <w:r>
        <w:rPr>
          <w:rFonts w:ascii="Times New Roman" w:cs="Times New Roman" w:hAnsi="Times New Roman"/>
          <w:sz w:val="24"/>
          <w:szCs w:val="24"/>
        </w:rPr>
        <w:t>sorbitanmonolaurate</w:t>
      </w:r>
      <w:r>
        <w:rPr>
          <w:rFonts w:ascii="Times New Roman" w:cs="Times New Roman" w:hAnsi="Times New Roman"/>
          <w:sz w:val="24"/>
          <w:szCs w:val="24"/>
        </w:rPr>
        <w:t xml:space="preserve"> and </w:t>
      </w:r>
      <w:r>
        <w:rPr>
          <w:rFonts w:ascii="Times New Roman" w:cs="Times New Roman" w:hAnsi="Times New Roman"/>
          <w:sz w:val="24"/>
          <w:szCs w:val="24"/>
        </w:rPr>
        <w:t>poloxamer</w:t>
      </w:r>
      <w:r>
        <w:rPr>
          <w:rFonts w:ascii="Times New Roman" w:cs="Times New Roman" w:hAnsi="Times New Roman"/>
          <w:sz w:val="24"/>
          <w:szCs w:val="24"/>
        </w:rPr>
        <w:t xml:space="preserve"> 184 based </w:t>
      </w:r>
      <w:r>
        <w:rPr>
          <w:rFonts w:ascii="Times New Roman" w:cs="Times New Roman" w:hAnsi="Times New Roman"/>
          <w:sz w:val="24"/>
          <w:szCs w:val="24"/>
        </w:rPr>
        <w:t>niosomes</w:t>
      </w:r>
      <w:r>
        <w:rPr>
          <w:rFonts w:ascii="Times New Roman" w:cs="Times New Roman" w:hAnsi="Times New Roman"/>
          <w:sz w:val="24"/>
          <w:szCs w:val="24"/>
        </w:rPr>
        <w:t xml:space="preserve"> for oral delivery of </w:t>
      </w:r>
      <w:r>
        <w:rPr>
          <w:rFonts w:ascii="Times New Roman" w:cs="Times New Roman" w:hAnsi="Times New Roman"/>
          <w:sz w:val="24"/>
          <w:szCs w:val="24"/>
        </w:rPr>
        <w:t>diacerein</w:t>
      </w:r>
      <w:r>
        <w:rPr>
          <w:rFonts w:ascii="Times New Roman" w:cs="Times New Roman" w:hAnsi="Times New Roman"/>
          <w:sz w:val="24"/>
          <w:szCs w:val="24"/>
        </w:rPr>
        <w:t xml:space="preserve">, Eur. J. </w:t>
      </w:r>
      <w:r>
        <w:rPr>
          <w:rFonts w:ascii="Times New Roman" w:cs="Times New Roman" w:hAnsi="Times New Roman"/>
          <w:sz w:val="24"/>
          <w:szCs w:val="24"/>
        </w:rPr>
        <w:t>Pharmaceut</w:t>
      </w:r>
      <w:r>
        <w:rPr>
          <w:rFonts w:ascii="Times New Roman" w:cs="Times New Roman" w:hAnsi="Times New Roman"/>
          <w:sz w:val="24"/>
          <w:szCs w:val="24"/>
        </w:rPr>
        <w:t xml:space="preserve">. </w:t>
      </w:r>
      <w:r>
        <w:rPr>
          <w:rFonts w:ascii="Times New Roman" w:cs="Times New Roman" w:hAnsi="Times New Roman"/>
          <w:sz w:val="24"/>
          <w:szCs w:val="24"/>
        </w:rPr>
        <w:t xml:space="preserve">Sci. 95 (2016) 88–95, </w:t>
      </w:r>
      <w:r>
        <w:rPr/>
        <w:fldChar w:fldCharType="begin"/>
      </w:r>
      <w:r>
        <w:instrText xml:space="preserve"> HYPERLINK "https://doi.org/10.1016/j.ejps.%202016.09.002" </w:instrText>
      </w:r>
      <w:r>
        <w:rPr/>
        <w:fldChar w:fldCharType="separate"/>
      </w:r>
      <w:r>
        <w:rPr>
          <w:rStyle w:val="style85"/>
          <w:rFonts w:ascii="Times New Roman" w:cs="Times New Roman" w:hAnsi="Times New Roman"/>
          <w:sz w:val="24"/>
          <w:szCs w:val="24"/>
        </w:rPr>
        <w:t>https://doi.org/10.1016/j.ejps.2016.09.002</w:t>
      </w:r>
      <w:r>
        <w:rPr/>
        <w:fldChar w:fldCharType="end"/>
      </w:r>
      <w:r>
        <w:rPr>
          <w:rFonts w:ascii="Times New Roman" w:cs="Times New Roman" w:hAnsi="Times New Roman"/>
          <w:sz w:val="24"/>
          <w:szCs w:val="24"/>
        </w:rPr>
        <w:t>.</w:t>
      </w:r>
    </w:p>
    <w:p>
      <w:pPr>
        <w:pStyle w:val="style0"/>
        <w:jc w:val="both"/>
        <w:rPr>
          <w:rFonts w:ascii="Times New Roman" w:cs="Times New Roman" w:hAnsi="Times New Roman"/>
          <w:sz w:val="24"/>
          <w:szCs w:val="24"/>
        </w:rPr>
      </w:pPr>
      <w:r>
        <w:rPr>
          <w:rFonts w:ascii="Times New Roman" w:cs="Times New Roman" w:hAnsi="Times New Roman"/>
          <w:sz w:val="24"/>
          <w:szCs w:val="24"/>
        </w:rPr>
        <w:t xml:space="preserve">21. </w:t>
      </w:r>
      <w:r>
        <w:rPr>
          <w:rFonts w:ascii="Times New Roman" w:cs="Times New Roman" w:hAnsi="Times New Roman"/>
          <w:sz w:val="24"/>
          <w:szCs w:val="24"/>
        </w:rPr>
        <w:t xml:space="preserve">D.H. Khan, S. </w:t>
      </w:r>
      <w:r>
        <w:rPr>
          <w:rFonts w:ascii="Times New Roman" w:cs="Times New Roman" w:hAnsi="Times New Roman"/>
          <w:sz w:val="24"/>
          <w:szCs w:val="24"/>
        </w:rPr>
        <w:t>Bashir</w:t>
      </w:r>
      <w:r>
        <w:rPr>
          <w:rFonts w:ascii="Times New Roman" w:cs="Times New Roman" w:hAnsi="Times New Roman"/>
          <w:sz w:val="24"/>
          <w:szCs w:val="24"/>
        </w:rPr>
        <w:t xml:space="preserve">, P. </w:t>
      </w:r>
      <w:r>
        <w:rPr>
          <w:rFonts w:ascii="Times New Roman" w:cs="Times New Roman" w:hAnsi="Times New Roman"/>
          <w:sz w:val="24"/>
          <w:szCs w:val="24"/>
        </w:rPr>
        <w:t>Figueiredo</w:t>
      </w:r>
      <w:r>
        <w:rPr>
          <w:rFonts w:ascii="Times New Roman" w:cs="Times New Roman" w:hAnsi="Times New Roman"/>
          <w:sz w:val="24"/>
          <w:szCs w:val="24"/>
        </w:rPr>
        <w:t xml:space="preserve">, H.A. Santos, M.I. Khan, L. </w:t>
      </w:r>
      <w:r>
        <w:rPr>
          <w:rFonts w:ascii="Times New Roman" w:cs="Times New Roman" w:hAnsi="Times New Roman"/>
          <w:sz w:val="24"/>
          <w:szCs w:val="24"/>
        </w:rPr>
        <w:t>Peltonen</w:t>
      </w:r>
      <w:r>
        <w:rPr>
          <w:rFonts w:ascii="Times New Roman" w:cs="Times New Roman" w:hAnsi="Times New Roman"/>
          <w:sz w:val="24"/>
          <w:szCs w:val="24"/>
        </w:rPr>
        <w:t xml:space="preserve">, Process optimization of ecological probe </w:t>
      </w:r>
      <w:r>
        <w:rPr>
          <w:rFonts w:ascii="Times New Roman" w:cs="Times New Roman" w:hAnsi="Times New Roman"/>
          <w:sz w:val="24"/>
          <w:szCs w:val="24"/>
        </w:rPr>
        <w:t>sonication</w:t>
      </w:r>
      <w:r>
        <w:rPr>
          <w:rFonts w:ascii="Times New Roman" w:cs="Times New Roman" w:hAnsi="Times New Roman"/>
          <w:sz w:val="24"/>
          <w:szCs w:val="24"/>
        </w:rPr>
        <w:t xml:space="preserve"> technique for production of </w:t>
      </w:r>
      <w:r>
        <w:rPr>
          <w:rFonts w:ascii="Times New Roman" w:cs="Times New Roman" w:hAnsi="Times New Roman"/>
          <w:sz w:val="24"/>
          <w:szCs w:val="24"/>
        </w:rPr>
        <w:t>rifampicin</w:t>
      </w:r>
      <w:r>
        <w:rPr>
          <w:rFonts w:ascii="Times New Roman" w:cs="Times New Roman" w:hAnsi="Times New Roman"/>
          <w:sz w:val="24"/>
          <w:szCs w:val="24"/>
        </w:rPr>
        <w:t xml:space="preserve"> loaded </w:t>
      </w:r>
      <w:r>
        <w:rPr>
          <w:rFonts w:ascii="Times New Roman" w:cs="Times New Roman" w:hAnsi="Times New Roman"/>
          <w:sz w:val="24"/>
          <w:szCs w:val="24"/>
        </w:rPr>
        <w:t>niosomes</w:t>
      </w:r>
      <w:r>
        <w:rPr>
          <w:rFonts w:ascii="Times New Roman" w:cs="Times New Roman" w:hAnsi="Times New Roman"/>
          <w:sz w:val="24"/>
          <w:szCs w:val="24"/>
        </w:rPr>
        <w:t xml:space="preserve">, J. Drug </w:t>
      </w:r>
      <w:r>
        <w:rPr>
          <w:rFonts w:ascii="Times New Roman" w:cs="Times New Roman" w:hAnsi="Times New Roman"/>
          <w:sz w:val="24"/>
          <w:szCs w:val="24"/>
        </w:rPr>
        <w:t>Deliv</w:t>
      </w:r>
      <w:r>
        <w:rPr>
          <w:rFonts w:ascii="Times New Roman" w:cs="Times New Roman" w:hAnsi="Times New Roman"/>
          <w:sz w:val="24"/>
          <w:szCs w:val="24"/>
        </w:rPr>
        <w:t xml:space="preserve">. Sci. Technol. 50 (2019) 27–33, </w:t>
      </w:r>
      <w:r>
        <w:rPr/>
        <w:fldChar w:fldCharType="begin"/>
      </w:r>
      <w:r>
        <w:instrText xml:space="preserve"> HYPERLINK "https://doi.org/10.%201016/j.jddst.2019.01.012" </w:instrText>
      </w:r>
      <w:r>
        <w:rPr/>
        <w:fldChar w:fldCharType="separate"/>
      </w:r>
      <w:r>
        <w:rPr>
          <w:rStyle w:val="style85"/>
          <w:rFonts w:ascii="Times New Roman" w:cs="Times New Roman" w:hAnsi="Times New Roman"/>
          <w:sz w:val="24"/>
          <w:szCs w:val="24"/>
        </w:rPr>
        <w:t>https://doi.org/10. 1016/j.jddst.2019.01.012</w:t>
      </w:r>
      <w:r>
        <w:rPr/>
        <w:fldChar w:fldCharType="end"/>
      </w:r>
      <w:r>
        <w:rPr>
          <w:rFonts w:ascii="Times New Roman" w:cs="Times New Roman" w:hAnsi="Times New Roman"/>
          <w:sz w:val="24"/>
          <w:szCs w:val="24"/>
        </w:rPr>
        <w:t>.</w:t>
      </w:r>
    </w:p>
    <w:p>
      <w:pPr>
        <w:pStyle w:val="style0"/>
        <w:jc w:val="both"/>
        <w:rPr/>
      </w:pPr>
      <w:r>
        <w:rPr>
          <w:rFonts w:ascii="Times New Roman" w:cs="Times New Roman" w:hAnsi="Times New Roman"/>
          <w:sz w:val="24"/>
          <w:szCs w:val="24"/>
        </w:rPr>
        <w:t>22.</w:t>
      </w:r>
      <w:r>
        <w:t xml:space="preserve"> </w:t>
      </w:r>
      <w:r>
        <w:rPr>
          <w:rFonts w:ascii="Times New Roman" w:cs="Times New Roman" w:hAnsi="Times New Roman"/>
          <w:sz w:val="24"/>
          <w:szCs w:val="24"/>
        </w:rPr>
        <w:t xml:space="preserve">R. </w:t>
      </w:r>
      <w:r>
        <w:rPr>
          <w:rFonts w:ascii="Times New Roman" w:cs="Times New Roman" w:hAnsi="Times New Roman"/>
          <w:sz w:val="24"/>
          <w:szCs w:val="24"/>
        </w:rPr>
        <w:t>Basak</w:t>
      </w:r>
      <w:r>
        <w:rPr>
          <w:rFonts w:ascii="Times New Roman" w:cs="Times New Roman" w:hAnsi="Times New Roman"/>
          <w:sz w:val="24"/>
          <w:szCs w:val="24"/>
        </w:rPr>
        <w:t xml:space="preserve">, R. </w:t>
      </w:r>
      <w:r>
        <w:rPr>
          <w:rFonts w:ascii="Times New Roman" w:cs="Times New Roman" w:hAnsi="Times New Roman"/>
          <w:sz w:val="24"/>
          <w:szCs w:val="24"/>
        </w:rPr>
        <w:t>Bandyopadhyay</w:t>
      </w:r>
      <w:r>
        <w:rPr>
          <w:rFonts w:ascii="Times New Roman" w:cs="Times New Roman" w:hAnsi="Times New Roman"/>
          <w:sz w:val="24"/>
          <w:szCs w:val="24"/>
        </w:rPr>
        <w:t xml:space="preserve">, The encapsulation of hydrophobic drugs in </w:t>
      </w:r>
      <w:r>
        <w:rPr>
          <w:rFonts w:ascii="Times New Roman" w:cs="Times New Roman" w:hAnsi="Times New Roman"/>
          <w:sz w:val="24"/>
          <w:szCs w:val="24"/>
        </w:rPr>
        <w:t>Pluronic</w:t>
      </w:r>
      <w:r>
        <w:rPr>
          <w:rFonts w:ascii="Times New Roman" w:cs="Times New Roman" w:hAnsi="Times New Roman"/>
          <w:sz w:val="24"/>
          <w:szCs w:val="24"/>
        </w:rPr>
        <w:t xml:space="preserve"> F127 micelles: the effects of drug </w:t>
      </w:r>
      <w:r>
        <w:rPr>
          <w:rFonts w:ascii="Times New Roman" w:cs="Times New Roman" w:hAnsi="Times New Roman"/>
          <w:sz w:val="24"/>
          <w:szCs w:val="24"/>
        </w:rPr>
        <w:t>hydrophobicity</w:t>
      </w:r>
      <w:r>
        <w:rPr>
          <w:rFonts w:ascii="Times New Roman" w:cs="Times New Roman" w:hAnsi="Times New Roman"/>
          <w:sz w:val="24"/>
          <w:szCs w:val="24"/>
        </w:rPr>
        <w:t xml:space="preserve">, solution temperature and pH, Langmuir 29 (2014) 4350–4356, </w:t>
      </w:r>
      <w:r>
        <w:rPr/>
        <w:fldChar w:fldCharType="begin"/>
      </w:r>
      <w:r>
        <w:instrText xml:space="preserve"> HYPERLINK "https://doi.org/10.1021/la304836e" </w:instrText>
      </w:r>
      <w:r>
        <w:rPr/>
        <w:fldChar w:fldCharType="separate"/>
      </w:r>
      <w:r>
        <w:rPr>
          <w:rStyle w:val="style85"/>
          <w:rFonts w:ascii="Times New Roman" w:cs="Times New Roman" w:hAnsi="Times New Roman"/>
          <w:sz w:val="24"/>
          <w:szCs w:val="24"/>
        </w:rPr>
        <w:t>https://doi.org/10.1021/la304836e</w:t>
      </w:r>
      <w:r>
        <w:rPr/>
        <w:fldChar w:fldCharType="end"/>
      </w:r>
      <w:r>
        <w:t>.</w:t>
      </w:r>
    </w:p>
    <w:p>
      <w:pPr>
        <w:pStyle w:val="style0"/>
        <w:jc w:val="both"/>
        <w:rPr>
          <w:rFonts w:ascii="Times New Roman" w:cs="Times New Roman" w:hAnsi="Times New Roman"/>
          <w:sz w:val="24"/>
          <w:szCs w:val="24"/>
        </w:rPr>
      </w:pPr>
      <w:r>
        <w:t>23.</w:t>
      </w:r>
      <w:r>
        <w:t xml:space="preserve"> </w:t>
      </w:r>
      <w:r>
        <w:rPr>
          <w:rFonts w:ascii="Times New Roman" w:cs="Times New Roman" w:hAnsi="Times New Roman"/>
          <w:sz w:val="24"/>
          <w:szCs w:val="24"/>
        </w:rPr>
        <w:t xml:space="preserve">C.-F. </w:t>
      </w:r>
      <w:r>
        <w:rPr>
          <w:rFonts w:ascii="Times New Roman" w:cs="Times New Roman" w:hAnsi="Times New Roman"/>
          <w:sz w:val="24"/>
          <w:szCs w:val="24"/>
        </w:rPr>
        <w:t>Lee, H.-W.</w:t>
      </w:r>
      <w:r>
        <w:rPr>
          <w:rFonts w:ascii="Times New Roman" w:cs="Times New Roman" w:hAnsi="Times New Roman"/>
          <w:sz w:val="24"/>
          <w:szCs w:val="24"/>
        </w:rPr>
        <w:t xml:space="preserve"> </w:t>
      </w:r>
      <w:r>
        <w:rPr>
          <w:rFonts w:ascii="Times New Roman" w:cs="Times New Roman" w:hAnsi="Times New Roman"/>
          <w:sz w:val="24"/>
          <w:szCs w:val="24"/>
        </w:rPr>
        <w:t xml:space="preserve">Tseng, P. </w:t>
      </w:r>
      <w:r>
        <w:rPr>
          <w:rFonts w:ascii="Times New Roman" w:cs="Times New Roman" w:hAnsi="Times New Roman"/>
          <w:sz w:val="24"/>
          <w:szCs w:val="24"/>
        </w:rPr>
        <w:t>Bahadur</w:t>
      </w:r>
      <w:r>
        <w:rPr>
          <w:rFonts w:ascii="Times New Roman" w:cs="Times New Roman" w:hAnsi="Times New Roman"/>
          <w:sz w:val="24"/>
          <w:szCs w:val="24"/>
        </w:rPr>
        <w:t>, L.-J.</w:t>
      </w:r>
      <w:r>
        <w:rPr>
          <w:rFonts w:ascii="Times New Roman" w:cs="Times New Roman" w:hAnsi="Times New Roman"/>
          <w:sz w:val="24"/>
          <w:szCs w:val="24"/>
        </w:rPr>
        <w:t xml:space="preserve"> </w:t>
      </w:r>
      <w:r>
        <w:rPr>
          <w:rFonts w:ascii="Times New Roman" w:cs="Times New Roman" w:hAnsi="Times New Roman"/>
          <w:sz w:val="24"/>
          <w:szCs w:val="24"/>
        </w:rPr>
        <w:t>Chen, C.-F.</w:t>
      </w:r>
      <w:r>
        <w:rPr>
          <w:rFonts w:ascii="Times New Roman" w:cs="Times New Roman" w:hAnsi="Times New Roman"/>
          <w:sz w:val="24"/>
          <w:szCs w:val="24"/>
        </w:rPr>
        <w:t xml:space="preserve"> </w:t>
      </w:r>
      <w:r>
        <w:rPr>
          <w:rFonts w:ascii="Times New Roman" w:cs="Times New Roman" w:hAnsi="Times New Roman"/>
          <w:sz w:val="24"/>
          <w:szCs w:val="24"/>
        </w:rPr>
        <w:t>Lee, H.-W.</w:t>
      </w:r>
      <w:r>
        <w:rPr>
          <w:rFonts w:ascii="Times New Roman" w:cs="Times New Roman" w:hAnsi="Times New Roman"/>
          <w:sz w:val="24"/>
          <w:szCs w:val="24"/>
        </w:rPr>
        <w:t xml:space="preserve"> </w:t>
      </w:r>
      <w:r>
        <w:rPr>
          <w:rFonts w:ascii="Times New Roman" w:cs="Times New Roman" w:hAnsi="Times New Roman"/>
          <w:sz w:val="24"/>
          <w:szCs w:val="24"/>
        </w:rPr>
        <w:t xml:space="preserve">Tseng, P. </w:t>
      </w:r>
      <w:r>
        <w:rPr>
          <w:rFonts w:ascii="Times New Roman" w:cs="Times New Roman" w:hAnsi="Times New Roman"/>
          <w:sz w:val="24"/>
          <w:szCs w:val="24"/>
        </w:rPr>
        <w:t>Bahadur</w:t>
      </w:r>
      <w:r>
        <w:rPr>
          <w:rFonts w:ascii="Times New Roman" w:cs="Times New Roman" w:hAnsi="Times New Roman"/>
          <w:sz w:val="24"/>
          <w:szCs w:val="24"/>
        </w:rPr>
        <w:t>, L.-J.</w:t>
      </w:r>
      <w:r>
        <w:rPr>
          <w:rFonts w:ascii="Times New Roman" w:cs="Times New Roman" w:hAnsi="Times New Roman"/>
          <w:sz w:val="24"/>
          <w:szCs w:val="24"/>
        </w:rPr>
        <w:t xml:space="preserve"> Chen, Synergistic effect of binary mixed-</w:t>
      </w:r>
      <w:r>
        <w:rPr>
          <w:rFonts w:ascii="Times New Roman" w:cs="Times New Roman" w:hAnsi="Times New Roman"/>
          <w:sz w:val="24"/>
          <w:szCs w:val="24"/>
        </w:rPr>
        <w:t>pluronic</w:t>
      </w:r>
      <w:r>
        <w:rPr>
          <w:rFonts w:ascii="Times New Roman" w:cs="Times New Roman" w:hAnsi="Times New Roman"/>
          <w:sz w:val="24"/>
          <w:szCs w:val="24"/>
        </w:rPr>
        <w:t xml:space="preserve"> systems on temperature dependent self-assembly process and drug solubility, Polymers (Basel) 10 (2018) 105, </w:t>
      </w:r>
      <w:r>
        <w:rPr/>
        <w:fldChar w:fldCharType="begin"/>
      </w:r>
      <w:r>
        <w:instrText xml:space="preserve"> HYPERLINK "https://doi.org/10.3390/polym10010105" </w:instrText>
      </w:r>
      <w:r>
        <w:rPr/>
        <w:fldChar w:fldCharType="separate"/>
      </w:r>
      <w:r>
        <w:rPr>
          <w:rStyle w:val="style85"/>
          <w:rFonts w:ascii="Times New Roman" w:cs="Times New Roman" w:hAnsi="Times New Roman"/>
          <w:sz w:val="24"/>
          <w:szCs w:val="24"/>
        </w:rPr>
        <w:t>https://doi.org/10.3390/polym10010105</w:t>
      </w:r>
      <w:r>
        <w:rPr/>
        <w:fldChar w:fldCharType="end"/>
      </w:r>
    </w:p>
    <w:p>
      <w:pPr>
        <w:pStyle w:val="style0"/>
        <w:jc w:val="both"/>
        <w:rPr/>
      </w:pPr>
      <w:r>
        <w:rPr>
          <w:rFonts w:ascii="Times New Roman" w:cs="Times New Roman" w:hAnsi="Times New Roman"/>
          <w:sz w:val="24"/>
          <w:szCs w:val="24"/>
        </w:rPr>
        <w:t>24.</w:t>
      </w:r>
      <w:r>
        <w:t xml:space="preserve"> </w:t>
      </w:r>
      <w:r>
        <w:rPr>
          <w:rFonts w:ascii="Times New Roman" w:cs="Times New Roman" w:hAnsi="Times New Roman"/>
          <w:sz w:val="24"/>
          <w:szCs w:val="24"/>
        </w:rPr>
        <w:t xml:space="preserve">E.V. </w:t>
      </w:r>
      <w:r>
        <w:rPr>
          <w:rFonts w:ascii="Times New Roman" w:cs="Times New Roman" w:hAnsi="Times New Roman"/>
          <w:sz w:val="24"/>
          <w:szCs w:val="24"/>
        </w:rPr>
        <w:t>Batrakova</w:t>
      </w:r>
      <w:r>
        <w:rPr>
          <w:rFonts w:ascii="Times New Roman" w:cs="Times New Roman" w:hAnsi="Times New Roman"/>
          <w:sz w:val="24"/>
          <w:szCs w:val="24"/>
        </w:rPr>
        <w:t xml:space="preserve">, S.V. </w:t>
      </w:r>
      <w:r>
        <w:rPr>
          <w:rFonts w:ascii="Times New Roman" w:cs="Times New Roman" w:hAnsi="Times New Roman"/>
          <w:sz w:val="24"/>
          <w:szCs w:val="24"/>
        </w:rPr>
        <w:t>Vinogradov</w:t>
      </w:r>
      <w:r>
        <w:rPr>
          <w:rFonts w:ascii="Times New Roman" w:cs="Times New Roman" w:hAnsi="Times New Roman"/>
          <w:sz w:val="24"/>
          <w:szCs w:val="24"/>
        </w:rPr>
        <w:t xml:space="preserve">, S.M. Robinson, M.L. </w:t>
      </w:r>
      <w:r>
        <w:rPr>
          <w:rFonts w:ascii="Times New Roman" w:cs="Times New Roman" w:hAnsi="Times New Roman"/>
          <w:sz w:val="24"/>
          <w:szCs w:val="24"/>
        </w:rPr>
        <w:t>Niehoff</w:t>
      </w:r>
      <w:r>
        <w:rPr>
          <w:rFonts w:ascii="Times New Roman" w:cs="Times New Roman" w:hAnsi="Times New Roman"/>
          <w:sz w:val="24"/>
          <w:szCs w:val="24"/>
        </w:rPr>
        <w:t xml:space="preserve">, W.A. Banks, A.V. </w:t>
      </w:r>
      <w:r>
        <w:rPr>
          <w:rFonts w:ascii="Times New Roman" w:cs="Times New Roman" w:hAnsi="Times New Roman"/>
          <w:sz w:val="24"/>
          <w:szCs w:val="24"/>
        </w:rPr>
        <w:t>Kabanov</w:t>
      </w:r>
      <w:r>
        <w:rPr>
          <w:rFonts w:ascii="Times New Roman" w:cs="Times New Roman" w:hAnsi="Times New Roman"/>
          <w:sz w:val="24"/>
          <w:szCs w:val="24"/>
        </w:rPr>
        <w:t xml:space="preserve">, Polypeptide point modifications with fatty acid and </w:t>
      </w:r>
      <w:r>
        <w:rPr>
          <w:rFonts w:ascii="Times New Roman" w:cs="Times New Roman" w:hAnsi="Times New Roman"/>
          <w:sz w:val="24"/>
          <w:szCs w:val="24"/>
        </w:rPr>
        <w:t>amphiphilic</w:t>
      </w:r>
      <w:r>
        <w:rPr>
          <w:rFonts w:ascii="Times New Roman" w:cs="Times New Roman" w:hAnsi="Times New Roman"/>
          <w:sz w:val="24"/>
          <w:szCs w:val="24"/>
        </w:rPr>
        <w:t xml:space="preserve"> block copolymers for enhanced brain delivery, </w:t>
      </w:r>
      <w:r>
        <w:rPr>
          <w:rFonts w:ascii="Times New Roman" w:cs="Times New Roman" w:hAnsi="Times New Roman"/>
          <w:sz w:val="24"/>
          <w:szCs w:val="24"/>
        </w:rPr>
        <w:t>Bioconjugate</w:t>
      </w:r>
      <w:r>
        <w:rPr>
          <w:rFonts w:ascii="Times New Roman" w:cs="Times New Roman" w:hAnsi="Times New Roman"/>
          <w:sz w:val="24"/>
          <w:szCs w:val="24"/>
        </w:rPr>
        <w:t xml:space="preserve"> Chem. 16 (2005) 793–802, </w:t>
      </w:r>
      <w:r>
        <w:rPr/>
        <w:fldChar w:fldCharType="begin"/>
      </w:r>
      <w:r>
        <w:instrText xml:space="preserve"> HYPERLINK "https://doi.org/10.1021/bc049730c" </w:instrText>
      </w:r>
      <w:r>
        <w:rPr/>
        <w:fldChar w:fldCharType="separate"/>
      </w:r>
      <w:r>
        <w:rPr>
          <w:rStyle w:val="style85"/>
          <w:rFonts w:ascii="Times New Roman" w:cs="Times New Roman" w:hAnsi="Times New Roman"/>
          <w:sz w:val="24"/>
          <w:szCs w:val="24"/>
        </w:rPr>
        <w:t>https://doi.org/10.1021/bc049730c</w:t>
      </w:r>
      <w:r>
        <w:rPr/>
        <w:fldChar w:fldCharType="end"/>
      </w:r>
      <w:r>
        <w:t>.</w:t>
      </w:r>
    </w:p>
    <w:p>
      <w:pPr>
        <w:pStyle w:val="style0"/>
        <w:jc w:val="both"/>
        <w:rPr>
          <w:rFonts w:ascii="Times New Roman" w:cs="Times New Roman" w:hAnsi="Times New Roman"/>
          <w:sz w:val="24"/>
          <w:szCs w:val="24"/>
        </w:rPr>
      </w:pPr>
      <w:r>
        <w:t>25.</w:t>
      </w:r>
      <w:r>
        <w:t xml:space="preserve"> </w:t>
      </w:r>
      <w:r>
        <w:t xml:space="preserve"> </w:t>
      </w:r>
      <w:r>
        <w:rPr>
          <w:rFonts w:ascii="Times New Roman" w:cs="Times New Roman" w:hAnsi="Times New Roman"/>
          <w:sz w:val="24"/>
          <w:szCs w:val="24"/>
        </w:rPr>
        <w:t xml:space="preserve">D.H. Khan, S. </w:t>
      </w:r>
      <w:r>
        <w:rPr>
          <w:rFonts w:ascii="Times New Roman" w:cs="Times New Roman" w:hAnsi="Times New Roman"/>
          <w:sz w:val="24"/>
          <w:szCs w:val="24"/>
        </w:rPr>
        <w:t>Bashir</w:t>
      </w:r>
      <w:r>
        <w:rPr>
          <w:rFonts w:ascii="Times New Roman" w:cs="Times New Roman" w:hAnsi="Times New Roman"/>
          <w:sz w:val="24"/>
          <w:szCs w:val="24"/>
        </w:rPr>
        <w:t xml:space="preserve">, A. </w:t>
      </w:r>
      <w:r>
        <w:rPr>
          <w:rFonts w:ascii="Times New Roman" w:cs="Times New Roman" w:hAnsi="Times New Roman"/>
          <w:sz w:val="24"/>
          <w:szCs w:val="24"/>
        </w:rPr>
        <w:t>Correia</w:t>
      </w:r>
      <w:r>
        <w:rPr>
          <w:rFonts w:ascii="Times New Roman" w:cs="Times New Roman" w:hAnsi="Times New Roman"/>
          <w:sz w:val="24"/>
          <w:szCs w:val="24"/>
        </w:rPr>
        <w:t xml:space="preserve">, M.I. Khan, P. </w:t>
      </w:r>
      <w:r>
        <w:rPr>
          <w:rFonts w:ascii="Times New Roman" w:cs="Times New Roman" w:hAnsi="Times New Roman"/>
          <w:sz w:val="24"/>
          <w:szCs w:val="24"/>
        </w:rPr>
        <w:t>Figueiredo</w:t>
      </w:r>
      <w:r>
        <w:rPr>
          <w:rFonts w:ascii="Times New Roman" w:cs="Times New Roman" w:hAnsi="Times New Roman"/>
          <w:sz w:val="24"/>
          <w:szCs w:val="24"/>
        </w:rPr>
        <w:t xml:space="preserve">, H.A. Santos, L. </w:t>
      </w:r>
      <w:r>
        <w:rPr>
          <w:rFonts w:ascii="Times New Roman" w:cs="Times New Roman" w:hAnsi="Times New Roman"/>
          <w:sz w:val="24"/>
          <w:szCs w:val="24"/>
        </w:rPr>
        <w:t>Peltonen</w:t>
      </w:r>
      <w:r>
        <w:rPr>
          <w:rFonts w:ascii="Times New Roman" w:cs="Times New Roman" w:hAnsi="Times New Roman"/>
          <w:sz w:val="24"/>
          <w:szCs w:val="24"/>
        </w:rPr>
        <w:t xml:space="preserve">, Utilization of green formulation technique and efficacy estimation on cell line studies for dual anticancer drug therapy with </w:t>
      </w:r>
      <w:r>
        <w:rPr>
          <w:rFonts w:ascii="Times New Roman" w:cs="Times New Roman" w:hAnsi="Times New Roman"/>
          <w:sz w:val="24"/>
          <w:szCs w:val="24"/>
        </w:rPr>
        <w:t>niosomes</w:t>
      </w:r>
      <w:r>
        <w:rPr>
          <w:rFonts w:ascii="Times New Roman" w:cs="Times New Roman" w:hAnsi="Times New Roman"/>
          <w:sz w:val="24"/>
          <w:szCs w:val="24"/>
        </w:rPr>
        <w:t xml:space="preserve">, Int. J. Pharm. 527 (2019) 118764, </w:t>
      </w:r>
      <w:r>
        <w:rPr/>
        <w:fldChar w:fldCharType="begin"/>
      </w:r>
      <w:r>
        <w:instrText xml:space="preserve"> HYPERLINK "https://doi.org/10.1016/j.ijpharm.2019.118764" </w:instrText>
      </w:r>
      <w:r>
        <w:rPr/>
        <w:fldChar w:fldCharType="separate"/>
      </w:r>
      <w:r>
        <w:rPr>
          <w:rStyle w:val="style85"/>
          <w:rFonts w:ascii="Times New Roman" w:cs="Times New Roman" w:hAnsi="Times New Roman"/>
          <w:sz w:val="24"/>
          <w:szCs w:val="24"/>
        </w:rPr>
        <w:t>https://doi.org/10.1016/j.ijpharm.2019.118764</w:t>
      </w:r>
      <w:r>
        <w:rPr/>
        <w:fldChar w:fldCharType="end"/>
      </w:r>
      <w:r>
        <w:rPr>
          <w:rFonts w:ascii="Times New Roman" w:cs="Times New Roman" w:hAnsi="Times New Roman"/>
          <w:sz w:val="24"/>
          <w:szCs w:val="24"/>
        </w:rPr>
        <w:t>.</w:t>
      </w:r>
    </w:p>
    <w:p>
      <w:pPr>
        <w:pStyle w:val="style0"/>
        <w:jc w:val="both"/>
        <w:rPr>
          <w:rFonts w:ascii="Times New Roman" w:cs="Times New Roman" w:hAnsi="Times New Roman"/>
        </w:rPr>
      </w:pPr>
      <w:r>
        <w:rPr>
          <w:rFonts w:ascii="Times New Roman" w:cs="Times New Roman" w:hAnsi="Times New Roman"/>
          <w:sz w:val="24"/>
          <w:szCs w:val="24"/>
        </w:rPr>
        <w:t>26.</w:t>
      </w:r>
      <w:r>
        <w:t xml:space="preserve"> </w:t>
      </w:r>
      <w:r>
        <w:t xml:space="preserve"> </w:t>
      </w:r>
      <w:r>
        <w:rPr>
          <w:rFonts w:ascii="Times New Roman" w:cs="Times New Roman" w:hAnsi="Times New Roman"/>
        </w:rPr>
        <w:t xml:space="preserve">M.I. Khan, A. </w:t>
      </w:r>
      <w:r>
        <w:rPr>
          <w:rFonts w:ascii="Times New Roman" w:cs="Times New Roman" w:hAnsi="Times New Roman"/>
        </w:rPr>
        <w:t>Madni</w:t>
      </w:r>
      <w:r>
        <w:rPr>
          <w:rFonts w:ascii="Times New Roman" w:cs="Times New Roman" w:hAnsi="Times New Roman"/>
        </w:rPr>
        <w:t xml:space="preserve">, J. </w:t>
      </w:r>
      <w:r>
        <w:rPr>
          <w:rFonts w:ascii="Times New Roman" w:cs="Times New Roman" w:hAnsi="Times New Roman"/>
        </w:rPr>
        <w:t>Hirvonen</w:t>
      </w:r>
      <w:r>
        <w:rPr>
          <w:rFonts w:ascii="Times New Roman" w:cs="Times New Roman" w:hAnsi="Times New Roman"/>
        </w:rPr>
        <w:t xml:space="preserve">, L. </w:t>
      </w:r>
      <w:r>
        <w:rPr>
          <w:rFonts w:ascii="Times New Roman" w:cs="Times New Roman" w:hAnsi="Times New Roman"/>
        </w:rPr>
        <w:t>Peltonen</w:t>
      </w:r>
      <w:r>
        <w:rPr>
          <w:rFonts w:ascii="Times New Roman" w:cs="Times New Roman" w:hAnsi="Times New Roman"/>
        </w:rPr>
        <w:t xml:space="preserve">, Ultrasonic processing technique as a green preparation approach for </w:t>
      </w:r>
      <w:r>
        <w:rPr>
          <w:rFonts w:ascii="Times New Roman" w:cs="Times New Roman" w:hAnsi="Times New Roman"/>
        </w:rPr>
        <w:t>diacerein</w:t>
      </w:r>
      <w:r>
        <w:rPr>
          <w:rFonts w:ascii="Times New Roman" w:cs="Times New Roman" w:hAnsi="Times New Roman"/>
        </w:rPr>
        <w:t xml:space="preserve">-loaded </w:t>
      </w:r>
      <w:r>
        <w:rPr>
          <w:rFonts w:ascii="Times New Roman" w:cs="Times New Roman" w:hAnsi="Times New Roman"/>
        </w:rPr>
        <w:t>niosomes</w:t>
      </w:r>
      <w:r>
        <w:rPr>
          <w:rFonts w:ascii="Times New Roman" w:cs="Times New Roman" w:hAnsi="Times New Roman"/>
        </w:rPr>
        <w:t xml:space="preserve">, AAPS </w:t>
      </w:r>
      <w:r>
        <w:rPr>
          <w:rFonts w:ascii="Times New Roman" w:cs="Times New Roman" w:hAnsi="Times New Roman"/>
        </w:rPr>
        <w:t>PharmSciTech</w:t>
      </w:r>
      <w:r>
        <w:rPr>
          <w:rFonts w:ascii="Times New Roman" w:cs="Times New Roman" w:hAnsi="Times New Roman"/>
        </w:rPr>
        <w:t xml:space="preserve"> 18 (2017) 1554–1563, </w:t>
      </w:r>
      <w:r>
        <w:rPr/>
        <w:fldChar w:fldCharType="begin"/>
      </w:r>
      <w:r>
        <w:instrText xml:space="preserve"> HYPERLINK "https://doi.org/10.1208/s12249-016-0622" </w:instrText>
      </w:r>
      <w:r>
        <w:rPr/>
        <w:fldChar w:fldCharType="separate"/>
      </w:r>
      <w:r>
        <w:rPr>
          <w:rStyle w:val="style85"/>
          <w:rFonts w:ascii="Times New Roman" w:cs="Times New Roman" w:hAnsi="Times New Roman"/>
        </w:rPr>
        <w:t>https://doi.org/10.1208/s12249-016-0622</w:t>
      </w:r>
      <w:r>
        <w:rPr/>
        <w:fldChar w:fldCharType="end"/>
      </w:r>
    </w:p>
    <w:p>
      <w:pPr>
        <w:pStyle w:val="style0"/>
        <w:jc w:val="both"/>
        <w:rPr>
          <w:rFonts w:ascii="Times New Roman" w:cs="Times New Roman" w:hAnsi="Times New Roman"/>
          <w:sz w:val="24"/>
          <w:szCs w:val="24"/>
        </w:rPr>
      </w:pPr>
      <w:r>
        <w:rPr>
          <w:rFonts w:ascii="Times New Roman" w:cs="Times New Roman" w:hAnsi="Times New Roman"/>
          <w:sz w:val="24"/>
          <w:szCs w:val="24"/>
        </w:rPr>
        <w:t xml:space="preserve">27. N.B. </w:t>
      </w:r>
      <w:r>
        <w:rPr>
          <w:rFonts w:ascii="Times New Roman" w:cs="Times New Roman" w:hAnsi="Times New Roman"/>
          <w:sz w:val="24"/>
          <w:szCs w:val="24"/>
        </w:rPr>
        <w:t>Mahale</w:t>
      </w:r>
      <w:r>
        <w:rPr>
          <w:rFonts w:ascii="Times New Roman" w:cs="Times New Roman" w:hAnsi="Times New Roman"/>
          <w:sz w:val="24"/>
          <w:szCs w:val="24"/>
        </w:rPr>
        <w:t xml:space="preserve">, P.D. </w:t>
      </w:r>
      <w:r>
        <w:rPr>
          <w:rFonts w:ascii="Times New Roman" w:cs="Times New Roman" w:hAnsi="Times New Roman"/>
          <w:sz w:val="24"/>
          <w:szCs w:val="24"/>
        </w:rPr>
        <w:t>Thakkar</w:t>
      </w:r>
      <w:r>
        <w:rPr>
          <w:rFonts w:ascii="Times New Roman" w:cs="Times New Roman" w:hAnsi="Times New Roman"/>
          <w:sz w:val="24"/>
          <w:szCs w:val="24"/>
        </w:rPr>
        <w:t xml:space="preserve">, R.G. Mali, D.R. </w:t>
      </w:r>
      <w:r>
        <w:rPr>
          <w:rFonts w:ascii="Times New Roman" w:cs="Times New Roman" w:hAnsi="Times New Roman"/>
          <w:sz w:val="24"/>
          <w:szCs w:val="24"/>
        </w:rPr>
        <w:t>Walunj</w:t>
      </w:r>
      <w:r>
        <w:rPr>
          <w:rFonts w:ascii="Times New Roman" w:cs="Times New Roman" w:hAnsi="Times New Roman"/>
          <w:sz w:val="24"/>
          <w:szCs w:val="24"/>
        </w:rPr>
        <w:t xml:space="preserve">, S.R. </w:t>
      </w:r>
      <w:r>
        <w:rPr>
          <w:rFonts w:ascii="Times New Roman" w:cs="Times New Roman" w:hAnsi="Times New Roman"/>
          <w:sz w:val="24"/>
          <w:szCs w:val="24"/>
        </w:rPr>
        <w:t>Chaudhari</w:t>
      </w:r>
      <w:r>
        <w:rPr>
          <w:rFonts w:ascii="Times New Roman" w:cs="Times New Roman" w:hAnsi="Times New Roman"/>
          <w:sz w:val="24"/>
          <w:szCs w:val="24"/>
        </w:rPr>
        <w:t xml:space="preserve">, </w:t>
      </w:r>
      <w:r>
        <w:rPr>
          <w:rFonts w:ascii="Times New Roman" w:cs="Times New Roman" w:hAnsi="Times New Roman"/>
          <w:sz w:val="24"/>
          <w:szCs w:val="24"/>
        </w:rPr>
        <w:t>Niosomes</w:t>
      </w:r>
      <w:r>
        <w:rPr>
          <w:rFonts w:ascii="Times New Roman" w:cs="Times New Roman" w:hAnsi="Times New Roman"/>
          <w:sz w:val="24"/>
          <w:szCs w:val="24"/>
        </w:rPr>
        <w:t xml:space="preserve">: novel sustained release nonionic stable vesicular systems - an overview, Adv. Colloid Interface Sci. 183–184 (2012) 46–54, </w:t>
      </w:r>
      <w:r>
        <w:rPr/>
        <w:fldChar w:fldCharType="begin"/>
      </w:r>
      <w:r>
        <w:instrText xml:space="preserve"> HYPERLINK "https://doi.org/10.1016/j.cis.2012.%2008.002" </w:instrText>
      </w:r>
      <w:r>
        <w:rPr/>
        <w:fldChar w:fldCharType="separate"/>
      </w:r>
      <w:r>
        <w:rPr>
          <w:rStyle w:val="style85"/>
          <w:rFonts w:ascii="Times New Roman" w:cs="Times New Roman" w:hAnsi="Times New Roman"/>
          <w:sz w:val="24"/>
          <w:szCs w:val="24"/>
        </w:rPr>
        <w:t>https://doi.org/10.1016/j.cis.2012. 08.002</w:t>
      </w:r>
      <w:r>
        <w:rPr/>
        <w:fldChar w:fldCharType="end"/>
      </w:r>
      <w:r>
        <w:rPr>
          <w:rFonts w:ascii="Times New Roman" w:cs="Times New Roman" w:hAnsi="Times New Roman"/>
          <w:sz w:val="24"/>
          <w:szCs w:val="24"/>
        </w:rPr>
        <w:t>.</w:t>
      </w:r>
    </w:p>
    <w:p>
      <w:pPr>
        <w:pStyle w:val="style0"/>
        <w:jc w:val="both"/>
        <w:rPr>
          <w:rFonts w:ascii="Times New Roman" w:cs="Times New Roman" w:hAnsi="Times New Roman"/>
          <w:sz w:val="24"/>
          <w:szCs w:val="24"/>
        </w:rPr>
      </w:pPr>
      <w:r>
        <w:rPr>
          <w:rFonts w:ascii="Times New Roman" w:cs="Times New Roman" w:hAnsi="Times New Roman"/>
          <w:sz w:val="24"/>
          <w:szCs w:val="24"/>
        </w:rPr>
        <w:t xml:space="preserve">28. S. </w:t>
      </w:r>
      <w:r>
        <w:rPr>
          <w:rFonts w:ascii="Times New Roman" w:cs="Times New Roman" w:hAnsi="Times New Roman"/>
          <w:sz w:val="24"/>
          <w:szCs w:val="24"/>
        </w:rPr>
        <w:t>Somjid</w:t>
      </w:r>
      <w:r>
        <w:rPr>
          <w:rFonts w:ascii="Times New Roman" w:cs="Times New Roman" w:hAnsi="Times New Roman"/>
          <w:sz w:val="24"/>
          <w:szCs w:val="24"/>
        </w:rPr>
        <w:t xml:space="preserve">, S. </w:t>
      </w:r>
      <w:r>
        <w:rPr>
          <w:rFonts w:ascii="Times New Roman" w:cs="Times New Roman" w:hAnsi="Times New Roman"/>
          <w:sz w:val="24"/>
          <w:szCs w:val="24"/>
        </w:rPr>
        <w:t>Krongsuk</w:t>
      </w:r>
      <w:r>
        <w:rPr>
          <w:rFonts w:ascii="Times New Roman" w:cs="Times New Roman" w:hAnsi="Times New Roman"/>
          <w:sz w:val="24"/>
          <w:szCs w:val="24"/>
        </w:rPr>
        <w:t xml:space="preserve">, J.R. Johns, Cholesterol concentration effect on the </w:t>
      </w:r>
      <w:r>
        <w:rPr>
          <w:rFonts w:ascii="Times New Roman" w:cs="Times New Roman" w:hAnsi="Times New Roman"/>
          <w:sz w:val="24"/>
          <w:szCs w:val="24"/>
        </w:rPr>
        <w:t>bilayer</w:t>
      </w:r>
      <w:r>
        <w:rPr>
          <w:rFonts w:ascii="Times New Roman" w:cs="Times New Roman" w:hAnsi="Times New Roman"/>
          <w:sz w:val="24"/>
          <w:szCs w:val="24"/>
        </w:rPr>
        <w:t xml:space="preserve"> properties and phase formation of </w:t>
      </w:r>
      <w:r>
        <w:rPr>
          <w:rFonts w:ascii="Times New Roman" w:cs="Times New Roman" w:hAnsi="Times New Roman"/>
          <w:sz w:val="24"/>
          <w:szCs w:val="24"/>
        </w:rPr>
        <w:t>niosome</w:t>
      </w:r>
      <w:r>
        <w:rPr>
          <w:rFonts w:ascii="Times New Roman" w:cs="Times New Roman" w:hAnsi="Times New Roman"/>
          <w:sz w:val="24"/>
          <w:szCs w:val="24"/>
        </w:rPr>
        <w:t xml:space="preserve"> </w:t>
      </w:r>
      <w:r>
        <w:rPr>
          <w:rFonts w:ascii="Times New Roman" w:cs="Times New Roman" w:hAnsi="Times New Roman"/>
          <w:sz w:val="24"/>
          <w:szCs w:val="24"/>
        </w:rPr>
        <w:t>bilayers</w:t>
      </w:r>
      <w:r>
        <w:rPr>
          <w:rFonts w:ascii="Times New Roman" w:cs="Times New Roman" w:hAnsi="Times New Roman"/>
          <w:sz w:val="24"/>
          <w:szCs w:val="24"/>
        </w:rPr>
        <w:t xml:space="preserve">: a molecular dynamics simulation study, J. Mol. Liq. 256 (2018) 591–598, </w:t>
      </w:r>
      <w:r>
        <w:rPr/>
        <w:fldChar w:fldCharType="begin"/>
      </w:r>
      <w:r>
        <w:instrText xml:space="preserve"> HYPERLINK "https://doi.org/10.1016/j.molliq.%202018.02.077" </w:instrText>
      </w:r>
      <w:r>
        <w:rPr/>
        <w:fldChar w:fldCharType="separate"/>
      </w:r>
      <w:r>
        <w:rPr>
          <w:rStyle w:val="style85"/>
          <w:rFonts w:ascii="Times New Roman" w:cs="Times New Roman" w:hAnsi="Times New Roman"/>
          <w:sz w:val="24"/>
          <w:szCs w:val="24"/>
        </w:rPr>
        <w:t xml:space="preserve">https://doi.org/10.1016/j.molliq. </w:t>
      </w:r>
      <w:r>
        <w:rPr>
          <w:rStyle w:val="style85"/>
          <w:rFonts w:ascii="Times New Roman" w:cs="Times New Roman" w:hAnsi="Times New Roman"/>
          <w:sz w:val="24"/>
          <w:szCs w:val="24"/>
        </w:rPr>
        <w:t>2018.02.077</w:t>
      </w:r>
      <w:r>
        <w:rPr/>
        <w:fldChar w:fldCharType="end"/>
      </w:r>
      <w:r>
        <w:rPr>
          <w:rFonts w:ascii="Times New Roman" w:cs="Times New Roman" w:hAnsi="Times New Roman"/>
          <w:sz w:val="24"/>
          <w:szCs w:val="24"/>
        </w:rPr>
        <w:t>.</w:t>
      </w:r>
    </w:p>
    <w:p>
      <w:pPr>
        <w:pStyle w:val="style0"/>
        <w:jc w:val="both"/>
        <w:rPr>
          <w:rFonts w:ascii="Times New Roman" w:cs="Times New Roman" w:hAnsi="Times New Roman"/>
          <w:sz w:val="24"/>
          <w:szCs w:val="24"/>
        </w:rPr>
      </w:pPr>
      <w:r>
        <w:rPr>
          <w:rFonts w:ascii="Times New Roman" w:cs="Times New Roman" w:hAnsi="Times New Roman"/>
          <w:sz w:val="24"/>
          <w:szCs w:val="24"/>
        </w:rPr>
        <w:t xml:space="preserve">29. C. </w:t>
      </w:r>
      <w:r>
        <w:rPr>
          <w:rFonts w:ascii="Times New Roman" w:cs="Times New Roman" w:hAnsi="Times New Roman"/>
          <w:sz w:val="24"/>
          <w:szCs w:val="24"/>
        </w:rPr>
        <w:t>Vora</w:t>
      </w:r>
      <w:r>
        <w:rPr>
          <w:rFonts w:ascii="Times New Roman" w:cs="Times New Roman" w:hAnsi="Times New Roman"/>
          <w:sz w:val="24"/>
          <w:szCs w:val="24"/>
        </w:rPr>
        <w:t xml:space="preserve">, R. </w:t>
      </w:r>
      <w:r>
        <w:rPr>
          <w:rFonts w:ascii="Times New Roman" w:cs="Times New Roman" w:hAnsi="Times New Roman"/>
          <w:sz w:val="24"/>
          <w:szCs w:val="24"/>
        </w:rPr>
        <w:t>Patadia</w:t>
      </w:r>
      <w:r>
        <w:rPr>
          <w:rFonts w:ascii="Times New Roman" w:cs="Times New Roman" w:hAnsi="Times New Roman"/>
          <w:sz w:val="24"/>
          <w:szCs w:val="24"/>
        </w:rPr>
        <w:t xml:space="preserve">, K. </w:t>
      </w:r>
      <w:r>
        <w:rPr>
          <w:rFonts w:ascii="Times New Roman" w:cs="Times New Roman" w:hAnsi="Times New Roman"/>
          <w:sz w:val="24"/>
          <w:szCs w:val="24"/>
        </w:rPr>
        <w:t>Mittal</w:t>
      </w:r>
      <w:r>
        <w:rPr>
          <w:rFonts w:ascii="Times New Roman" w:cs="Times New Roman" w:hAnsi="Times New Roman"/>
          <w:sz w:val="24"/>
          <w:szCs w:val="24"/>
        </w:rPr>
        <w:t xml:space="preserve">, R. </w:t>
      </w:r>
      <w:r>
        <w:rPr>
          <w:rFonts w:ascii="Times New Roman" w:cs="Times New Roman" w:hAnsi="Times New Roman"/>
          <w:sz w:val="24"/>
          <w:szCs w:val="24"/>
        </w:rPr>
        <w:t>Mashru</w:t>
      </w:r>
      <w:r>
        <w:rPr>
          <w:rFonts w:ascii="Times New Roman" w:cs="Times New Roman" w:hAnsi="Times New Roman"/>
          <w:sz w:val="24"/>
          <w:szCs w:val="24"/>
        </w:rPr>
        <w:t xml:space="preserve">, </w:t>
      </w:r>
      <w:r>
        <w:rPr>
          <w:rFonts w:ascii="Times New Roman" w:cs="Times New Roman" w:hAnsi="Times New Roman"/>
          <w:sz w:val="24"/>
          <w:szCs w:val="24"/>
        </w:rPr>
        <w:t>Risk</w:t>
      </w:r>
      <w:r>
        <w:rPr>
          <w:rFonts w:ascii="Times New Roman" w:cs="Times New Roman" w:hAnsi="Times New Roman"/>
          <w:sz w:val="24"/>
          <w:szCs w:val="24"/>
        </w:rPr>
        <w:t xml:space="preserve"> based approach for design and optimization of stomach specific delivery of </w:t>
      </w:r>
      <w:r>
        <w:rPr>
          <w:rFonts w:ascii="Times New Roman" w:cs="Times New Roman" w:hAnsi="Times New Roman"/>
          <w:sz w:val="24"/>
          <w:szCs w:val="24"/>
        </w:rPr>
        <w:t>rifampicin</w:t>
      </w:r>
      <w:r>
        <w:rPr>
          <w:rFonts w:ascii="Times New Roman" w:cs="Times New Roman" w:hAnsi="Times New Roman"/>
          <w:sz w:val="24"/>
          <w:szCs w:val="24"/>
        </w:rPr>
        <w:t xml:space="preserve">, Int. J. Pharm. 455 (2013) 169–181, https://doi.org/10.1016/j.ijpharm.2013.07.043. </w:t>
      </w:r>
    </w:p>
    <w:p>
      <w:pPr>
        <w:pStyle w:val="style0"/>
        <w:jc w:val="both"/>
        <w:rPr>
          <w:rFonts w:ascii="Times New Roman" w:cs="Times New Roman" w:hAnsi="Times New Roman"/>
          <w:sz w:val="24"/>
          <w:szCs w:val="24"/>
        </w:rPr>
      </w:pPr>
      <w:r>
        <w:rPr>
          <w:rFonts w:ascii="Times New Roman" w:cs="Times New Roman" w:hAnsi="Times New Roman"/>
          <w:sz w:val="24"/>
          <w:szCs w:val="24"/>
        </w:rPr>
        <w:t xml:space="preserve">30. H.M. Owens, A.K. Dash, </w:t>
      </w:r>
      <w:r>
        <w:rPr>
          <w:rFonts w:ascii="Times New Roman" w:cs="Times New Roman" w:hAnsi="Times New Roman"/>
          <w:sz w:val="24"/>
          <w:szCs w:val="24"/>
        </w:rPr>
        <w:t>Ceftriaxone</w:t>
      </w:r>
      <w:r>
        <w:rPr>
          <w:rFonts w:ascii="Times New Roman" w:cs="Times New Roman" w:hAnsi="Times New Roman"/>
          <w:sz w:val="24"/>
          <w:szCs w:val="24"/>
        </w:rPr>
        <w:t xml:space="preserve"> sodium: comprehensive profile, Profiles Drug Subst. </w:t>
      </w:r>
      <w:r>
        <w:rPr>
          <w:rFonts w:ascii="Times New Roman" w:cs="Times New Roman" w:hAnsi="Times New Roman"/>
          <w:sz w:val="24"/>
          <w:szCs w:val="24"/>
        </w:rPr>
        <w:t>Excipients</w:t>
      </w:r>
      <w:r>
        <w:rPr>
          <w:rFonts w:ascii="Times New Roman" w:cs="Times New Roman" w:hAnsi="Times New Roman"/>
          <w:sz w:val="24"/>
          <w:szCs w:val="24"/>
        </w:rPr>
        <w:t xml:space="preserve"> </w:t>
      </w:r>
      <w:r>
        <w:rPr>
          <w:rFonts w:ascii="Times New Roman" w:cs="Times New Roman" w:hAnsi="Times New Roman"/>
          <w:sz w:val="24"/>
          <w:szCs w:val="24"/>
        </w:rPr>
        <w:t>Relat</w:t>
      </w:r>
      <w:r>
        <w:rPr>
          <w:rFonts w:ascii="Times New Roman" w:cs="Times New Roman" w:hAnsi="Times New Roman"/>
          <w:sz w:val="24"/>
          <w:szCs w:val="24"/>
        </w:rPr>
        <w:t xml:space="preserve">. </w:t>
      </w:r>
      <w:r>
        <w:rPr>
          <w:rFonts w:ascii="Times New Roman" w:cs="Times New Roman" w:hAnsi="Times New Roman"/>
          <w:sz w:val="24"/>
          <w:szCs w:val="24"/>
        </w:rPr>
        <w:t>Methodol</w:t>
      </w:r>
      <w:r>
        <w:rPr>
          <w:rFonts w:ascii="Times New Roman" w:cs="Times New Roman" w:hAnsi="Times New Roman"/>
          <w:sz w:val="24"/>
          <w:szCs w:val="24"/>
        </w:rPr>
        <w:t>, Elsevier, 2003, pp. 21–57</w:t>
      </w:r>
      <w:r>
        <w:rPr>
          <w:rFonts w:ascii="Times New Roman" w:cs="Times New Roman" w:hAnsi="Times New Roman"/>
          <w:sz w:val="24"/>
          <w:szCs w:val="24"/>
        </w:rPr>
        <w:t>, ,</w:t>
      </w:r>
      <w:r>
        <w:rPr>
          <w:rFonts w:ascii="Times New Roman" w:cs="Times New Roman" w:hAnsi="Times New Roman"/>
          <w:sz w:val="24"/>
          <w:szCs w:val="24"/>
        </w:rPr>
        <w:t xml:space="preserve"> https://doi.org/10. </w:t>
      </w:r>
      <w:r>
        <w:rPr>
          <w:rFonts w:ascii="Times New Roman" w:cs="Times New Roman" w:hAnsi="Times New Roman"/>
          <w:sz w:val="24"/>
          <w:szCs w:val="24"/>
        </w:rPr>
        <w:t>1016/S0099-5428(03)30002-4.</w:t>
      </w:r>
      <w:r>
        <w:rPr>
          <w:rFonts w:ascii="Times New Roman" w:cs="Times New Roman" w:hAnsi="Times New Roman"/>
          <w:sz w:val="24"/>
          <w:szCs w:val="24"/>
        </w:rPr>
        <w:t xml:space="preserve"> </w:t>
      </w:r>
    </w:p>
    <w:p>
      <w:pPr>
        <w:pStyle w:val="style0"/>
        <w:jc w:val="both"/>
        <w:rPr>
          <w:rFonts w:ascii="Times New Roman" w:cs="Times New Roman" w:hAnsi="Times New Roman"/>
          <w:sz w:val="24"/>
          <w:szCs w:val="24"/>
        </w:rPr>
      </w:pPr>
      <w:r>
        <w:rPr>
          <w:rFonts w:ascii="Times New Roman" w:cs="Times New Roman" w:hAnsi="Times New Roman"/>
          <w:sz w:val="24"/>
          <w:szCs w:val="24"/>
        </w:rPr>
        <w:t xml:space="preserve">31. F.-T. </w:t>
      </w:r>
      <w:r>
        <w:rPr>
          <w:rFonts w:ascii="Times New Roman" w:cs="Times New Roman" w:hAnsi="Times New Roman"/>
          <w:sz w:val="24"/>
          <w:szCs w:val="24"/>
        </w:rPr>
        <w:t>Li, D.-S.</w:t>
      </w:r>
      <w:r>
        <w:rPr>
          <w:rFonts w:ascii="Times New Roman" w:cs="Times New Roman" w:hAnsi="Times New Roman"/>
          <w:sz w:val="24"/>
          <w:szCs w:val="24"/>
        </w:rPr>
        <w:t xml:space="preserve"> </w:t>
      </w:r>
      <w:r>
        <w:rPr>
          <w:rFonts w:ascii="Times New Roman" w:cs="Times New Roman" w:hAnsi="Times New Roman"/>
          <w:sz w:val="24"/>
          <w:szCs w:val="24"/>
        </w:rPr>
        <w:t>Zhao, Q.-Z.</w:t>
      </w:r>
      <w:r>
        <w:rPr>
          <w:rFonts w:ascii="Times New Roman" w:cs="Times New Roman" w:hAnsi="Times New Roman"/>
          <w:sz w:val="24"/>
          <w:szCs w:val="24"/>
        </w:rPr>
        <w:t xml:space="preserve"> </w:t>
      </w:r>
      <w:r>
        <w:rPr>
          <w:rFonts w:ascii="Times New Roman" w:cs="Times New Roman" w:hAnsi="Times New Roman"/>
          <w:sz w:val="24"/>
          <w:szCs w:val="24"/>
        </w:rPr>
        <w:t>Luo</w:t>
      </w:r>
      <w:r>
        <w:rPr>
          <w:rFonts w:ascii="Times New Roman" w:cs="Times New Roman" w:hAnsi="Times New Roman"/>
          <w:sz w:val="24"/>
          <w:szCs w:val="24"/>
        </w:rPr>
        <w:t xml:space="preserve">, R.H. Liu, R. Yin, Research on surface-modification of Nano-TiO2 by span 60, J. Ceram. </w:t>
      </w:r>
      <w:r>
        <w:rPr>
          <w:rFonts w:ascii="Times New Roman" w:cs="Times New Roman" w:hAnsi="Times New Roman"/>
          <w:sz w:val="24"/>
          <w:szCs w:val="24"/>
        </w:rPr>
        <w:t>Process.</w:t>
      </w:r>
      <w:r>
        <w:rPr>
          <w:rFonts w:ascii="Times New Roman" w:cs="Times New Roman" w:hAnsi="Times New Roman"/>
          <w:sz w:val="24"/>
          <w:szCs w:val="24"/>
        </w:rPr>
        <w:t xml:space="preserve"> Res. 9 (2008) 398–400. </w:t>
      </w:r>
    </w:p>
    <w:p>
      <w:pPr>
        <w:pStyle w:val="style0"/>
        <w:jc w:val="both"/>
        <w:rPr>
          <w:rFonts w:ascii="Times New Roman" w:cs="Times New Roman" w:hAnsi="Times New Roman"/>
          <w:sz w:val="24"/>
          <w:szCs w:val="24"/>
        </w:rPr>
      </w:pPr>
      <w:r>
        <w:rPr>
          <w:rFonts w:ascii="Times New Roman" w:cs="Times New Roman" w:hAnsi="Times New Roman"/>
          <w:sz w:val="24"/>
          <w:szCs w:val="24"/>
        </w:rPr>
        <w:t xml:space="preserve">32. M.J. Newman, M. </w:t>
      </w:r>
      <w:r>
        <w:rPr>
          <w:rFonts w:ascii="Times New Roman" w:cs="Times New Roman" w:hAnsi="Times New Roman"/>
          <w:sz w:val="24"/>
          <w:szCs w:val="24"/>
        </w:rPr>
        <w:t>Balusubramanian</w:t>
      </w:r>
      <w:r>
        <w:rPr>
          <w:rFonts w:ascii="Times New Roman" w:cs="Times New Roman" w:hAnsi="Times New Roman"/>
          <w:sz w:val="24"/>
          <w:szCs w:val="24"/>
        </w:rPr>
        <w:t xml:space="preserve">, C.W. Todd, Development of adjuvant-active nonionic block copolymers, Adv. Drug </w:t>
      </w:r>
      <w:r>
        <w:rPr>
          <w:rFonts w:ascii="Times New Roman" w:cs="Times New Roman" w:hAnsi="Times New Roman"/>
          <w:sz w:val="24"/>
          <w:szCs w:val="24"/>
        </w:rPr>
        <w:t>Deliv</w:t>
      </w:r>
      <w:r>
        <w:rPr>
          <w:rFonts w:ascii="Times New Roman" w:cs="Times New Roman" w:hAnsi="Times New Roman"/>
          <w:sz w:val="24"/>
          <w:szCs w:val="24"/>
        </w:rPr>
        <w:t>. Rev. 32 (1998) 199–223, https://doi. org/10.1016/S0169-</w:t>
      </w:r>
      <w:r>
        <w:rPr>
          <w:rFonts w:ascii="Times New Roman" w:cs="Times New Roman" w:hAnsi="Times New Roman"/>
          <w:sz w:val="24"/>
          <w:szCs w:val="24"/>
        </w:rPr>
        <w:t>409X(</w:t>
      </w:r>
      <w:r>
        <w:rPr>
          <w:rFonts w:ascii="Times New Roman" w:cs="Times New Roman" w:hAnsi="Times New Roman"/>
          <w:sz w:val="24"/>
          <w:szCs w:val="24"/>
        </w:rPr>
        <w:t>98)00011-8.</w:t>
      </w:r>
    </w:p>
    <w:p>
      <w:pPr>
        <w:pStyle w:val="style0"/>
        <w:jc w:val="both"/>
        <w:rPr>
          <w:rFonts w:ascii="Times New Roman" w:cs="Times New Roman" w:hAnsi="Times New Roman"/>
          <w:sz w:val="24"/>
          <w:szCs w:val="24"/>
        </w:rPr>
      </w:pPr>
      <w:r>
        <w:rPr>
          <w:rFonts w:ascii="Times New Roman" w:cs="Times New Roman" w:hAnsi="Times New Roman"/>
          <w:sz w:val="24"/>
          <w:szCs w:val="24"/>
        </w:rPr>
        <w:t xml:space="preserve"> 33. M.I. Khan, A. </w:t>
      </w:r>
      <w:r>
        <w:rPr>
          <w:rFonts w:ascii="Times New Roman" w:cs="Times New Roman" w:hAnsi="Times New Roman"/>
          <w:sz w:val="24"/>
          <w:szCs w:val="24"/>
        </w:rPr>
        <w:t>Madni</w:t>
      </w:r>
      <w:r>
        <w:rPr>
          <w:rFonts w:ascii="Times New Roman" w:cs="Times New Roman" w:hAnsi="Times New Roman"/>
          <w:sz w:val="24"/>
          <w:szCs w:val="24"/>
        </w:rPr>
        <w:t xml:space="preserve">, S. Ahmad, M.A. </w:t>
      </w:r>
      <w:r>
        <w:rPr>
          <w:rFonts w:ascii="Times New Roman" w:cs="Times New Roman" w:hAnsi="Times New Roman"/>
          <w:sz w:val="24"/>
          <w:szCs w:val="24"/>
        </w:rPr>
        <w:t>Mahmood</w:t>
      </w:r>
      <w:r>
        <w:rPr>
          <w:rFonts w:ascii="Times New Roman" w:cs="Times New Roman" w:hAnsi="Times New Roman"/>
          <w:sz w:val="24"/>
          <w:szCs w:val="24"/>
        </w:rPr>
        <w:t xml:space="preserve">, M. </w:t>
      </w:r>
      <w:r>
        <w:rPr>
          <w:rFonts w:ascii="Times New Roman" w:cs="Times New Roman" w:hAnsi="Times New Roman"/>
          <w:sz w:val="24"/>
          <w:szCs w:val="24"/>
        </w:rPr>
        <w:t>Rehman</w:t>
      </w:r>
      <w:r>
        <w:rPr>
          <w:rFonts w:ascii="Times New Roman" w:cs="Times New Roman" w:hAnsi="Times New Roman"/>
          <w:sz w:val="24"/>
          <w:szCs w:val="24"/>
        </w:rPr>
        <w:t xml:space="preserve">, M. </w:t>
      </w:r>
      <w:r>
        <w:rPr>
          <w:rFonts w:ascii="Times New Roman" w:cs="Times New Roman" w:hAnsi="Times New Roman"/>
          <w:sz w:val="24"/>
          <w:szCs w:val="24"/>
        </w:rPr>
        <w:t>Ashfaq</w:t>
      </w:r>
      <w:r>
        <w:rPr>
          <w:rFonts w:ascii="Times New Roman" w:cs="Times New Roman" w:hAnsi="Times New Roman"/>
          <w:sz w:val="24"/>
          <w:szCs w:val="24"/>
        </w:rPr>
        <w:t xml:space="preserve">, Formulation design and characterization of a non-ionic surfactant based vesicular system for the sustained delivery of a new </w:t>
      </w:r>
      <w:r>
        <w:rPr>
          <w:rFonts w:ascii="Times New Roman" w:cs="Times New Roman" w:hAnsi="Times New Roman"/>
          <w:sz w:val="24"/>
          <w:szCs w:val="24"/>
        </w:rPr>
        <w:t>chondro</w:t>
      </w:r>
      <w:r>
        <w:rPr>
          <w:rFonts w:ascii="Times New Roman" w:cs="Times New Roman" w:hAnsi="Times New Roman"/>
          <w:sz w:val="24"/>
          <w:szCs w:val="24"/>
        </w:rPr>
        <w:t xml:space="preserve"> </w:t>
      </w:r>
      <w:r>
        <w:rPr>
          <w:rFonts w:ascii="Times New Roman" w:cs="Times New Roman" w:hAnsi="Times New Roman"/>
          <w:sz w:val="24"/>
          <w:szCs w:val="24"/>
        </w:rPr>
        <w:t xml:space="preserve">protective agent, Braz. J. Pharm. Sci. 51 (2015) 607–616, </w:t>
      </w:r>
      <w:r>
        <w:rPr/>
        <w:fldChar w:fldCharType="begin"/>
      </w:r>
      <w:r>
        <w:instrText xml:space="preserve"> HYPERLINK "https://doi.org/10.1590/S1984-82502015000300012" </w:instrText>
      </w:r>
      <w:r>
        <w:rPr/>
        <w:fldChar w:fldCharType="separate"/>
      </w:r>
      <w:r>
        <w:rPr>
          <w:rStyle w:val="style85"/>
          <w:rFonts w:ascii="Times New Roman" w:cs="Times New Roman" w:hAnsi="Times New Roman"/>
          <w:sz w:val="24"/>
          <w:szCs w:val="24"/>
        </w:rPr>
        <w:t>https://doi.org/10.1590/S1984-82502015000300012</w:t>
      </w:r>
      <w:r>
        <w:rPr/>
        <w:fldChar w:fldCharType="end"/>
      </w:r>
      <w:r>
        <w:rPr>
          <w:rFonts w:ascii="Times New Roman" w:cs="Times New Roman" w:hAnsi="Times New Roman"/>
          <w:sz w:val="24"/>
          <w:szCs w:val="24"/>
        </w:rPr>
        <w:t xml:space="preserve">. </w:t>
      </w:r>
    </w:p>
    <w:p>
      <w:pPr>
        <w:pStyle w:val="style0"/>
        <w:jc w:val="both"/>
        <w:rPr>
          <w:rFonts w:ascii="Times New Roman" w:cs="Times New Roman" w:hAnsi="Times New Roman"/>
          <w:sz w:val="24"/>
          <w:szCs w:val="24"/>
        </w:rPr>
      </w:pPr>
      <w:r>
        <w:rPr>
          <w:rFonts w:ascii="Times New Roman" w:cs="Times New Roman" w:hAnsi="Times New Roman"/>
          <w:sz w:val="24"/>
          <w:szCs w:val="24"/>
        </w:rPr>
        <w:t xml:space="preserve">34. B. </w:t>
      </w:r>
      <w:r>
        <w:rPr>
          <w:rFonts w:ascii="Times New Roman" w:cs="Times New Roman" w:hAnsi="Times New Roman"/>
          <w:sz w:val="24"/>
          <w:szCs w:val="24"/>
        </w:rPr>
        <w:t>Nasseri</w:t>
      </w:r>
      <w:r>
        <w:rPr>
          <w:rFonts w:ascii="Times New Roman" w:cs="Times New Roman" w:hAnsi="Times New Roman"/>
          <w:sz w:val="24"/>
          <w:szCs w:val="24"/>
        </w:rPr>
        <w:t xml:space="preserve">, Effect of cholesterol and temperature on the elastic properties of </w:t>
      </w:r>
      <w:r>
        <w:rPr>
          <w:rFonts w:ascii="Times New Roman" w:cs="Times New Roman" w:hAnsi="Times New Roman"/>
          <w:sz w:val="24"/>
          <w:szCs w:val="24"/>
        </w:rPr>
        <w:t>niosomal</w:t>
      </w:r>
      <w:r>
        <w:rPr>
          <w:rFonts w:ascii="Times New Roman" w:cs="Times New Roman" w:hAnsi="Times New Roman"/>
          <w:sz w:val="24"/>
          <w:szCs w:val="24"/>
        </w:rPr>
        <w:t xml:space="preserve"> membranes, Int. J. Phar. 300 (2005) 95–101, https</w:t>
      </w:r>
      <w:r>
        <w:rPr>
          <w:rFonts w:ascii="Times New Roman" w:cs="Times New Roman" w:hAnsi="Times New Roman"/>
          <w:sz w:val="24"/>
          <w:szCs w:val="24"/>
        </w:rPr>
        <w:t>:/</w:t>
      </w:r>
      <w:r>
        <w:rPr>
          <w:rFonts w:ascii="Times New Roman" w:cs="Times New Roman" w:hAnsi="Times New Roman"/>
          <w:sz w:val="24"/>
          <w:szCs w:val="24"/>
        </w:rPr>
        <w:t>/doi.org/10.1016/j. ijpharm.2005.05.009.</w:t>
      </w: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66"/>
        <w:spacing w:lineRule="auto" w:line="360"/>
        <w:ind w:right="730"/>
        <w:rPr/>
      </w:pPr>
    </w:p>
    <w:p>
      <w:pPr>
        <w:pStyle w:val="style0"/>
        <w:rPr>
          <w:rFonts w:ascii="Times New Roman" w:cs="Times New Roman" w:hAnsi="Times New Roman"/>
          <w:sz w:val="24"/>
          <w:szCs w:val="24"/>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4002EFF" w:usb1="C000247B" w:usb2="00000009" w:usb3="00000000" w:csb0="000001FF" w:csb1="00000000"/>
  </w:font>
  <w:font w:name="Times New Roman">
    <w:altName w:val="Times New Roman"/>
    <w:panose1 w:val="02020603050004020304"/>
    <w:charset w:val="00"/>
    <w:family w:val="roman"/>
    <w:pitch w:val="variable"/>
    <w:sig w:usb0="E0002EFF" w:usb1="C000785B" w:usb2="00000009" w:usb3="00000000" w:csb0="000001FF" w:csb1="00000000"/>
  </w:font>
  <w:font w:name="Tahoma">
    <w:altName w:val="Tahoma"/>
    <w:panose1 w:val="020b0604030005040204"/>
    <w:charset w:val="00"/>
    <w:family w:val="swiss"/>
    <w:pitch w:val="variable"/>
    <w:sig w:usb0="E1002EFF" w:usb1="C000605B" w:usb2="00000029" w:usb3="00000000" w:csb0="000101FF" w:csb1="00000000"/>
  </w:font>
  <w:font w:name="Cambria">
    <w:altName w:val="Cambria"/>
    <w:panose1 w:val="02040503050004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20"/>
  <w:doNotDisplayPageBoundaries/>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m:mathPr>
    <m:mathFont m:val="Cambria Math"/>
    <m:brkBin m:val="before"/>
    <m:brkBinSub m:val="--"/>
    <m:smallFrac m:val="1"/>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6">
    <w:name w:val="Body Text"/>
    <w:basedOn w:val="style0"/>
    <w:next w:val="style66"/>
    <w:link w:val="style4097"/>
    <w:qFormat/>
    <w:uiPriority w:val="1"/>
    <w:pPr>
      <w:widowControl w:val="false"/>
      <w:autoSpaceDE w:val="false"/>
      <w:autoSpaceDN w:val="false"/>
      <w:spacing w:after="0" w:lineRule="auto" w:line="240"/>
    </w:pPr>
    <w:rPr>
      <w:rFonts w:ascii="Times New Roman" w:cs="Times New Roman" w:eastAsia="Times New Roman" w:hAnsi="Times New Roman"/>
      <w:sz w:val="24"/>
      <w:szCs w:val="24"/>
    </w:rPr>
  </w:style>
  <w:style w:type="character" w:customStyle="1" w:styleId="style4097">
    <w:name w:val="Body Text Char"/>
    <w:basedOn w:val="style65"/>
    <w:next w:val="style4097"/>
    <w:link w:val="style66"/>
    <w:uiPriority w:val="1"/>
    <w:rPr>
      <w:rFonts w:ascii="Times New Roman" w:cs="Times New Roman" w:eastAsia="Times New Roman" w:hAnsi="Times New Roman"/>
      <w:sz w:val="24"/>
      <w:szCs w:val="24"/>
    </w:rPr>
  </w:style>
  <w:style w:type="table" w:styleId="style154">
    <w:name w:val="Table Grid"/>
    <w:basedOn w:val="style105"/>
    <w:next w:val="style154"/>
    <w:uiPriority w:val="59"/>
    <w:pPr>
      <w:widowControl w:val="false"/>
      <w:autoSpaceDE w:val="false"/>
      <w:autoSpaceDN w:val="false"/>
      <w:spacing w:after="0" w:lineRule="auto" w:line="240"/>
    </w:pP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cPr>
      <w:tcBorders/>
    </w:tcPr>
  </w:style>
  <w:style w:type="paragraph" w:customStyle="1" w:styleId="style4098">
    <w:name w:val="Table Paragraph"/>
    <w:basedOn w:val="style0"/>
    <w:next w:val="style4098"/>
    <w:qFormat/>
    <w:uiPriority w:val="1"/>
    <w:pPr>
      <w:widowControl w:val="false"/>
      <w:autoSpaceDE w:val="false"/>
      <w:autoSpaceDN w:val="false"/>
      <w:spacing w:before="107" w:after="0" w:lineRule="auto" w:line="240"/>
      <w:ind w:left="112"/>
      <w:jc w:val="center"/>
    </w:pPr>
    <w:rPr>
      <w:rFonts w:ascii="Times New Roman" w:cs="Times New Roman" w:eastAsia="Times New Roman" w:hAnsi="Times New Roman"/>
    </w:rPr>
  </w:style>
  <w:style w:type="character" w:styleId="style85">
    <w:name w:val="Hyperlink"/>
    <w:basedOn w:val="style65"/>
    <w:next w:val="style85"/>
    <w:uiPriority w:val="99"/>
    <w:rPr>
      <w:color w:val="0000ff"/>
      <w:u w:val="single"/>
    </w:rPr>
  </w:style>
  <w:style w:type="paragraph" w:styleId="style153">
    <w:name w:val="Balloon Text"/>
    <w:basedOn w:val="style0"/>
    <w:next w:val="style153"/>
    <w:link w:val="style4099"/>
    <w:uiPriority w:val="99"/>
    <w:pPr>
      <w:spacing w:after="0" w:lineRule="auto" w:line="240"/>
    </w:pPr>
    <w:rPr>
      <w:rFonts w:ascii="Tahoma" w:cs="Tahoma" w:hAnsi="Tahoma"/>
      <w:sz w:val="16"/>
      <w:szCs w:val="16"/>
    </w:rPr>
  </w:style>
  <w:style w:type="character" w:customStyle="1" w:styleId="style4099">
    <w:name w:val="Balloon Text Char"/>
    <w:basedOn w:val="style65"/>
    <w:next w:val="style4099"/>
    <w:link w:val="style153"/>
    <w:uiPriority w:val="99"/>
    <w:rPr>
      <w:rFonts w:ascii="Tahoma" w:cs="Tahoma" w:hAnsi="Tahoma"/>
      <w:sz w:val="16"/>
      <w:szCs w:val="16"/>
    </w:rPr>
  </w:style>
  <w:style w:type="paragraph" w:styleId="style157">
    <w:name w:val="No Spacing"/>
    <w:next w:val="style157"/>
    <w:qFormat/>
    <w:uiPriority w:val="1"/>
    <w:pPr>
      <w:spacing w:after="0" w:lineRule="auto" w:line="240"/>
    </w:pPr>
    <w:rPr/>
  </w:style>
</w:styles>
</file>

<file path=word/_rels/document.xml.rels><?xml version="1.0" encoding="UTF-8"?>
<Relationships xmlns="http://schemas.openxmlformats.org/package/2006/relationships"><Relationship Id="rId11" Type="http://schemas.openxmlformats.org/officeDocument/2006/relationships/package" Target="embeddings/Microsoft_PowerPoint_Slide2.sldx"/><Relationship Id="rId10" Type="http://schemas.openxmlformats.org/officeDocument/2006/relationships/image" Target="media/image8.emf"/><Relationship Id="rId13" Type="http://schemas.openxmlformats.org/officeDocument/2006/relationships/chart" Target="charts/chart2.xml"/><Relationship Id="rId12" Type="http://schemas.openxmlformats.org/officeDocument/2006/relationships/chart" Target="charts/chart1.xml"/><Relationship Id="rId1" Type="http://schemas.openxmlformats.org/officeDocument/2006/relationships/numbering" Target="numbering.xml"/><Relationship Id="rId2" Type="http://schemas.openxmlformats.org/officeDocument/2006/relationships/image" Target="media/image1.emf"/><Relationship Id="rId3" Type="http://schemas.openxmlformats.org/officeDocument/2006/relationships/image" Target="media/image2.emf"/><Relationship Id="rId4" Type="http://schemas.openxmlformats.org/officeDocument/2006/relationships/image" Target="media/image3.emf"/><Relationship Id="rId9" Type="http://schemas.openxmlformats.org/officeDocument/2006/relationships/package" Target="embeddings/Microsoft_PowerPoint_Slide1.sldx"/><Relationship Id="rId15" Type="http://schemas.openxmlformats.org/officeDocument/2006/relationships/styles" Target="styles.xml"/><Relationship Id="rId14" Type="http://schemas.openxmlformats.org/officeDocument/2006/relationships/chart" Target="charts/chart3.xml"/><Relationship Id="rId17" Type="http://schemas.openxmlformats.org/officeDocument/2006/relationships/settings" Target="settings.xml"/><Relationship Id="rId16" Type="http://schemas.openxmlformats.org/officeDocument/2006/relationships/fontTable" Target="fontTable.xml"/><Relationship Id="rId5" Type="http://schemas.openxmlformats.org/officeDocument/2006/relationships/image" Target="media/image4.emf"/><Relationship Id="rId6" Type="http://schemas.openxmlformats.org/officeDocument/2006/relationships/image" Target="media/image5.emf"/><Relationship Id="rId18" Type="http://schemas.openxmlformats.org/officeDocument/2006/relationships/theme" Target="theme/theme1.xml"/><Relationship Id="rId7" Type="http://schemas.openxmlformats.org/officeDocument/2006/relationships/image" Target="media/image6.emf"/><Relationship Id="rId8" Type="http://schemas.openxmlformats.org/officeDocument/2006/relationships/image" Target="media/image7.emf"/></Relationships>
</file>

<file path=word/charts/_rels/chart1.xml.rels><?xml version="1.0" encoding="UTF-8"?>
<Relationships xmlns="http://schemas.openxmlformats.org/package/2006/relationships"><Relationship Id="rId1" Type="http://schemas.openxmlformats.org/officeDocument/2006/relationships/oleObject" TargetMode="External" Target="file:/J:/Error%20and%20bars.xlsx"/></Relationships>
</file>

<file path=word/charts/_rels/chart2.xml.rels><?xml version="1.0" encoding="UTF-8"?>
<Relationships xmlns="http://schemas.openxmlformats.org/package/2006/relationships"><Relationship Id="rId1" Type="http://schemas.openxmlformats.org/officeDocument/2006/relationships/oleObject" TargetMode="External" Target="file:/J:/Error%20and%20bars.xlsx"/></Relationships>
</file>

<file path=word/charts/_rels/chart3.xml.rels><?xml version="1.0" encoding="UTF-8"?>
<Relationships xmlns="http://schemas.openxmlformats.org/package/2006/relationships"><Relationship Id="rId1" Type="http://schemas.openxmlformats.org/officeDocument/2006/relationships/oleObject" TargetMode="External" Target="file:/J:/Ex%20Vivo.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Sheet3!$E$4</c:f>
              <c:strCache>
                <c:ptCount val="1"/>
                <c:pt idx="0">
                  <c:v>%CR1</c:v>
                </c:pt>
              </c:strCache>
            </c:strRef>
          </c:tx>
          <c:errBars>
            <c:errDir val="y"/>
            <c:errBarType val="both"/>
            <c:errValType val="stdErr"/>
            <c:noEndCap val="0"/>
          </c:errBars>
          <c:xVal>
            <c:numRef>
              <c:f>Sheet3!$D$5:$D$12</c:f>
              <c:numCache>
                <c:formatCode>General</c:formatCode>
                <c:ptCount val="8"/>
                <c:pt idx="0">
                  <c:v>0.0</c:v>
                </c:pt>
                <c:pt idx="1">
                  <c:v>0.5</c:v>
                </c:pt>
                <c:pt idx="2">
                  <c:v>1.0</c:v>
                </c:pt>
                <c:pt idx="3">
                  <c:v>2.0</c:v>
                </c:pt>
                <c:pt idx="4">
                  <c:v>3.0</c:v>
                </c:pt>
                <c:pt idx="5">
                  <c:v>4.0</c:v>
                </c:pt>
                <c:pt idx="6">
                  <c:v>5.0</c:v>
                </c:pt>
                <c:pt idx="7">
                  <c:v>6.0</c:v>
                </c:pt>
              </c:numCache>
            </c:numRef>
          </c:xVal>
          <c:yVal>
            <c:numRef>
              <c:f>Sheet3!$E$5:$E$12</c:f>
              <c:numCache>
                <c:formatCode>General</c:formatCode>
                <c:ptCount val="8"/>
                <c:pt idx="0">
                  <c:v>0.0</c:v>
                </c:pt>
                <c:pt idx="1">
                  <c:v>8.41806020066890</c:v>
                </c:pt>
                <c:pt idx="2">
                  <c:v>18.5284280936455</c:v>
                </c:pt>
                <c:pt idx="3">
                  <c:v>25.6688963210702</c:v>
                </c:pt>
                <c:pt idx="4">
                  <c:v>37.6822742474916</c:v>
                </c:pt>
                <c:pt idx="5">
                  <c:v>51.1204013377926</c:v>
                </c:pt>
                <c:pt idx="6">
                  <c:v>59.7826086956521</c:v>
                </c:pt>
                <c:pt idx="7">
                  <c:v>89.7157190635452</c:v>
                </c:pt>
              </c:numCache>
            </c:numRef>
          </c:yVal>
          <c:smooth val="1"/>
        </c:ser>
        <c:ser>
          <c:idx val="1"/>
          <c:order val="1"/>
          <c:tx>
            <c:strRef>
              <c:f>Sheet3!$F$4</c:f>
              <c:strCache>
                <c:ptCount val="1"/>
                <c:pt idx="0">
                  <c:v>%CR2</c:v>
                </c:pt>
              </c:strCache>
            </c:strRef>
          </c:tx>
          <c:errBars>
            <c:errDir val="y"/>
            <c:errBarType val="both"/>
            <c:errValType val="stdErr"/>
            <c:noEndCap val="0"/>
          </c:errBars>
          <c:xVal>
            <c:numRef>
              <c:f>Sheet3!$D$5:$D$12</c:f>
              <c:numCache>
                <c:formatCode>General</c:formatCode>
                <c:ptCount val="8"/>
                <c:pt idx="0">
                  <c:v>0.0</c:v>
                </c:pt>
                <c:pt idx="1">
                  <c:v>0.5</c:v>
                </c:pt>
                <c:pt idx="2">
                  <c:v>1.0</c:v>
                </c:pt>
                <c:pt idx="3">
                  <c:v>2.0</c:v>
                </c:pt>
                <c:pt idx="4">
                  <c:v>3.0</c:v>
                </c:pt>
                <c:pt idx="5">
                  <c:v>4.0</c:v>
                </c:pt>
                <c:pt idx="6">
                  <c:v>5.0</c:v>
                </c:pt>
                <c:pt idx="7">
                  <c:v>6.0</c:v>
                </c:pt>
              </c:numCache>
            </c:numRef>
          </c:xVal>
          <c:yVal>
            <c:numRef>
              <c:f>Sheet3!$F$5:$F$12</c:f>
              <c:numCache>
                <c:formatCode>General</c:formatCode>
                <c:ptCount val="8"/>
                <c:pt idx="0">
                  <c:v>0.0</c:v>
                </c:pt>
                <c:pt idx="1">
                  <c:v>8.23076923076924</c:v>
                </c:pt>
                <c:pt idx="2">
                  <c:v>19.3060200668896</c:v>
                </c:pt>
                <c:pt idx="3">
                  <c:v>27.1688963210702</c:v>
                </c:pt>
                <c:pt idx="4">
                  <c:v>42.1973244147157</c:v>
                </c:pt>
                <c:pt idx="5">
                  <c:v>56.2374581939800</c:v>
                </c:pt>
                <c:pt idx="6">
                  <c:v>61.9397993311037</c:v>
                </c:pt>
                <c:pt idx="7">
                  <c:v>87.7257525083611</c:v>
                </c:pt>
              </c:numCache>
            </c:numRef>
          </c:yVal>
          <c:smooth val="1"/>
        </c:ser>
        <c:ser>
          <c:idx val="2"/>
          <c:order val="2"/>
          <c:tx>
            <c:strRef>
              <c:f>Sheet3!$G$4</c:f>
              <c:strCache>
                <c:ptCount val="1"/>
                <c:pt idx="0">
                  <c:v>%CR3</c:v>
                </c:pt>
              </c:strCache>
            </c:strRef>
          </c:tx>
          <c:errBars>
            <c:errDir val="y"/>
            <c:errBarType val="both"/>
            <c:errValType val="stdErr"/>
            <c:noEndCap val="0"/>
          </c:errBars>
          <c:xVal>
            <c:numRef>
              <c:f>Sheet3!$D$5:$D$12</c:f>
              <c:numCache>
                <c:formatCode>General</c:formatCode>
                <c:ptCount val="8"/>
                <c:pt idx="0">
                  <c:v>0.0</c:v>
                </c:pt>
                <c:pt idx="1">
                  <c:v>0.5</c:v>
                </c:pt>
                <c:pt idx="2">
                  <c:v>1.0</c:v>
                </c:pt>
                <c:pt idx="3">
                  <c:v>2.0</c:v>
                </c:pt>
                <c:pt idx="4">
                  <c:v>3.0</c:v>
                </c:pt>
                <c:pt idx="5">
                  <c:v>4.0</c:v>
                </c:pt>
                <c:pt idx="6">
                  <c:v>5.0</c:v>
                </c:pt>
                <c:pt idx="7">
                  <c:v>6.0</c:v>
                </c:pt>
              </c:numCache>
            </c:numRef>
          </c:xVal>
          <c:yVal>
            <c:numRef>
              <c:f>Sheet3!$G$5:$G$12</c:f>
              <c:numCache>
                <c:formatCode>General</c:formatCode>
                <c:ptCount val="8"/>
                <c:pt idx="0">
                  <c:v>0.0</c:v>
                </c:pt>
                <c:pt idx="1">
                  <c:v>8.43478260869565</c:v>
                </c:pt>
                <c:pt idx="2">
                  <c:v>18.5451505016722</c:v>
                </c:pt>
                <c:pt idx="3">
                  <c:v>25.6521739130435</c:v>
                </c:pt>
                <c:pt idx="4">
                  <c:v>37.8327759197324</c:v>
                </c:pt>
                <c:pt idx="5">
                  <c:v>52.9598662207358</c:v>
                </c:pt>
                <c:pt idx="6">
                  <c:v>61.7892976588628</c:v>
                </c:pt>
                <c:pt idx="7">
                  <c:v>85.0167224080268</c:v>
                </c:pt>
              </c:numCache>
            </c:numRef>
          </c:yVal>
          <c:smooth val="1"/>
        </c:ser>
        <c:ser>
          <c:idx val="3"/>
          <c:order val="3"/>
          <c:tx>
            <c:strRef>
              <c:f>Sheet3!$H$4</c:f>
              <c:strCache>
                <c:ptCount val="1"/>
                <c:pt idx="0">
                  <c:v>%CR4</c:v>
                </c:pt>
              </c:strCache>
            </c:strRef>
          </c:tx>
          <c:errBars>
            <c:errDir val="y"/>
            <c:errBarType val="both"/>
            <c:errValType val="stdErr"/>
            <c:noEndCap val="0"/>
          </c:errBars>
          <c:xVal>
            <c:numRef>
              <c:f>Sheet3!$D$5:$D$12</c:f>
              <c:numCache>
                <c:formatCode>General</c:formatCode>
                <c:ptCount val="8"/>
                <c:pt idx="0">
                  <c:v>0.0</c:v>
                </c:pt>
                <c:pt idx="1">
                  <c:v>0.5</c:v>
                </c:pt>
                <c:pt idx="2">
                  <c:v>1.0</c:v>
                </c:pt>
                <c:pt idx="3">
                  <c:v>2.0</c:v>
                </c:pt>
                <c:pt idx="4">
                  <c:v>3.0</c:v>
                </c:pt>
                <c:pt idx="5">
                  <c:v>4.0</c:v>
                </c:pt>
                <c:pt idx="6">
                  <c:v>5.0</c:v>
                </c:pt>
                <c:pt idx="7">
                  <c:v>6.0</c:v>
                </c:pt>
              </c:numCache>
            </c:numRef>
          </c:xVal>
          <c:yVal>
            <c:numRef>
              <c:f>Sheet3!$H$5:$H$12</c:f>
              <c:numCache>
                <c:formatCode>General</c:formatCode>
                <c:ptCount val="8"/>
                <c:pt idx="0">
                  <c:v>0.0</c:v>
                </c:pt>
                <c:pt idx="1">
                  <c:v>8.20066889632107</c:v>
                </c:pt>
                <c:pt idx="2">
                  <c:v>18.0903010033445</c:v>
                </c:pt>
                <c:pt idx="3">
                  <c:v>25.1137123745819</c:v>
                </c:pt>
                <c:pt idx="4">
                  <c:v>37.8494983277592</c:v>
                </c:pt>
                <c:pt idx="5">
                  <c:v>51.6387959866221</c:v>
                </c:pt>
                <c:pt idx="6">
                  <c:v>60.4013377926421</c:v>
                </c:pt>
                <c:pt idx="7">
                  <c:v>91.0367892976588</c:v>
                </c:pt>
              </c:numCache>
            </c:numRef>
          </c:yVal>
          <c:smooth val="1"/>
        </c:ser>
        <c:ser>
          <c:idx val="4"/>
          <c:order val="4"/>
          <c:tx>
            <c:strRef>
              <c:f>Sheet3!$I$4</c:f>
              <c:strCache>
                <c:ptCount val="1"/>
                <c:pt idx="0">
                  <c:v>%CR5</c:v>
                </c:pt>
              </c:strCache>
            </c:strRef>
          </c:tx>
          <c:errBars>
            <c:errDir val="y"/>
            <c:errBarType val="both"/>
            <c:errValType val="stdErr"/>
            <c:noEndCap val="0"/>
          </c:errBars>
          <c:xVal>
            <c:numRef>
              <c:f>Sheet3!$D$5:$D$12</c:f>
              <c:numCache>
                <c:formatCode>General</c:formatCode>
                <c:ptCount val="8"/>
                <c:pt idx="0">
                  <c:v>0.0</c:v>
                </c:pt>
                <c:pt idx="1">
                  <c:v>0.5</c:v>
                </c:pt>
                <c:pt idx="2">
                  <c:v>1.0</c:v>
                </c:pt>
                <c:pt idx="3">
                  <c:v>2.0</c:v>
                </c:pt>
                <c:pt idx="4">
                  <c:v>3.0</c:v>
                </c:pt>
                <c:pt idx="5">
                  <c:v>4.0</c:v>
                </c:pt>
                <c:pt idx="6">
                  <c:v>5.0</c:v>
                </c:pt>
                <c:pt idx="7">
                  <c:v>6.0</c:v>
                </c:pt>
              </c:numCache>
            </c:numRef>
          </c:xVal>
          <c:yVal>
            <c:numRef>
              <c:f>Sheet3!$I$5:$I$12</c:f>
              <c:numCache>
                <c:formatCode>General</c:formatCode>
                <c:ptCount val="8"/>
                <c:pt idx="0">
                  <c:v>0.0</c:v>
                </c:pt>
                <c:pt idx="1">
                  <c:v>8.20066889632107</c:v>
                </c:pt>
                <c:pt idx="2">
                  <c:v>18.1270903010033</c:v>
                </c:pt>
                <c:pt idx="3">
                  <c:v>25.3160535117057</c:v>
                </c:pt>
                <c:pt idx="4">
                  <c:v>36.0083612040134</c:v>
                </c:pt>
                <c:pt idx="5">
                  <c:v>49.2809364548495</c:v>
                </c:pt>
                <c:pt idx="6">
                  <c:v>58.7625418060201</c:v>
                </c:pt>
                <c:pt idx="7">
                  <c:v>90.7190635451506</c:v>
                </c:pt>
              </c:numCache>
            </c:numRef>
          </c:yVal>
          <c:smooth val="1"/>
        </c:ser>
        <c:dLbls>
          <c:showLegendKey val="0"/>
          <c:showVal val="0"/>
          <c:showCatName val="0"/>
          <c:showSerName val="0"/>
          <c:showPercent val="0"/>
          <c:showBubbleSize val="0"/>
        </c:dLbls>
        <c:axId val="49239936"/>
        <c:axId val="49241472"/>
      </c:scatterChart>
      <c:valAx>
        <c:axId val="49239936"/>
        <c:scaling>
          <c:orientation val="minMax"/>
        </c:scaling>
        <c:delete val="0"/>
        <c:axPos val="b"/>
        <c:numFmt formatCode="General" sourceLinked="1"/>
        <c:majorTickMark val="out"/>
        <c:minorTickMark val="none"/>
        <c:tickLblPos val="nextTo"/>
        <c:crossAx val="49241472"/>
        <c:crosses val="autoZero"/>
        <c:crossBetween val="midCat"/>
      </c:valAx>
      <c:valAx>
        <c:axId val="49241472"/>
        <c:scaling>
          <c:orientation val="minMax"/>
        </c:scaling>
        <c:delete val="0"/>
        <c:axPos val="l"/>
        <c:majorGridlines/>
        <c:numFmt formatCode="General" sourceLinked="1"/>
        <c:majorTickMark val="out"/>
        <c:minorTickMark val="none"/>
        <c:tickLblPos val="nextTo"/>
        <c:crossAx val="49239936"/>
        <c:crosses val="autoZero"/>
        <c:crossBetween val="midCat"/>
      </c:valAx>
    </c:plotArea>
    <c:legend>
      <c:legendPos val="r"/>
      <c:overlay val="0"/>
    </c:legend>
    <c:plotVisOnly val="1"/>
    <c:dispBlanksAs val="gap"/>
    <c:showDLblsOverMax val="0"/>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Sheet3!$H$15</c:f>
              <c:strCache>
                <c:ptCount val="1"/>
                <c:pt idx="0">
                  <c:v>%CR10</c:v>
                </c:pt>
              </c:strCache>
            </c:strRef>
          </c:tx>
          <c:errBars>
            <c:errDir val="y"/>
            <c:errBarType val="both"/>
            <c:errValType val="stdErr"/>
            <c:noEndCap val="0"/>
          </c:errBars>
          <c:xVal>
            <c:numRef>
              <c:f>Sheet3!$G$16:$G$23</c:f>
              <c:numCache>
                <c:formatCode>General</c:formatCode>
                <c:ptCount val="8"/>
                <c:pt idx="0">
                  <c:v>0.0</c:v>
                </c:pt>
                <c:pt idx="1">
                  <c:v>0.5</c:v>
                </c:pt>
                <c:pt idx="2">
                  <c:v>1.0</c:v>
                </c:pt>
                <c:pt idx="3">
                  <c:v>2.0</c:v>
                </c:pt>
                <c:pt idx="4">
                  <c:v>3.0</c:v>
                </c:pt>
                <c:pt idx="5">
                  <c:v>4.0</c:v>
                </c:pt>
                <c:pt idx="6">
                  <c:v>5.0</c:v>
                </c:pt>
                <c:pt idx="7">
                  <c:v>6.0</c:v>
                </c:pt>
              </c:numCache>
            </c:numRef>
          </c:xVal>
          <c:yVal>
            <c:numRef>
              <c:f>Sheet3!$H$16:$H$23</c:f>
              <c:numCache>
                <c:formatCode>General</c:formatCode>
                <c:ptCount val="8"/>
                <c:pt idx="0">
                  <c:v>0.0</c:v>
                </c:pt>
                <c:pt idx="1">
                  <c:v>8.07525083612041</c:v>
                </c:pt>
                <c:pt idx="2">
                  <c:v>17.9515050167224</c:v>
                </c:pt>
                <c:pt idx="3">
                  <c:v>25.1254180602007</c:v>
                </c:pt>
                <c:pt idx="4">
                  <c:v>33.8612040133779</c:v>
                </c:pt>
                <c:pt idx="5">
                  <c:v>47.5585284280936</c:v>
                </c:pt>
                <c:pt idx="6">
                  <c:v>61.0702341137123</c:v>
                </c:pt>
                <c:pt idx="7">
                  <c:v>88.7123745819398</c:v>
                </c:pt>
              </c:numCache>
            </c:numRef>
          </c:yVal>
          <c:smooth val="1"/>
        </c:ser>
        <c:ser>
          <c:idx val="1"/>
          <c:order val="1"/>
          <c:tx>
            <c:strRef>
              <c:f>Sheet3!$I$15</c:f>
              <c:strCache>
                <c:ptCount val="1"/>
                <c:pt idx="0">
                  <c:v>%CR11</c:v>
                </c:pt>
              </c:strCache>
            </c:strRef>
          </c:tx>
          <c:errBars>
            <c:errDir val="y"/>
            <c:errBarType val="both"/>
            <c:errValType val="stdErr"/>
            <c:noEndCap val="0"/>
          </c:errBars>
          <c:xVal>
            <c:numRef>
              <c:f>Sheet3!$G$16:$G$23</c:f>
              <c:numCache>
                <c:formatCode>General</c:formatCode>
                <c:ptCount val="8"/>
                <c:pt idx="0">
                  <c:v>0.0</c:v>
                </c:pt>
                <c:pt idx="1">
                  <c:v>0.5</c:v>
                </c:pt>
                <c:pt idx="2">
                  <c:v>1.0</c:v>
                </c:pt>
                <c:pt idx="3">
                  <c:v>2.0</c:v>
                </c:pt>
                <c:pt idx="4">
                  <c:v>3.0</c:v>
                </c:pt>
                <c:pt idx="5">
                  <c:v>4.0</c:v>
                </c:pt>
                <c:pt idx="6">
                  <c:v>5.0</c:v>
                </c:pt>
                <c:pt idx="7">
                  <c:v>6.0</c:v>
                </c:pt>
              </c:numCache>
            </c:numRef>
          </c:xVal>
          <c:yVal>
            <c:numRef>
              <c:f>Sheet3!$I$16:$I$23</c:f>
              <c:numCache>
                <c:formatCode>General</c:formatCode>
                <c:ptCount val="8"/>
                <c:pt idx="0">
                  <c:v>0.0</c:v>
                </c:pt>
                <c:pt idx="1">
                  <c:v>8.21739130434781</c:v>
                </c:pt>
                <c:pt idx="2">
                  <c:v>18.2608695652174</c:v>
                </c:pt>
                <c:pt idx="3">
                  <c:v>25.6354515050168</c:v>
                </c:pt>
                <c:pt idx="4">
                  <c:v>35.7090301003344</c:v>
                </c:pt>
                <c:pt idx="5">
                  <c:v>49.2307692307693</c:v>
                </c:pt>
                <c:pt idx="6">
                  <c:v>61.5719063545151</c:v>
                </c:pt>
                <c:pt idx="7">
                  <c:v>89.0468227424749</c:v>
                </c:pt>
              </c:numCache>
            </c:numRef>
          </c:yVal>
          <c:smooth val="1"/>
        </c:ser>
        <c:ser>
          <c:idx val="2"/>
          <c:order val="2"/>
          <c:tx>
            <c:strRef>
              <c:f>Sheet3!$J$15</c:f>
              <c:strCache>
                <c:ptCount val="1"/>
                <c:pt idx="0">
                  <c:v>%CR12</c:v>
                </c:pt>
              </c:strCache>
            </c:strRef>
          </c:tx>
          <c:errBars>
            <c:errDir val="y"/>
            <c:errBarType val="both"/>
            <c:errValType val="stdErr"/>
            <c:noEndCap val="0"/>
          </c:errBars>
          <c:xVal>
            <c:numRef>
              <c:f>Sheet3!$G$16:$G$23</c:f>
              <c:numCache>
                <c:formatCode>General</c:formatCode>
                <c:ptCount val="8"/>
                <c:pt idx="0">
                  <c:v>0.0</c:v>
                </c:pt>
                <c:pt idx="1">
                  <c:v>0.5</c:v>
                </c:pt>
                <c:pt idx="2">
                  <c:v>1.0</c:v>
                </c:pt>
                <c:pt idx="3">
                  <c:v>2.0</c:v>
                </c:pt>
                <c:pt idx="4">
                  <c:v>3.0</c:v>
                </c:pt>
                <c:pt idx="5">
                  <c:v>4.0</c:v>
                </c:pt>
                <c:pt idx="6">
                  <c:v>5.0</c:v>
                </c:pt>
                <c:pt idx="7">
                  <c:v>6.0</c:v>
                </c:pt>
              </c:numCache>
            </c:numRef>
          </c:xVal>
          <c:yVal>
            <c:numRef>
              <c:f>Sheet3!$J$16:$J$23</c:f>
              <c:numCache>
                <c:formatCode>General</c:formatCode>
                <c:ptCount val="8"/>
                <c:pt idx="0">
                  <c:v>0.0</c:v>
                </c:pt>
                <c:pt idx="1">
                  <c:v>8.11371237458195</c:v>
                </c:pt>
                <c:pt idx="2">
                  <c:v>18.1571906354515</c:v>
                </c:pt>
                <c:pt idx="3">
                  <c:v>25.1086956521739</c:v>
                </c:pt>
                <c:pt idx="4">
                  <c:v>31.8377926421405</c:v>
                </c:pt>
                <c:pt idx="5">
                  <c:v>43.5953177257525</c:v>
                </c:pt>
                <c:pt idx="6">
                  <c:v>56.9732441471572</c:v>
                </c:pt>
                <c:pt idx="7">
                  <c:v>87.6923076923077</c:v>
                </c:pt>
              </c:numCache>
            </c:numRef>
          </c:yVal>
          <c:smooth val="1"/>
        </c:ser>
        <c:ser>
          <c:idx val="3"/>
          <c:order val="3"/>
          <c:tx>
            <c:strRef>
              <c:f>Sheet3!$K$15</c:f>
              <c:strCache>
                <c:ptCount val="1"/>
                <c:pt idx="0">
                  <c:v>%CR13</c:v>
                </c:pt>
              </c:strCache>
            </c:strRef>
          </c:tx>
          <c:errBars>
            <c:errDir val="y"/>
            <c:errBarType val="both"/>
            <c:errValType val="stdErr"/>
            <c:noEndCap val="0"/>
          </c:errBars>
          <c:xVal>
            <c:numRef>
              <c:f>Sheet3!$G$16:$G$23</c:f>
              <c:numCache>
                <c:formatCode>General</c:formatCode>
                <c:ptCount val="8"/>
                <c:pt idx="0">
                  <c:v>0.0</c:v>
                </c:pt>
                <c:pt idx="1">
                  <c:v>0.5</c:v>
                </c:pt>
                <c:pt idx="2">
                  <c:v>1.0</c:v>
                </c:pt>
                <c:pt idx="3">
                  <c:v>2.0</c:v>
                </c:pt>
                <c:pt idx="4">
                  <c:v>3.0</c:v>
                </c:pt>
                <c:pt idx="5">
                  <c:v>4.0</c:v>
                </c:pt>
                <c:pt idx="6">
                  <c:v>5.0</c:v>
                </c:pt>
                <c:pt idx="7">
                  <c:v>6.0</c:v>
                </c:pt>
              </c:numCache>
            </c:numRef>
          </c:xVal>
          <c:yVal>
            <c:numRef>
              <c:f>Sheet3!$K$16:$K$23</c:f>
              <c:numCache>
                <c:formatCode>General</c:formatCode>
                <c:ptCount val="8"/>
                <c:pt idx="0">
                  <c:v>0.0</c:v>
                </c:pt>
                <c:pt idx="1">
                  <c:v>8.22575250836122</c:v>
                </c:pt>
                <c:pt idx="2">
                  <c:v>18.1137123745819</c:v>
                </c:pt>
                <c:pt idx="3">
                  <c:v>24.7943143812709</c:v>
                </c:pt>
                <c:pt idx="4">
                  <c:v>31.3444816053512</c:v>
                </c:pt>
                <c:pt idx="5">
                  <c:v>41.5719063545150</c:v>
                </c:pt>
                <c:pt idx="6">
                  <c:v>54.7826086956521</c:v>
                </c:pt>
                <c:pt idx="7">
                  <c:v>88.0434782608696</c:v>
                </c:pt>
              </c:numCache>
            </c:numRef>
          </c:yVal>
          <c:smooth val="1"/>
        </c:ser>
        <c:ser>
          <c:idx val="4"/>
          <c:order val="4"/>
          <c:tx>
            <c:strRef>
              <c:f>Sheet3!$L$15</c:f>
              <c:strCache>
                <c:ptCount val="1"/>
                <c:pt idx="0">
                  <c:v>%CR14</c:v>
                </c:pt>
              </c:strCache>
            </c:strRef>
          </c:tx>
          <c:errBars>
            <c:errDir val="y"/>
            <c:errBarType val="both"/>
            <c:errValType val="stdErr"/>
            <c:noEndCap val="0"/>
          </c:errBars>
          <c:xVal>
            <c:numRef>
              <c:f>Sheet3!$G$16:$G$23</c:f>
              <c:numCache>
                <c:formatCode>General</c:formatCode>
                <c:ptCount val="8"/>
                <c:pt idx="0">
                  <c:v>0.0</c:v>
                </c:pt>
                <c:pt idx="1">
                  <c:v>0.5</c:v>
                </c:pt>
                <c:pt idx="2">
                  <c:v>1.0</c:v>
                </c:pt>
                <c:pt idx="3">
                  <c:v>2.0</c:v>
                </c:pt>
                <c:pt idx="4">
                  <c:v>3.0</c:v>
                </c:pt>
                <c:pt idx="5">
                  <c:v>4.0</c:v>
                </c:pt>
                <c:pt idx="6">
                  <c:v>5.0</c:v>
                </c:pt>
                <c:pt idx="7">
                  <c:v>6.0</c:v>
                </c:pt>
              </c:numCache>
            </c:numRef>
          </c:xVal>
          <c:yVal>
            <c:numRef>
              <c:f>Sheet3!$L$16:$L$23</c:f>
              <c:numCache>
                <c:formatCode>General</c:formatCode>
                <c:ptCount val="8"/>
                <c:pt idx="0">
                  <c:v>0.0</c:v>
                </c:pt>
                <c:pt idx="1">
                  <c:v>8.06688963210704</c:v>
                </c:pt>
                <c:pt idx="2">
                  <c:v>17.7976588628763</c:v>
                </c:pt>
                <c:pt idx="3">
                  <c:v>24.8210702341137</c:v>
                </c:pt>
                <c:pt idx="4">
                  <c:v>31.6120401337792</c:v>
                </c:pt>
                <c:pt idx="5">
                  <c:v>43.4949832775920</c:v>
                </c:pt>
                <c:pt idx="6">
                  <c:v>56.6555183946489</c:v>
                </c:pt>
                <c:pt idx="7">
                  <c:v>87.3745819397992</c:v>
                </c:pt>
              </c:numCache>
            </c:numRef>
          </c:yVal>
          <c:smooth val="1"/>
        </c:ser>
        <c:dLbls>
          <c:showLegendKey val="0"/>
          <c:showVal val="0"/>
          <c:showCatName val="0"/>
          <c:showSerName val="0"/>
          <c:showPercent val="0"/>
          <c:showBubbleSize val="0"/>
        </c:dLbls>
        <c:axId val="49278976"/>
        <c:axId val="49280512"/>
      </c:scatterChart>
      <c:valAx>
        <c:axId val="49278976"/>
        <c:scaling>
          <c:orientation val="minMax"/>
        </c:scaling>
        <c:delete val="0"/>
        <c:axPos val="b"/>
        <c:numFmt formatCode="General" sourceLinked="1"/>
        <c:majorTickMark val="out"/>
        <c:minorTickMark val="none"/>
        <c:tickLblPos val="nextTo"/>
        <c:crossAx val="49280512"/>
        <c:crosses val="autoZero"/>
        <c:crossBetween val="midCat"/>
      </c:valAx>
      <c:valAx>
        <c:axId val="49280512"/>
        <c:scaling>
          <c:orientation val="minMax"/>
        </c:scaling>
        <c:delete val="0"/>
        <c:axPos val="l"/>
        <c:majorGridlines/>
        <c:numFmt formatCode="General" sourceLinked="1"/>
        <c:majorTickMark val="out"/>
        <c:minorTickMark val="none"/>
        <c:tickLblPos val="nextTo"/>
        <c:crossAx val="49278976"/>
        <c:crosses val="autoZero"/>
        <c:crossBetween val="midCat"/>
      </c:valAx>
    </c:plotArea>
    <c:legend>
      <c:legendPos val="r"/>
      <c:overlay val="0"/>
    </c:legend>
    <c:plotVisOnly val="1"/>
    <c:dispBlanksAs val="gap"/>
    <c:showDLblsOverMax val="0"/>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Sheet1!$F$18</c:f>
              <c:strCache>
                <c:ptCount val="1"/>
                <c:pt idx="0">
                  <c:v>Formulation</c:v>
                </c:pt>
              </c:strCache>
            </c:strRef>
          </c:tx>
          <c:errBars>
            <c:errDir val="y"/>
            <c:errBarType val="both"/>
            <c:errValType val="stdErr"/>
            <c:noEndCap val="0"/>
          </c:errBars>
          <c:xVal>
            <c:numRef>
              <c:f>Sheet1!$E$19:$E$26</c:f>
              <c:numCache>
                <c:formatCode>General</c:formatCode>
                <c:ptCount val="8"/>
                <c:pt idx="0">
                  <c:v>0.0</c:v>
                </c:pt>
                <c:pt idx="1">
                  <c:v>0.5</c:v>
                </c:pt>
                <c:pt idx="2">
                  <c:v>1.0</c:v>
                </c:pt>
                <c:pt idx="3">
                  <c:v>2.0</c:v>
                </c:pt>
                <c:pt idx="4">
                  <c:v>3.0</c:v>
                </c:pt>
                <c:pt idx="5">
                  <c:v>4.0</c:v>
                </c:pt>
                <c:pt idx="6">
                  <c:v>5.0</c:v>
                </c:pt>
                <c:pt idx="7">
                  <c:v>6.0</c:v>
                </c:pt>
              </c:numCache>
            </c:numRef>
          </c:xVal>
          <c:yVal>
            <c:numRef>
              <c:f>Sheet1!$F$19:$F$26</c:f>
              <c:numCache>
                <c:formatCode>General</c:formatCode>
                <c:ptCount val="8"/>
                <c:pt idx="0">
                  <c:v>0.0</c:v>
                </c:pt>
                <c:pt idx="1">
                  <c:v>8.0569</c:v>
                </c:pt>
                <c:pt idx="2">
                  <c:v>17.7960000000000</c:v>
                </c:pt>
                <c:pt idx="3">
                  <c:v>25.4482000000000</c:v>
                </c:pt>
                <c:pt idx="4">
                  <c:v>41.1773</c:v>
                </c:pt>
                <c:pt idx="5">
                  <c:v>58.1605000000000</c:v>
                </c:pt>
                <c:pt idx="6">
                  <c:v>73.2274</c:v>
                </c:pt>
                <c:pt idx="7">
                  <c:v>94.4983</c:v>
                </c:pt>
              </c:numCache>
            </c:numRef>
          </c:yVal>
          <c:smooth val="1"/>
        </c:ser>
        <c:ser>
          <c:idx val="1"/>
          <c:order val="1"/>
          <c:tx>
            <c:strRef>
              <c:f>Sheet1!$G$18</c:f>
              <c:strCache>
                <c:ptCount val="1"/>
                <c:pt idx="0">
                  <c:v>Drug</c:v>
                </c:pt>
              </c:strCache>
            </c:strRef>
          </c:tx>
          <c:errBars>
            <c:errDir val="y"/>
            <c:errBarType val="both"/>
            <c:errValType val="stdErr"/>
            <c:noEndCap val="0"/>
          </c:errBars>
          <c:xVal>
            <c:numRef>
              <c:f>Sheet1!$E$19:$E$26</c:f>
              <c:numCache>
                <c:formatCode>General</c:formatCode>
                <c:ptCount val="8"/>
                <c:pt idx="0">
                  <c:v>0.0</c:v>
                </c:pt>
                <c:pt idx="1">
                  <c:v>0.5</c:v>
                </c:pt>
                <c:pt idx="2">
                  <c:v>1.0</c:v>
                </c:pt>
                <c:pt idx="3">
                  <c:v>2.0</c:v>
                </c:pt>
                <c:pt idx="4">
                  <c:v>3.0</c:v>
                </c:pt>
                <c:pt idx="5">
                  <c:v>4.0</c:v>
                </c:pt>
                <c:pt idx="6">
                  <c:v>5.0</c:v>
                </c:pt>
                <c:pt idx="7">
                  <c:v>6.0</c:v>
                </c:pt>
              </c:numCache>
            </c:numRef>
          </c:xVal>
          <c:yVal>
            <c:numRef>
              <c:f>Sheet1!$G$19:$G$26</c:f>
              <c:numCache>
                <c:formatCode>General</c:formatCode>
                <c:ptCount val="8"/>
                <c:pt idx="0">
                  <c:v>0.0</c:v>
                </c:pt>
                <c:pt idx="1">
                  <c:v>1.36790000000000</c:v>
                </c:pt>
                <c:pt idx="2">
                  <c:v>7.76250000000000</c:v>
                </c:pt>
                <c:pt idx="3">
                  <c:v>17.087</c:v>
                </c:pt>
                <c:pt idx="4">
                  <c:v>26.3010000000000</c:v>
                </c:pt>
                <c:pt idx="5">
                  <c:v>33.2508000000000</c:v>
                </c:pt>
                <c:pt idx="6">
                  <c:v>48.1438000000000</c:v>
                </c:pt>
                <c:pt idx="7">
                  <c:v>61.9565</c:v>
                </c:pt>
              </c:numCache>
            </c:numRef>
          </c:yVal>
          <c:smooth val="1"/>
        </c:ser>
        <c:dLbls>
          <c:showLegendKey val="0"/>
          <c:showVal val="0"/>
          <c:showCatName val="0"/>
          <c:showSerName val="0"/>
          <c:showPercent val="0"/>
          <c:showBubbleSize val="0"/>
        </c:dLbls>
        <c:axId val="49305856"/>
        <c:axId val="49344512"/>
      </c:scatterChart>
      <c:valAx>
        <c:axId val="49305856"/>
        <c:scaling>
          <c:orientation val="minMax"/>
        </c:scaling>
        <c:delete val="0"/>
        <c:axPos val="b"/>
        <c:numFmt formatCode="General" sourceLinked="1"/>
        <c:majorTickMark val="out"/>
        <c:minorTickMark val="none"/>
        <c:tickLblPos val="nextTo"/>
        <c:crossAx val="49344512"/>
        <c:crosses val="autoZero"/>
        <c:crossBetween val="midCat"/>
      </c:valAx>
      <c:valAx>
        <c:axId val="49344512"/>
        <c:scaling>
          <c:orientation val="minMax"/>
        </c:scaling>
        <c:delete val="0"/>
        <c:axPos val="l"/>
        <c:majorGridlines/>
        <c:numFmt formatCode="General" sourceLinked="1"/>
        <c:majorTickMark val="out"/>
        <c:minorTickMark val="none"/>
        <c:tickLblPos val="nextTo"/>
        <c:crossAx val="49305856"/>
        <c:crosses val="autoZero"/>
        <c:crossBetween val="midCat"/>
      </c:valAx>
    </c:plotArea>
    <c:legend>
      <c:legendPos val="r"/>
      <c:overlay val="0"/>
    </c:legend>
    <c:plotVisOnly val="1"/>
    <c:dispBlanksAs val="gap"/>
    <c:showDLblsOverMax val="0"/>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Words>5891</Words>
  <Pages>22</Pages>
  <Characters>33927</Characters>
  <Application>WPS Office</Application>
  <DocSecurity>0</DocSecurity>
  <Paragraphs>807</Paragraphs>
  <ScaleCrop>false</ScaleCrop>
  <LinksUpToDate>false</LinksUpToDate>
  <CharactersWithSpaces>39535</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2024-04-27T12:16:33Z</dcterms:created>
  <dc:creator>USER13</dc:creator>
  <lastModifiedBy>KB2001</lastModifiedBy>
  <dcterms:modified xsi:type="dcterms:W3CDTF">2024-04-27T12:16:34Z</dcterms:modified>
  <revision>36</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ae50c4614e784fe298e08f48ce90283d</vt:lpwstr>
  </property>
</Properties>
</file>