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359E4" w14:textId="7AAC0BE7" w:rsidR="00CF47C4" w:rsidRDefault="00930E98" w:rsidP="008B111C">
      <w:pPr>
        <w:spacing w:after="0" w:line="240" w:lineRule="auto"/>
        <w:ind w:left="-426"/>
        <w:jc w:val="center"/>
        <w:rPr>
          <w:rFonts w:ascii="Times New Roman"/>
          <w:b/>
          <w:bCs/>
          <w:sz w:val="36"/>
          <w:szCs w:val="36"/>
        </w:rPr>
      </w:pPr>
      <w:r w:rsidRPr="00930E98">
        <w:rPr>
          <w:rFonts w:ascii="Times New Roman"/>
          <w:b/>
          <w:bCs/>
          <w:sz w:val="36"/>
          <w:szCs w:val="36"/>
        </w:rPr>
        <w:t xml:space="preserve">A Quality-Driven Framework for Prioritizing Customer and </w:t>
      </w:r>
      <w:bookmarkStart w:id="0" w:name="_GoBack"/>
      <w:bookmarkEnd w:id="0"/>
      <w:r w:rsidRPr="00930E98">
        <w:rPr>
          <w:rFonts w:ascii="Times New Roman"/>
          <w:b/>
          <w:bCs/>
          <w:sz w:val="36"/>
          <w:szCs w:val="36"/>
        </w:rPr>
        <w:t>Technical Requirements in Microgrid Battery Integration</w:t>
      </w:r>
    </w:p>
    <w:p w14:paraId="50FEBC5A" w14:textId="77777777" w:rsidR="00A076A0" w:rsidRPr="002F6BAD" w:rsidRDefault="00A076A0" w:rsidP="00A076A0">
      <w:pPr>
        <w:spacing w:before="120" w:after="0"/>
        <w:rPr>
          <w:rFonts w:ascii="Times New Roman"/>
          <w:sz w:val="24"/>
          <w:szCs w:val="24"/>
          <w:vertAlign w:val="superscript"/>
        </w:rPr>
      </w:pPr>
      <w:r w:rsidRPr="002F6BAD">
        <w:rPr>
          <w:rFonts w:ascii="Times New Roman"/>
          <w:sz w:val="24"/>
          <w:szCs w:val="24"/>
        </w:rPr>
        <w:t>Avinash Kumar</w:t>
      </w:r>
      <w:r w:rsidRPr="002F6BAD">
        <w:rPr>
          <w:rFonts w:ascii="Times New Roman"/>
          <w:sz w:val="24"/>
          <w:szCs w:val="24"/>
          <w:vertAlign w:val="superscript"/>
        </w:rPr>
        <w:t>1</w:t>
      </w:r>
      <w:r w:rsidRPr="002F6BAD">
        <w:rPr>
          <w:rFonts w:ascii="Times New Roman"/>
          <w:sz w:val="24"/>
          <w:szCs w:val="24"/>
        </w:rPr>
        <w:t xml:space="preserve">, </w:t>
      </w:r>
      <w:r>
        <w:rPr>
          <w:rFonts w:ascii="Times New Roman"/>
          <w:sz w:val="24"/>
          <w:szCs w:val="24"/>
        </w:rPr>
        <w:t>Noorul Islam</w:t>
      </w:r>
      <w:r w:rsidRPr="002F6BAD">
        <w:rPr>
          <w:rFonts w:ascii="Times New Roman"/>
          <w:sz w:val="24"/>
          <w:szCs w:val="24"/>
          <w:vertAlign w:val="superscript"/>
        </w:rPr>
        <w:t>2</w:t>
      </w:r>
      <w:r>
        <w:rPr>
          <w:rFonts w:ascii="Times New Roman"/>
          <w:sz w:val="24"/>
          <w:szCs w:val="24"/>
        </w:rPr>
        <w:t>, Shweta Shukla</w:t>
      </w:r>
      <w:r w:rsidRPr="006C784A">
        <w:rPr>
          <w:rFonts w:ascii="Times New Roman"/>
          <w:sz w:val="24"/>
          <w:szCs w:val="24"/>
          <w:vertAlign w:val="superscript"/>
        </w:rPr>
        <w:t>3</w:t>
      </w:r>
      <w:r>
        <w:rPr>
          <w:rFonts w:ascii="Times New Roman"/>
          <w:sz w:val="24"/>
          <w:szCs w:val="24"/>
        </w:rPr>
        <w:t xml:space="preserve">, </w:t>
      </w:r>
      <w:r w:rsidRPr="002F6BAD">
        <w:rPr>
          <w:rFonts w:ascii="Times New Roman"/>
          <w:sz w:val="24"/>
          <w:szCs w:val="24"/>
        </w:rPr>
        <w:t>Bhawna Singh</w:t>
      </w:r>
      <w:r>
        <w:rPr>
          <w:rFonts w:ascii="Times New Roman"/>
          <w:sz w:val="24"/>
          <w:szCs w:val="24"/>
          <w:vertAlign w:val="superscript"/>
        </w:rPr>
        <w:t>4</w:t>
      </w:r>
      <w:r w:rsidRPr="002F6BAD">
        <w:rPr>
          <w:rFonts w:ascii="Times New Roman"/>
          <w:sz w:val="24"/>
          <w:szCs w:val="24"/>
        </w:rPr>
        <w:t>, Ashish Chauhan</w:t>
      </w:r>
      <w:r>
        <w:rPr>
          <w:rFonts w:ascii="Times New Roman"/>
          <w:sz w:val="24"/>
          <w:szCs w:val="24"/>
          <w:vertAlign w:val="superscript"/>
        </w:rPr>
        <w:t>5</w:t>
      </w:r>
      <w:r w:rsidRPr="002F6BAD">
        <w:rPr>
          <w:rFonts w:ascii="Times New Roman"/>
          <w:sz w:val="24"/>
          <w:szCs w:val="24"/>
        </w:rPr>
        <w:t>, Rudra Lodhi</w:t>
      </w:r>
      <w:r>
        <w:rPr>
          <w:rFonts w:ascii="Times New Roman"/>
          <w:sz w:val="24"/>
          <w:szCs w:val="24"/>
          <w:vertAlign w:val="superscript"/>
        </w:rPr>
        <w:t>6</w:t>
      </w:r>
      <w:r w:rsidRPr="002F6BAD">
        <w:rPr>
          <w:rFonts w:ascii="Times New Roman"/>
          <w:sz w:val="24"/>
          <w:szCs w:val="24"/>
        </w:rPr>
        <w:t>, Rahul Verma</w:t>
      </w:r>
      <w:r>
        <w:rPr>
          <w:rFonts w:ascii="Times New Roman"/>
          <w:sz w:val="24"/>
          <w:szCs w:val="24"/>
          <w:vertAlign w:val="superscript"/>
        </w:rPr>
        <w:t>7</w:t>
      </w:r>
    </w:p>
    <w:p w14:paraId="4B81A278" w14:textId="2496E768" w:rsidR="00A516D0" w:rsidRPr="00A516D0" w:rsidRDefault="00A516D0" w:rsidP="008B111C">
      <w:pPr>
        <w:pStyle w:val="Authors"/>
        <w:framePr w:w="0" w:hSpace="0" w:vSpace="0" w:wrap="auto" w:vAnchor="margin" w:hAnchor="text" w:xAlign="left" w:yAlign="inline"/>
        <w:spacing w:after="0"/>
        <w:ind w:left="-426"/>
        <w:jc w:val="left"/>
        <w:rPr>
          <w:i/>
          <w:sz w:val="20"/>
          <w:szCs w:val="20"/>
        </w:rPr>
      </w:pPr>
      <w:r w:rsidRPr="00A516D0">
        <w:rPr>
          <w:i/>
          <w:sz w:val="20"/>
          <w:szCs w:val="20"/>
          <w:vertAlign w:val="superscript"/>
        </w:rPr>
        <w:t>1</w:t>
      </w:r>
      <w:r w:rsidR="00A076A0">
        <w:rPr>
          <w:i/>
          <w:sz w:val="20"/>
          <w:szCs w:val="20"/>
          <w:vertAlign w:val="superscript"/>
        </w:rPr>
        <w:t>-7</w:t>
      </w:r>
      <w:r w:rsidRPr="00A516D0">
        <w:rPr>
          <w:i/>
          <w:sz w:val="20"/>
          <w:szCs w:val="20"/>
        </w:rPr>
        <w:t>Department</w:t>
      </w:r>
      <w:r w:rsidR="00930E98">
        <w:rPr>
          <w:i/>
          <w:sz w:val="20"/>
          <w:szCs w:val="20"/>
        </w:rPr>
        <w:t xml:space="preserve"> of Electrical Engineering</w:t>
      </w:r>
      <w:r w:rsidRPr="00A516D0">
        <w:rPr>
          <w:i/>
          <w:sz w:val="20"/>
          <w:szCs w:val="20"/>
        </w:rPr>
        <w:t xml:space="preserve">, </w:t>
      </w:r>
      <w:r w:rsidR="00930E98">
        <w:rPr>
          <w:i/>
          <w:sz w:val="20"/>
          <w:szCs w:val="20"/>
        </w:rPr>
        <w:t>Meerut Institute of Engineering &amp; Technology, Meerut</w:t>
      </w:r>
      <w:r w:rsidR="00FD12B7">
        <w:rPr>
          <w:i/>
          <w:sz w:val="20"/>
          <w:szCs w:val="20"/>
        </w:rPr>
        <w:t xml:space="preserve">, </w:t>
      </w:r>
      <w:r w:rsidR="00930E98">
        <w:rPr>
          <w:i/>
          <w:sz w:val="20"/>
          <w:szCs w:val="20"/>
        </w:rPr>
        <w:t>India</w:t>
      </w:r>
    </w:p>
    <w:p w14:paraId="4742AE89" w14:textId="77777777"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14:paraId="5694BFF7" w14:textId="77777777" w:rsidTr="00E34DF4">
        <w:tc>
          <w:tcPr>
            <w:tcW w:w="3120" w:type="dxa"/>
          </w:tcPr>
          <w:p w14:paraId="642E888C" w14:textId="77777777" w:rsidR="008B111C" w:rsidRDefault="008B111C" w:rsidP="00304615">
            <w:pPr>
              <w:tabs>
                <w:tab w:val="right" w:pos="9360"/>
              </w:tabs>
              <w:spacing w:line="244" w:lineRule="auto"/>
              <w:ind w:right="-8"/>
              <w:rPr>
                <w:rFonts w:ascii="Times New Roman"/>
                <w:i/>
                <w:sz w:val="20"/>
              </w:rPr>
            </w:pPr>
          </w:p>
        </w:tc>
        <w:tc>
          <w:tcPr>
            <w:tcW w:w="7371" w:type="dxa"/>
          </w:tcPr>
          <w:p w14:paraId="70A9B7F6" w14:textId="46A5BECF" w:rsidR="00A076A0" w:rsidRPr="00A076A0" w:rsidRDefault="008B111C" w:rsidP="008B111C">
            <w:pPr>
              <w:pStyle w:val="NoSpacing"/>
              <w:jc w:val="both"/>
              <w:rPr>
                <w:i/>
                <w:iCs/>
                <w:sz w:val="18"/>
                <w:szCs w:val="18"/>
              </w:rPr>
            </w:pPr>
            <w:r w:rsidRPr="008B111C">
              <w:rPr>
                <w:b/>
                <w:i/>
              </w:rPr>
              <w:t xml:space="preserve">Abstract: </w:t>
            </w:r>
            <w:r w:rsidR="00A076A0" w:rsidRPr="00A076A0">
              <w:rPr>
                <w:b/>
                <w:bCs/>
                <w:i/>
                <w:iCs/>
                <w:sz w:val="18"/>
                <w:szCs w:val="18"/>
              </w:rPr>
              <w:t>This manuscript aims to evaluate key challenges related to customer expectations and technical competencies for the successful integration of batteries into microgrid systems. To perform that, there are Six distinct customer expectations and technical requirements were identified through a comprehensive literature review. The criteria weights were determined using the sine trigonometric Pythagorean fuzzy (STPYF) decision making Trial and Evaluation Laboratory (DEMATEL) approach. Additionally, the technical requirements were ranked using a novel method developed in this study, called the "Ranking Technique by Geometric Mean of Similarity Ratio to Optimal Solution" (RATGOS), which was integrated with the STPYF framework. The study's main contribution lies in simplifying the prioritization process to enhance battery integration efficiency in microgrid systems. Moreover, the introduction of the RATGOS methodology adds a unique element to the decision-making landscape. The analysis revealed that energy storage efficiency is the most critical customer expectation, while the development of smart battery control systems was found to be the top technical requirement for optimizing microgrid performance. Based on these findings, strategies must be implemented to improve energy storage efficiency in microgrid systems, emphasizing the selection of appropriate batteries and robust technological infrastructure. Ensuring cybersecurity is equally crucial for safeguarding energy storage processes against external threats, enabling safer battery operation.</w:t>
            </w:r>
          </w:p>
          <w:p w14:paraId="3D87BE56" w14:textId="77777777" w:rsidR="00A076A0" w:rsidRPr="00A076A0" w:rsidRDefault="008B111C" w:rsidP="00A076A0">
            <w:pPr>
              <w:jc w:val="both"/>
              <w:rPr>
                <w:rFonts w:ascii="Times New Roman" w:eastAsia="Calibri"/>
                <w:b/>
                <w:bCs/>
                <w:i/>
                <w:iCs/>
                <w:sz w:val="18"/>
                <w:szCs w:val="18"/>
              </w:rPr>
            </w:pPr>
            <w:r w:rsidRPr="008B111C">
              <w:rPr>
                <w:b/>
                <w:bCs/>
                <w:i/>
              </w:rPr>
              <w:t>Key Word</w:t>
            </w:r>
            <w:r w:rsidRPr="008B111C">
              <w:rPr>
                <w:i/>
              </w:rPr>
              <w:t>:</w:t>
            </w:r>
            <w:r w:rsidRPr="008B111C">
              <w:rPr>
                <w:b/>
                <w:i/>
                <w:color w:val="FF0000"/>
                <w:lang w:val="fr-FR"/>
              </w:rPr>
              <w:t xml:space="preserve"> </w:t>
            </w:r>
            <w:r w:rsidR="00A076A0" w:rsidRPr="00A076A0">
              <w:rPr>
                <w:rFonts w:ascii="Times New Roman" w:eastAsia="Calibri"/>
                <w:b/>
                <w:bCs/>
                <w:i/>
                <w:iCs/>
                <w:sz w:val="18"/>
                <w:szCs w:val="18"/>
              </w:rPr>
              <w:t>Optimal Battery Integration; Microgrid Systems; Customer Comfort level; Fuzzy Decision-making</w:t>
            </w:r>
          </w:p>
          <w:p w14:paraId="603118E4" w14:textId="1B9DBDC4" w:rsidR="008B111C" w:rsidRDefault="008B111C" w:rsidP="0046625C">
            <w:pPr>
              <w:rPr>
                <w:rFonts w:ascii="Times New Roman"/>
                <w:i/>
                <w:sz w:val="20"/>
              </w:rPr>
            </w:pPr>
          </w:p>
        </w:tc>
      </w:tr>
    </w:tbl>
    <w:p w14:paraId="2395381B" w14:textId="77777777" w:rsidR="008B111C" w:rsidRDefault="008B111C" w:rsidP="0046625C">
      <w:pPr>
        <w:spacing w:after="0" w:line="240" w:lineRule="auto"/>
        <w:rPr>
          <w:rFonts w:ascii="Times New Roman"/>
          <w:i/>
          <w:sz w:val="20"/>
          <w:szCs w:val="20"/>
        </w:rPr>
      </w:pPr>
    </w:p>
    <w:p w14:paraId="2E962153" w14:textId="77777777"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14:paraId="50894BDC" w14:textId="6ED5F472"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14:paraId="46962C14" w14:textId="77777777" w:rsidR="00361281" w:rsidRPr="00D1743B" w:rsidRDefault="008A7684" w:rsidP="00361281">
      <w:pPr>
        <w:jc w:val="both"/>
        <w:rPr>
          <w:rFonts w:ascii="Times New Roman"/>
          <w:sz w:val="20"/>
          <w:szCs w:val="20"/>
        </w:rPr>
      </w:pPr>
      <w:r w:rsidRPr="00A516D0">
        <w:rPr>
          <w:rFonts w:ascii="Times New Roman"/>
          <w:sz w:val="20"/>
          <w:szCs w:val="20"/>
        </w:rPr>
        <w:tab/>
      </w:r>
      <w:r w:rsidR="00361281" w:rsidRPr="00D1743B">
        <w:rPr>
          <w:rFonts w:ascii="Times New Roman"/>
          <w:sz w:val="20"/>
          <w:szCs w:val="20"/>
        </w:rPr>
        <w:t>Microgrids are localized systems aimed at improving the efficiency and performance of energy production, consumption, and distribution. In these systems, surplus energy is stored for future use, and participants who cannot produce sufficient energy have the option to purchase the excess. Furthermore, excess energy generated can be supplied to the main grid, while energy deficits in the microgrid can be supplemented from the main grid. This setup offers numerous advantages. Since renewable energy sources are often prioritized within the grid, microgrids significantly promote the use of clean energy. Additionally, they enhance the efficiency of energy production and consumption processes. Participants can generate their own energy, which helps reduce reliance on external energy sources. Lastly, microgrids enable more effective management of energy demand (Mbungu et al., 2023).</w:t>
      </w:r>
    </w:p>
    <w:p w14:paraId="0A25CB38" w14:textId="77777777" w:rsidR="00361281" w:rsidRDefault="00361281" w:rsidP="00361281">
      <w:pPr>
        <w:jc w:val="both"/>
        <w:rPr>
          <w:rFonts w:ascii="Times New Roman"/>
          <w:sz w:val="20"/>
          <w:szCs w:val="20"/>
        </w:rPr>
      </w:pPr>
      <w:r w:rsidRPr="00D1743B">
        <w:rPr>
          <w:rFonts w:ascii="Times New Roman"/>
          <w:sz w:val="20"/>
          <w:szCs w:val="20"/>
        </w:rPr>
        <w:t>Batteries play a crucial role in enhancing the efficiency of microgrid systems by expanding their energy storage capacity, which contributes to more effective system operation. Batteries store excess energy and release it based on consumption needs. Since climate conditions influence the amount of electricity generated, any surplus can be stored in batteries and easily accessed during periods of high demand. Batteries also provide a reliable backup in the event of power outages, ensuring a continuous energy supply from renewable source</w:t>
      </w:r>
      <w:r>
        <w:rPr>
          <w:rFonts w:ascii="Times New Roman"/>
          <w:sz w:val="20"/>
          <w:szCs w:val="20"/>
        </w:rPr>
        <w:t>s (</w:t>
      </w:r>
      <w:proofErr w:type="spellStart"/>
      <w:r>
        <w:rPr>
          <w:rFonts w:ascii="Times New Roman"/>
          <w:sz w:val="20"/>
          <w:szCs w:val="20"/>
        </w:rPr>
        <w:t>Memon</w:t>
      </w:r>
      <w:proofErr w:type="spellEnd"/>
      <w:r>
        <w:rPr>
          <w:rFonts w:ascii="Times New Roman"/>
          <w:sz w:val="20"/>
          <w:szCs w:val="20"/>
        </w:rPr>
        <w:t xml:space="preserve"> and </w:t>
      </w:r>
      <w:proofErr w:type="spellStart"/>
      <w:r>
        <w:rPr>
          <w:rFonts w:ascii="Times New Roman"/>
          <w:sz w:val="20"/>
          <w:szCs w:val="20"/>
        </w:rPr>
        <w:t>Kauhaniemi</w:t>
      </w:r>
      <w:proofErr w:type="spellEnd"/>
      <w:r>
        <w:rPr>
          <w:rFonts w:ascii="Times New Roman"/>
          <w:sz w:val="20"/>
          <w:szCs w:val="20"/>
        </w:rPr>
        <w:t xml:space="preserve">, 2023). </w:t>
      </w:r>
      <w:r w:rsidRPr="00D1743B">
        <w:rPr>
          <w:rFonts w:ascii="Times New Roman"/>
          <w:sz w:val="20"/>
          <w:szCs w:val="20"/>
        </w:rPr>
        <w:t>However, for batteries to be successfully integrated into microgrid systems, several factors must be addressed. First, determining the appropriate battery capacity is essential, as it should align with the system’s energy storage needs. Additionally, the system requires advanced technological infrastructure to optimize energy management. Proper safety measures must also be in place for batteries to function effectively. Lastly, ensuring spare battery capacity is available for unexpected demand spikes is critical for maintaining system reliability (Seger et al., 2023).</w:t>
      </w:r>
    </w:p>
    <w:p w14:paraId="66F1CF8D" w14:textId="77777777" w:rsidR="00361281" w:rsidRDefault="00361281" w:rsidP="00361281">
      <w:pPr>
        <w:jc w:val="both"/>
        <w:rPr>
          <w:rFonts w:ascii="Times New Roman"/>
          <w:sz w:val="20"/>
          <w:szCs w:val="20"/>
        </w:rPr>
      </w:pPr>
      <w:bookmarkStart w:id="1" w:name="_Hlk172216081"/>
      <w:r w:rsidRPr="00D1743B">
        <w:rPr>
          <w:rFonts w:ascii="Times New Roman"/>
          <w:sz w:val="20"/>
          <w:szCs w:val="20"/>
        </w:rPr>
        <w:t>In summary, the successful integration of batteries into microgrid systems relies heavily on an accurate analysis of customer expectations, alongside the technical competencies required to meet them. Given the wide range of both expectations and technical demands, it may not be financially feasible to address every issue. Thus, focusing on the most critical factors is a more practical approach. While existing studies emphasize the importance of batteries, there is a lack of research on determining which factors should be prioritized (Neri et al., 2023). To bridge this gap, conducting a fresh analysis to identify key issues is essential. This will help develop strategies that improve the overall efficiency and effectiveness of the system.</w:t>
      </w:r>
    </w:p>
    <w:p w14:paraId="65B43481" w14:textId="77777777" w:rsidR="00361281" w:rsidRPr="00D1743B" w:rsidRDefault="00361281" w:rsidP="00361281">
      <w:pPr>
        <w:jc w:val="both"/>
        <w:rPr>
          <w:rFonts w:ascii="Times New Roman"/>
          <w:sz w:val="20"/>
          <w:szCs w:val="20"/>
        </w:rPr>
      </w:pPr>
      <w:r>
        <w:rPr>
          <w:rFonts w:ascii="Times New Roman"/>
          <w:sz w:val="20"/>
          <w:szCs w:val="20"/>
        </w:rPr>
        <w:lastRenderedPageBreak/>
        <w:t>This manuscript</w:t>
      </w:r>
      <w:r w:rsidRPr="00D1743B">
        <w:rPr>
          <w:rFonts w:ascii="Times New Roman"/>
          <w:sz w:val="20"/>
          <w:szCs w:val="20"/>
        </w:rPr>
        <w:t xml:space="preserve"> aims to evaluate key aspects of customer expectations and technical competencies for the successful integration of batteries into microgrid systems. The central research question focuses on determining which factors should be prioritized to develop investment strategies for the optimal integration of batteries. The proposed methodology combines the House of Quality (</w:t>
      </w:r>
      <w:proofErr w:type="spellStart"/>
      <w:r w:rsidRPr="00D1743B">
        <w:rPr>
          <w:rFonts w:ascii="Times New Roman"/>
          <w:sz w:val="20"/>
          <w:szCs w:val="20"/>
        </w:rPr>
        <w:t>HoQ</w:t>
      </w:r>
      <w:proofErr w:type="spellEnd"/>
      <w:r w:rsidRPr="00D1743B">
        <w:rPr>
          <w:rFonts w:ascii="Times New Roman"/>
          <w:sz w:val="20"/>
          <w:szCs w:val="20"/>
        </w:rPr>
        <w:t>) approach with Multi-Criteria Decision Making (MCDM) models. In this study, six distinct customer expectations and technical requirements are identified based on a thorough literature review. These criteria are weighted using the sine trigonometric STPYF DEMATEL method, while technical requirements are ranked with a newly developed technique, RATGOS, which is also integrated with STPYF sets.</w:t>
      </w:r>
    </w:p>
    <w:p w14:paraId="4D4F225D" w14:textId="77777777" w:rsidR="00361281" w:rsidRDefault="00361281" w:rsidP="00361281">
      <w:pPr>
        <w:jc w:val="both"/>
        <w:rPr>
          <w:rFonts w:ascii="Times New Roman"/>
          <w:sz w:val="20"/>
          <w:szCs w:val="20"/>
        </w:rPr>
      </w:pPr>
      <w:r w:rsidRPr="00D1743B">
        <w:rPr>
          <w:rFonts w:ascii="Times New Roman"/>
          <w:sz w:val="20"/>
          <w:szCs w:val="20"/>
        </w:rPr>
        <w:t>The motivation behind this research is the need for a comprehensive evaluation to ensure the effective integration of batteries in microgrid systems. Decision-making models are critical in this context, but existing models need to address key criticisms for success. Specifically, uncertainty should be reduced effectively during this process. While triangular fuzzy numbers are commonly used to handle uncertainty, they only offer a lower bound, upper bound, and mode value, which may be insufficient in some cases. Moreover, current models often rely on VIKOR and TOPSIS techniques to rank alternatives, but several stages of their analysis processes have been subject to criticism. Therefore, the new model should either enhance these techniques or introduce a new one altogether to improve the decision-making process.</w:t>
      </w:r>
    </w:p>
    <w:bookmarkEnd w:id="1"/>
    <w:p w14:paraId="6FE61A08" w14:textId="77777777" w:rsidR="00361281" w:rsidRDefault="00361281" w:rsidP="00361281">
      <w:pPr>
        <w:jc w:val="both"/>
        <w:rPr>
          <w:rFonts w:ascii="Times New Roman"/>
          <w:sz w:val="20"/>
          <w:szCs w:val="20"/>
        </w:rPr>
      </w:pPr>
      <w:r w:rsidRPr="00D1743B">
        <w:rPr>
          <w:rFonts w:ascii="Times New Roman"/>
          <w:sz w:val="20"/>
          <w:szCs w:val="20"/>
        </w:rPr>
        <w:t>The main contribution of this study lies in identifying the most critical strategies for battery integration in microgrid systems through the development of a novel model. The proposed model offers several key</w:t>
      </w:r>
      <w:r>
        <w:rPr>
          <w:rFonts w:ascii="Times New Roman"/>
          <w:sz w:val="20"/>
          <w:szCs w:val="20"/>
        </w:rPr>
        <w:t xml:space="preserve"> advantages, as outlined below:</w:t>
      </w:r>
    </w:p>
    <w:p w14:paraId="69819359" w14:textId="77777777" w:rsidR="00361281" w:rsidRDefault="00361281" w:rsidP="00361281">
      <w:pPr>
        <w:pStyle w:val="ListParagraph"/>
        <w:numPr>
          <w:ilvl w:val="0"/>
          <w:numId w:val="10"/>
        </w:numPr>
        <w:spacing w:after="160" w:line="259" w:lineRule="auto"/>
        <w:ind w:left="567" w:hanging="283"/>
        <w:jc w:val="both"/>
        <w:rPr>
          <w:rFonts w:ascii="Times New Roman"/>
          <w:sz w:val="20"/>
          <w:szCs w:val="20"/>
        </w:rPr>
      </w:pPr>
      <w:r w:rsidRPr="008D7CDF">
        <w:rPr>
          <w:rFonts w:ascii="Times New Roman"/>
          <w:sz w:val="20"/>
          <w:szCs w:val="20"/>
        </w:rPr>
        <w:t xml:space="preserve">One of the key methodological innovations of this study is the creation of a new ranking-based decision-making technique, RATGOS. Existing ranking methods, such as TOPSIS, have been criticized for their reliance on Euclidean distance to calculate optimal values. Scholars have argued that this approach may not provide effective results, especially when determining the distance to the negative ideal solution (Nandi et al., 2024; Ali et al., 2024). Similarly, the VIKOR method only considers the distance to the positive ideal solution, ignoring the negative ideal, which has drawn criticism in many studies (Mahmudah et al., 2024; Yu et al., 2024). To address these shortcomings, RATGOS incorporates the geometric mean to improve the ranking process (Arman et al., 2022; </w:t>
      </w:r>
      <w:proofErr w:type="spellStart"/>
      <w:r w:rsidRPr="008D7CDF">
        <w:rPr>
          <w:rFonts w:ascii="Times New Roman"/>
          <w:sz w:val="20"/>
          <w:szCs w:val="20"/>
        </w:rPr>
        <w:t>Çelikbilek</w:t>
      </w:r>
      <w:proofErr w:type="spellEnd"/>
      <w:r w:rsidRPr="008D7CDF">
        <w:rPr>
          <w:rFonts w:ascii="Times New Roman"/>
          <w:sz w:val="20"/>
          <w:szCs w:val="20"/>
        </w:rPr>
        <w:t xml:space="preserve"> and </w:t>
      </w:r>
      <w:proofErr w:type="spellStart"/>
      <w:r w:rsidRPr="008D7CDF">
        <w:rPr>
          <w:rFonts w:ascii="Times New Roman"/>
          <w:sz w:val="20"/>
          <w:szCs w:val="20"/>
        </w:rPr>
        <w:t>Tüysüz</w:t>
      </w:r>
      <w:proofErr w:type="spellEnd"/>
      <w:r w:rsidRPr="008D7CDF">
        <w:rPr>
          <w:rFonts w:ascii="Times New Roman"/>
          <w:sz w:val="20"/>
          <w:szCs w:val="20"/>
        </w:rPr>
        <w:t>, 2020).</w:t>
      </w:r>
    </w:p>
    <w:p w14:paraId="2AFEB3A5" w14:textId="77777777" w:rsidR="00361281" w:rsidRDefault="00361281" w:rsidP="00361281">
      <w:pPr>
        <w:pStyle w:val="ListParagraph"/>
        <w:numPr>
          <w:ilvl w:val="0"/>
          <w:numId w:val="10"/>
        </w:numPr>
        <w:spacing w:after="160" w:line="259" w:lineRule="auto"/>
        <w:ind w:left="567" w:hanging="283"/>
        <w:jc w:val="both"/>
        <w:rPr>
          <w:rFonts w:ascii="Times New Roman"/>
          <w:sz w:val="20"/>
          <w:szCs w:val="20"/>
        </w:rPr>
      </w:pPr>
      <w:r w:rsidRPr="008D7CDF">
        <w:rPr>
          <w:rFonts w:ascii="Times New Roman"/>
          <w:sz w:val="20"/>
          <w:szCs w:val="20"/>
        </w:rPr>
        <w:t>The inclusion of a sine trigonometric structure provides additional advantages. This approach accounts for periodicity and, because of its symmetry with respect to the origin, produces more accurate results compared to previous models. The ST operator also enhances the defuzzification process, making it more precise, which is a significant benefit for minimizing uncertainty when applying fuzzy decision-making techniques (Ashraf et al., 2021). These characteristics make the ST operator a preferred choice in this study (Moslem, 2024; Yuan, 2024).</w:t>
      </w:r>
    </w:p>
    <w:p w14:paraId="083E9384" w14:textId="77777777" w:rsidR="00361281" w:rsidRDefault="00361281" w:rsidP="00361281">
      <w:pPr>
        <w:pStyle w:val="ListParagraph"/>
        <w:numPr>
          <w:ilvl w:val="0"/>
          <w:numId w:val="10"/>
        </w:numPr>
        <w:spacing w:after="160" w:line="259" w:lineRule="auto"/>
        <w:ind w:left="567" w:hanging="283"/>
        <w:jc w:val="both"/>
        <w:rPr>
          <w:rFonts w:ascii="Times New Roman"/>
          <w:sz w:val="20"/>
          <w:szCs w:val="20"/>
        </w:rPr>
      </w:pPr>
      <w:r w:rsidRPr="008D7CDF">
        <w:rPr>
          <w:rFonts w:ascii="Times New Roman"/>
          <w:sz w:val="20"/>
          <w:szCs w:val="20"/>
        </w:rPr>
        <w:t>Incorporating the House of Quality (</w:t>
      </w:r>
      <w:proofErr w:type="spellStart"/>
      <w:r w:rsidRPr="008D7CDF">
        <w:rPr>
          <w:rFonts w:ascii="Times New Roman"/>
          <w:sz w:val="20"/>
          <w:szCs w:val="20"/>
        </w:rPr>
        <w:t>HoQ</w:t>
      </w:r>
      <w:proofErr w:type="spellEnd"/>
      <w:r w:rsidRPr="008D7CDF">
        <w:rPr>
          <w:rFonts w:ascii="Times New Roman"/>
          <w:sz w:val="20"/>
          <w:szCs w:val="20"/>
        </w:rPr>
        <w:t>) approach in defining criteria and alternative sets contributes to the development of more effective strategies. By aligning customer expectations with the necessary technical competencies, and factoring in feedback, customer satisfaction is more achievable. This, in turn, leads to more accurate policies that can improve the efficiency of microgrid systems (Dinçer et al., 2021).The second section gives the literature review results. The methodology is explained in the third section. Analysis results are provided in the fourth section. The last section consists of discussion and conclusion. The flow of the article is summarized in Figure 1.</w:t>
      </w:r>
    </w:p>
    <w:p w14:paraId="5FA41DEC" w14:textId="77777777" w:rsidR="00361281" w:rsidRPr="008D7CDF" w:rsidRDefault="00361281" w:rsidP="00361281">
      <w:pPr>
        <w:pStyle w:val="ListParagraph"/>
        <w:spacing w:after="160" w:line="259" w:lineRule="auto"/>
        <w:ind w:left="567"/>
        <w:jc w:val="both"/>
        <w:rPr>
          <w:rFonts w:ascii="Times New Roman"/>
          <w:sz w:val="20"/>
          <w:szCs w:val="20"/>
        </w:rPr>
      </w:pPr>
    </w:p>
    <w:p w14:paraId="63ADE8DF" w14:textId="77777777" w:rsidR="00361281" w:rsidRPr="001813BC" w:rsidRDefault="00361281" w:rsidP="00361281">
      <w:pPr>
        <w:jc w:val="center"/>
        <w:rPr>
          <w:rFonts w:ascii="Times New Roman"/>
          <w:sz w:val="20"/>
          <w:szCs w:val="20"/>
        </w:rPr>
      </w:pPr>
      <w:r>
        <w:rPr>
          <w:rFonts w:ascii="Times New Roman"/>
          <w:noProof/>
          <w:sz w:val="20"/>
          <w:szCs w:val="20"/>
          <w:lang w:val="en-IN" w:eastAsia="en-IN"/>
        </w:rPr>
        <w:drawing>
          <wp:inline distT="0" distB="0" distL="0" distR="0" wp14:anchorId="05C58931" wp14:editId="062CC63D">
            <wp:extent cx="5724144" cy="1676400"/>
            <wp:effectExtent l="0" t="0" r="0" b="0"/>
            <wp:docPr id="768692935" name="Picture 76869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144" cy="1676400"/>
                    </a:xfrm>
                    <a:prstGeom prst="rect">
                      <a:avLst/>
                    </a:prstGeom>
                  </pic:spPr>
                </pic:pic>
              </a:graphicData>
            </a:graphic>
          </wp:inline>
        </w:drawing>
      </w:r>
    </w:p>
    <w:p w14:paraId="21CB9C83" w14:textId="77777777" w:rsidR="00361281" w:rsidRPr="001813BC" w:rsidRDefault="00361281" w:rsidP="00361281">
      <w:pPr>
        <w:bidi/>
        <w:jc w:val="center"/>
        <w:rPr>
          <w:rFonts w:ascii="Times New Roman"/>
          <w:b/>
          <w:bCs/>
          <w:sz w:val="20"/>
          <w:szCs w:val="20"/>
        </w:rPr>
      </w:pPr>
      <w:r w:rsidRPr="001813BC">
        <w:rPr>
          <w:rFonts w:ascii="Times New Roman"/>
          <w:b/>
          <w:bCs/>
          <w:sz w:val="20"/>
          <w:szCs w:val="20"/>
        </w:rPr>
        <w:t>Figure 1: The block diagram summarizing the article</w:t>
      </w:r>
    </w:p>
    <w:p w14:paraId="5869B332" w14:textId="1B401DD7" w:rsidR="00CF47C4" w:rsidRDefault="00CF47C4" w:rsidP="00361281">
      <w:pPr>
        <w:spacing w:after="0" w:line="240" w:lineRule="auto"/>
        <w:jc w:val="both"/>
        <w:rPr>
          <w:rFonts w:ascii="Times New Roman"/>
          <w:sz w:val="20"/>
          <w:szCs w:val="20"/>
        </w:rPr>
      </w:pPr>
    </w:p>
    <w:p w14:paraId="3E008879" w14:textId="58679F5C" w:rsidR="00361281" w:rsidRPr="001813BC" w:rsidRDefault="00361281" w:rsidP="00361281">
      <w:pPr>
        <w:spacing w:after="120"/>
        <w:jc w:val="center"/>
        <w:rPr>
          <w:rFonts w:ascii="Times New Roman"/>
          <w:b/>
          <w:bCs/>
          <w:sz w:val="20"/>
          <w:szCs w:val="20"/>
        </w:rPr>
      </w:pPr>
      <w:r>
        <w:rPr>
          <w:rFonts w:ascii="Times New Roman"/>
          <w:b/>
          <w:bCs/>
          <w:sz w:val="20"/>
          <w:szCs w:val="20"/>
        </w:rPr>
        <w:lastRenderedPageBreak/>
        <w:t xml:space="preserve">II </w:t>
      </w:r>
      <w:r w:rsidRPr="001813BC">
        <w:rPr>
          <w:rFonts w:ascii="Times New Roman"/>
          <w:b/>
          <w:bCs/>
          <w:sz w:val="20"/>
          <w:szCs w:val="20"/>
        </w:rPr>
        <w:t>Literature Review</w:t>
      </w:r>
    </w:p>
    <w:p w14:paraId="35805795" w14:textId="77777777" w:rsidR="00361281" w:rsidRPr="001813BC" w:rsidRDefault="00361281" w:rsidP="00361281">
      <w:pPr>
        <w:spacing w:after="120"/>
        <w:jc w:val="both"/>
        <w:rPr>
          <w:rFonts w:ascii="Times New Roman"/>
          <w:sz w:val="20"/>
          <w:szCs w:val="20"/>
        </w:rPr>
      </w:pPr>
      <w:r w:rsidRPr="00CB012C">
        <w:rPr>
          <w:rFonts w:ascii="Times New Roman"/>
          <w:sz w:val="20"/>
          <w:szCs w:val="20"/>
        </w:rPr>
        <w:t>Advanced technological infrastructure plays a critical role in ensuring effective battery integration within microgrids, which encompass energy production, storage, and consumption (Zarate-Perez et al., 2022). Due to the inherent complexity of microgrids, advanced technology becomes indispensable (</w:t>
      </w:r>
      <w:proofErr w:type="spellStart"/>
      <w:r w:rsidRPr="00CB012C">
        <w:rPr>
          <w:rFonts w:ascii="Times New Roman"/>
          <w:sz w:val="20"/>
          <w:szCs w:val="20"/>
        </w:rPr>
        <w:t>Shufian</w:t>
      </w:r>
      <w:proofErr w:type="spellEnd"/>
      <w:r w:rsidRPr="00CB012C">
        <w:rPr>
          <w:rFonts w:ascii="Times New Roman"/>
          <w:sz w:val="20"/>
          <w:szCs w:val="20"/>
        </w:rPr>
        <w:t xml:space="preserve"> and Mohammad, 2022). With sufficient technological infrastructure, not only is higher-quality energy storage achievable, but faster solutions can also be developed for any system issues. Bovo et al. (2023) explored hydrogen energy storage in microgrids, concluding that advanced technology is crucial for their efficient operation. Lei et al. (2023) reviewed microgrid reliability, further highlighting the importance of technology. Youssef et al. (2023) also emphasized the need for technological infrastructure to enhance microgrid networks. Balaji et al. (2023) argued that technology is a key factor in boosting microgrid efficiency.</w:t>
      </w:r>
    </w:p>
    <w:p w14:paraId="17ACCFDD" w14:textId="77777777" w:rsidR="00361281" w:rsidRDefault="00361281" w:rsidP="00361281">
      <w:pPr>
        <w:jc w:val="both"/>
        <w:rPr>
          <w:rFonts w:ascii="Times New Roman"/>
          <w:sz w:val="20"/>
          <w:szCs w:val="20"/>
        </w:rPr>
      </w:pPr>
      <w:r w:rsidRPr="00CB012C">
        <w:rPr>
          <w:rFonts w:ascii="Times New Roman"/>
          <w:sz w:val="20"/>
          <w:szCs w:val="20"/>
        </w:rPr>
        <w:t xml:space="preserve">A key factor influencing battery integration in microgrids is the cost of batteries, which directly impacts the financial viability of microgrid projects. Beyond just the cost, factors such as battery performance, lifespan, efficiency, and integration must also be considered (Gamil et al., 2022). </w:t>
      </w:r>
      <w:proofErr w:type="spellStart"/>
      <w:r w:rsidRPr="00CB012C">
        <w:rPr>
          <w:rFonts w:ascii="Times New Roman"/>
          <w:sz w:val="20"/>
          <w:szCs w:val="20"/>
        </w:rPr>
        <w:t>Abdelghany</w:t>
      </w:r>
      <w:proofErr w:type="spellEnd"/>
      <w:r w:rsidRPr="00CB012C">
        <w:rPr>
          <w:rFonts w:ascii="Times New Roman"/>
          <w:sz w:val="20"/>
          <w:szCs w:val="20"/>
        </w:rPr>
        <w:t xml:space="preserve"> et al. (2023) highlighted that battery costs are crucial for the long-term sustainability of microgrids. Rahman et al. (2023) developed a model to evaluate energy storage costs, emphasizing the significance of battery costs in the overall energy storage equation. In their study on optimal microgrid planning to reduce carbon emissions, </w:t>
      </w:r>
      <w:proofErr w:type="spellStart"/>
      <w:r w:rsidRPr="00CB012C">
        <w:rPr>
          <w:rFonts w:ascii="Times New Roman"/>
          <w:sz w:val="20"/>
          <w:szCs w:val="20"/>
        </w:rPr>
        <w:t>Masaud</w:t>
      </w:r>
      <w:proofErr w:type="spellEnd"/>
      <w:r w:rsidRPr="00CB012C">
        <w:rPr>
          <w:rFonts w:ascii="Times New Roman"/>
          <w:sz w:val="20"/>
          <w:szCs w:val="20"/>
        </w:rPr>
        <w:t xml:space="preserve"> and </w:t>
      </w:r>
      <w:proofErr w:type="spellStart"/>
      <w:r w:rsidRPr="00CB012C">
        <w:rPr>
          <w:rFonts w:ascii="Times New Roman"/>
          <w:sz w:val="20"/>
          <w:szCs w:val="20"/>
        </w:rPr>
        <w:t>Nwaulu</w:t>
      </w:r>
      <w:proofErr w:type="spellEnd"/>
      <w:r w:rsidRPr="00CB012C">
        <w:rPr>
          <w:rFonts w:ascii="Times New Roman"/>
          <w:sz w:val="20"/>
          <w:szCs w:val="20"/>
        </w:rPr>
        <w:t xml:space="preserve"> (2023) noted that batteries represent a major cost factor in microgrids. Additionally, Siddique et al. (2023) and </w:t>
      </w:r>
      <w:proofErr w:type="spellStart"/>
      <w:r w:rsidRPr="00CB012C">
        <w:rPr>
          <w:rFonts w:ascii="Times New Roman"/>
          <w:sz w:val="20"/>
          <w:szCs w:val="20"/>
        </w:rPr>
        <w:t>Lipu</w:t>
      </w:r>
      <w:proofErr w:type="spellEnd"/>
      <w:r w:rsidRPr="00CB012C">
        <w:rPr>
          <w:rFonts w:ascii="Times New Roman"/>
          <w:sz w:val="20"/>
          <w:szCs w:val="20"/>
        </w:rPr>
        <w:t xml:space="preserve"> et al. (2022) stressed the importance of considering battery costs for optimal energy planning and risk analysis in microgrids.</w:t>
      </w:r>
    </w:p>
    <w:p w14:paraId="5BAF17DE" w14:textId="77777777" w:rsidR="00361281" w:rsidRDefault="00361281" w:rsidP="00361281">
      <w:pPr>
        <w:spacing w:after="120"/>
        <w:jc w:val="both"/>
        <w:rPr>
          <w:rFonts w:ascii="Times New Roman"/>
          <w:sz w:val="20"/>
          <w:szCs w:val="20"/>
        </w:rPr>
      </w:pPr>
      <w:r w:rsidRPr="00CB012C">
        <w:rPr>
          <w:rFonts w:ascii="Times New Roman"/>
          <w:sz w:val="20"/>
          <w:szCs w:val="20"/>
        </w:rPr>
        <w:t xml:space="preserve">The efficiency of energy distribution is another crucial factor for the success of microgrids, as it directly impacts their performance, sustainability, and economic viability (Masrur et al., 2022). Efficient energy distribution helps minimize losses, and it becomes even more essential due to the seasonal variations in renewable energy sources commonly used in microgrids (Choudhury, 2022). As such, energy distribution is a key component of these systems. Behrendt (2023) conducted research on aligning microgrids with European Union regulations, highlighting their potential to significantly contribute to the clean energy transition. Grisales-Noreña et al. (2023) focused on optimizing microgrid energy operating costs, emphasizing the critical role of energy distribution efficiency. Similarly, </w:t>
      </w:r>
      <w:proofErr w:type="spellStart"/>
      <w:r w:rsidRPr="00CB012C">
        <w:rPr>
          <w:rFonts w:ascii="Times New Roman"/>
          <w:sz w:val="20"/>
          <w:szCs w:val="20"/>
        </w:rPr>
        <w:t>Deowen</w:t>
      </w:r>
      <w:proofErr w:type="spellEnd"/>
      <w:r w:rsidRPr="00CB012C">
        <w:rPr>
          <w:rFonts w:ascii="Times New Roman"/>
          <w:sz w:val="20"/>
          <w:szCs w:val="20"/>
        </w:rPr>
        <w:t xml:space="preserve"> et al. (2023) explored the optimal design of microgrids for rural areas, concluding that efficient energy distribution is vital for the success of these systems.</w:t>
      </w:r>
    </w:p>
    <w:p w14:paraId="67337D88" w14:textId="77777777" w:rsidR="00361281" w:rsidRDefault="00361281" w:rsidP="00361281">
      <w:pPr>
        <w:spacing w:after="120"/>
        <w:jc w:val="both"/>
        <w:rPr>
          <w:rFonts w:ascii="Times New Roman"/>
          <w:sz w:val="20"/>
          <w:szCs w:val="20"/>
        </w:rPr>
      </w:pPr>
      <w:r w:rsidRPr="00CB012C">
        <w:rPr>
          <w:rFonts w:ascii="Times New Roman"/>
          <w:sz w:val="20"/>
          <w:szCs w:val="20"/>
        </w:rPr>
        <w:t>Accurate calculation of energy supply and demand is critical to the success of microgrids. Maintaining a balance between supply and demand helps prevent potential power outages (</w:t>
      </w:r>
      <w:proofErr w:type="spellStart"/>
      <w:r w:rsidRPr="00CB012C">
        <w:rPr>
          <w:rFonts w:ascii="Times New Roman"/>
          <w:sz w:val="20"/>
          <w:szCs w:val="20"/>
        </w:rPr>
        <w:t>Roccotelli</w:t>
      </w:r>
      <w:proofErr w:type="spellEnd"/>
      <w:r w:rsidRPr="00CB012C">
        <w:rPr>
          <w:rFonts w:ascii="Times New Roman"/>
          <w:sz w:val="20"/>
          <w:szCs w:val="20"/>
        </w:rPr>
        <w:t xml:space="preserve"> et al., 2022). Renewable energy production in microgrids can fluctuate with the seasons, making it even more essential to ensure this balance to avoid disruptions in energy consumption (Kama et al., 2022). Consequently, balancing energy supply and demand becomes a key consideration during the battery integration process in microgrids (Adak et al., 2022). Yang et al. (2023) explored ways to improve the supply-demand matching in microgrids, highlighting its importance for system efficiency. Rodrigues and Garcia (2023), in their review of microgrid networks, also emphasized that balancing supply and demand is vital for the sustainability of these systems. Similarly, Van et al. (2023) underscored the importance of this balance, while Shezan et al. (2023) pointed out that energy demand cannot be met solely through traditional methods, making the balance between supply and demand essential for microgrids.</w:t>
      </w:r>
    </w:p>
    <w:p w14:paraId="3D63BB19" w14:textId="77777777" w:rsidR="00361281" w:rsidRDefault="00361281" w:rsidP="00361281">
      <w:pPr>
        <w:spacing w:after="0"/>
        <w:jc w:val="both"/>
        <w:rPr>
          <w:rFonts w:ascii="Times New Roman"/>
          <w:sz w:val="20"/>
          <w:szCs w:val="20"/>
        </w:rPr>
      </w:pPr>
      <w:r w:rsidRPr="00CB012C">
        <w:rPr>
          <w:rFonts w:ascii="Times New Roman"/>
          <w:sz w:val="20"/>
          <w:szCs w:val="20"/>
        </w:rPr>
        <w:t>The literature review yields the following conclusions: (</w:t>
      </w:r>
      <w:proofErr w:type="spellStart"/>
      <w:r w:rsidRPr="00CB012C">
        <w:rPr>
          <w:rFonts w:ascii="Times New Roman"/>
          <w:sz w:val="20"/>
          <w:szCs w:val="20"/>
        </w:rPr>
        <w:t>i</w:t>
      </w:r>
      <w:proofErr w:type="spellEnd"/>
      <w:r w:rsidRPr="00CB012C">
        <w:rPr>
          <w:rFonts w:ascii="Times New Roman"/>
          <w:sz w:val="20"/>
          <w:szCs w:val="20"/>
        </w:rPr>
        <w:t xml:space="preserve">) </w:t>
      </w:r>
      <w:proofErr w:type="spellStart"/>
      <w:r w:rsidRPr="00CB012C">
        <w:rPr>
          <w:rFonts w:ascii="Times New Roman"/>
          <w:sz w:val="20"/>
          <w:szCs w:val="20"/>
        </w:rPr>
        <w:t>Microgrids</w:t>
      </w:r>
      <w:proofErr w:type="spellEnd"/>
      <w:r w:rsidRPr="00CB012C">
        <w:rPr>
          <w:rFonts w:ascii="Times New Roman"/>
          <w:sz w:val="20"/>
          <w:szCs w:val="20"/>
        </w:rPr>
        <w:t xml:space="preserve"> offer several advantages, including improved energy security, economic benefits, and enhanced efficiency. (ii) Various factors influence the success of microgrids. (iii) It is often not feasible to address all factors affecting microgrid success simultaneously, making it necessary to prioritize these factors based on their importance. (iv) There are, however, relatively few studies in the literature that focus on this aspect. The goal of this study is to identify the key strategies for enhancing microgrid efficiency, thereby addressing the gap in the existing literature with the proposed model.</w:t>
      </w:r>
    </w:p>
    <w:p w14:paraId="476A7151" w14:textId="77777777" w:rsidR="00CF47C4" w:rsidRPr="00A516D0" w:rsidRDefault="00CF47C4" w:rsidP="007F7C27">
      <w:pPr>
        <w:spacing w:after="0" w:line="240" w:lineRule="auto"/>
        <w:jc w:val="both"/>
        <w:rPr>
          <w:rFonts w:ascii="Times New Roman"/>
          <w:sz w:val="20"/>
          <w:szCs w:val="20"/>
        </w:rPr>
      </w:pPr>
    </w:p>
    <w:p w14:paraId="15225F33" w14:textId="4F8AFB93" w:rsidR="00361281" w:rsidRPr="00361281" w:rsidRDefault="00361281" w:rsidP="00361281">
      <w:pPr>
        <w:spacing w:after="120"/>
        <w:jc w:val="center"/>
        <w:rPr>
          <w:rFonts w:ascii="Times New Roman"/>
          <w:b/>
          <w:bCs/>
          <w:sz w:val="20"/>
          <w:szCs w:val="20"/>
        </w:rPr>
      </w:pPr>
      <w:r w:rsidRPr="00361281">
        <w:rPr>
          <w:rFonts w:ascii="Times New Roman"/>
          <w:b/>
          <w:szCs w:val="20"/>
        </w:rPr>
        <w:t>III Proposal</w:t>
      </w:r>
      <w:r w:rsidRPr="00361281">
        <w:rPr>
          <w:rFonts w:ascii="Times New Roman"/>
          <w:b/>
          <w:bCs/>
          <w:sz w:val="20"/>
          <w:szCs w:val="20"/>
        </w:rPr>
        <w:t xml:space="preserve"> Methodology</w:t>
      </w:r>
    </w:p>
    <w:p w14:paraId="62AAEBA3" w14:textId="77777777" w:rsidR="00361281" w:rsidRDefault="00361281" w:rsidP="00361281">
      <w:pPr>
        <w:spacing w:after="120"/>
        <w:jc w:val="both"/>
        <w:rPr>
          <w:rFonts w:ascii="Times New Roman"/>
          <w:sz w:val="20"/>
          <w:szCs w:val="20"/>
        </w:rPr>
      </w:pPr>
      <w:r w:rsidRPr="00CB012C">
        <w:rPr>
          <w:rFonts w:ascii="Times New Roman"/>
          <w:sz w:val="20"/>
          <w:szCs w:val="20"/>
        </w:rPr>
        <w:t>In this section of the study, the models utilized are presented. The DEMATEL method is applied to assess the importance levels of the criteria, while the RATGOS method is employed to rank the alternatives. Both methods incorporate sine trigonometric Pythagorean fuzzy numbers (STPYFs).</w:t>
      </w:r>
    </w:p>
    <w:p w14:paraId="521EAA53" w14:textId="4FEC4C2A" w:rsidR="00361281" w:rsidRPr="00EF3470" w:rsidRDefault="00361281" w:rsidP="00361281">
      <w:pPr>
        <w:spacing w:after="120"/>
        <w:jc w:val="both"/>
        <w:rPr>
          <w:rFonts w:ascii="Times New Roman"/>
          <w:b/>
          <w:bCs/>
          <w:sz w:val="20"/>
          <w:szCs w:val="20"/>
        </w:rPr>
      </w:pPr>
      <w:r w:rsidRPr="00EF3470">
        <w:rPr>
          <w:rFonts w:ascii="Times New Roman"/>
          <w:b/>
          <w:bCs/>
          <w:sz w:val="20"/>
          <w:szCs w:val="20"/>
        </w:rPr>
        <w:t>STPYF-DEMATEL</w:t>
      </w:r>
    </w:p>
    <w:p w14:paraId="7D791162" w14:textId="77777777" w:rsidR="00361281" w:rsidRPr="001813BC" w:rsidRDefault="00361281" w:rsidP="00361281">
      <w:pPr>
        <w:jc w:val="both"/>
        <w:rPr>
          <w:rFonts w:ascii="Times New Roman"/>
          <w:b/>
          <w:bCs/>
          <w:sz w:val="20"/>
          <w:szCs w:val="20"/>
        </w:rPr>
      </w:pPr>
      <w:r w:rsidRPr="00CB012C">
        <w:rPr>
          <w:rFonts w:ascii="Times New Roman"/>
          <w:sz w:val="20"/>
          <w:szCs w:val="20"/>
        </w:rPr>
        <w:t xml:space="preserve">The DEMATEL method is a multi-criteria decision-making (MCDM) tool that considers the causal relationships between criteria while determining their relative importance. It assumes that the criteria influence each other, and the importance weights are </w:t>
      </w:r>
      <w:r w:rsidRPr="00CB012C">
        <w:rPr>
          <w:rFonts w:ascii="Times New Roman"/>
          <w:sz w:val="20"/>
          <w:szCs w:val="20"/>
        </w:rPr>
        <w:lastRenderedPageBreak/>
        <w:t>calculated based on these effects, using pairwise comparisons as the foundation of the approach (Sun et al., 2022). Sine trigonometric Pythagorean fuzzy numbers (STPYFs) are a type of fuzzy set that incorporate linguistic uncertainty into the analysis through a nonlinear structure. When integrated with DEMATEL, STPYFs account for uncertainty, allowing for more realistic calculation of the criteria's weights. Initially, expert judgments are gathered and converted into STPYFs using the values provided in Table 1.</w:t>
      </w:r>
    </w:p>
    <w:p w14:paraId="289CD7A3" w14:textId="77777777" w:rsidR="00361281" w:rsidRPr="001813BC" w:rsidRDefault="00361281" w:rsidP="00361281">
      <w:pPr>
        <w:spacing w:after="0"/>
        <w:jc w:val="center"/>
        <w:rPr>
          <w:rFonts w:ascii="Times New Roman"/>
          <w:b/>
          <w:bCs/>
          <w:sz w:val="20"/>
          <w:szCs w:val="20"/>
        </w:rPr>
      </w:pPr>
      <w:r w:rsidRPr="001813BC">
        <w:rPr>
          <w:rFonts w:ascii="Times New Roman"/>
          <w:b/>
          <w:bCs/>
          <w:sz w:val="20"/>
          <w:szCs w:val="20"/>
        </w:rPr>
        <w:t>Table 1: Linguistic Variables</w:t>
      </w:r>
    </w:p>
    <w:tbl>
      <w:tblPr>
        <w:tblW w:w="5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18"/>
        <w:gridCol w:w="618"/>
        <w:gridCol w:w="490"/>
        <w:gridCol w:w="490"/>
        <w:gridCol w:w="1000"/>
        <w:gridCol w:w="1000"/>
      </w:tblGrid>
      <w:tr w:rsidR="00361281" w:rsidRPr="001813BC" w14:paraId="14714DEA" w14:textId="77777777" w:rsidTr="0085434A">
        <w:trPr>
          <w:trHeight w:val="20"/>
          <w:jc w:val="center"/>
        </w:trPr>
        <w:tc>
          <w:tcPr>
            <w:tcW w:w="2118" w:type="dxa"/>
            <w:vMerge w:val="restart"/>
            <w:shd w:val="clear" w:color="auto" w:fill="auto"/>
            <w:noWrap/>
            <w:vAlign w:val="center"/>
            <w:hideMark/>
          </w:tcPr>
          <w:p w14:paraId="24094595" w14:textId="77777777" w:rsidR="00361281" w:rsidRPr="001813BC" w:rsidRDefault="00361281" w:rsidP="0085434A">
            <w:pPr>
              <w:spacing w:after="0" w:line="240" w:lineRule="auto"/>
              <w:jc w:val="center"/>
              <w:rPr>
                <w:rFonts w:ascii="Times New Roman"/>
                <w:b/>
                <w:bCs/>
                <w:sz w:val="16"/>
                <w:szCs w:val="16"/>
                <w:lang w:eastAsia="tr-TR"/>
              </w:rPr>
            </w:pPr>
            <w:r w:rsidRPr="001813BC">
              <w:rPr>
                <w:rFonts w:ascii="Times New Roman"/>
                <w:b/>
                <w:bCs/>
                <w:sz w:val="16"/>
                <w:szCs w:val="16"/>
                <w:lang w:eastAsia="tr-TR"/>
              </w:rPr>
              <w:t>Linguistic Term</w:t>
            </w:r>
          </w:p>
        </w:tc>
        <w:tc>
          <w:tcPr>
            <w:tcW w:w="618" w:type="dxa"/>
            <w:vMerge w:val="restart"/>
            <w:shd w:val="clear" w:color="auto" w:fill="auto"/>
            <w:noWrap/>
            <w:vAlign w:val="center"/>
            <w:hideMark/>
          </w:tcPr>
          <w:p w14:paraId="12BF35E8" w14:textId="77777777" w:rsidR="00361281" w:rsidRPr="001813BC" w:rsidRDefault="00361281" w:rsidP="0085434A">
            <w:pPr>
              <w:spacing w:after="0" w:line="240" w:lineRule="auto"/>
              <w:jc w:val="center"/>
              <w:rPr>
                <w:rFonts w:ascii="Times New Roman"/>
                <w:b/>
                <w:bCs/>
                <w:sz w:val="16"/>
                <w:szCs w:val="16"/>
                <w:lang w:eastAsia="tr-TR"/>
              </w:rPr>
            </w:pPr>
            <w:r w:rsidRPr="001813BC">
              <w:rPr>
                <w:rFonts w:ascii="Times New Roman"/>
                <w:b/>
                <w:bCs/>
                <w:sz w:val="16"/>
                <w:szCs w:val="16"/>
                <w:lang w:eastAsia="tr-TR"/>
              </w:rPr>
              <w:t>Score</w:t>
            </w:r>
          </w:p>
        </w:tc>
        <w:tc>
          <w:tcPr>
            <w:tcW w:w="980" w:type="dxa"/>
            <w:gridSpan w:val="2"/>
            <w:shd w:val="clear" w:color="auto" w:fill="auto"/>
            <w:noWrap/>
            <w:vAlign w:val="center"/>
            <w:hideMark/>
          </w:tcPr>
          <w:p w14:paraId="4C83B16A" w14:textId="77777777" w:rsidR="00361281" w:rsidRPr="001813BC" w:rsidRDefault="00361281" w:rsidP="0085434A">
            <w:pPr>
              <w:spacing w:after="0" w:line="240" w:lineRule="auto"/>
              <w:jc w:val="center"/>
              <w:rPr>
                <w:rFonts w:ascii="Times New Roman"/>
                <w:b/>
                <w:bCs/>
                <w:sz w:val="16"/>
                <w:szCs w:val="16"/>
                <w:lang w:eastAsia="tr-TR"/>
              </w:rPr>
            </w:pPr>
            <w:r w:rsidRPr="001813BC">
              <w:rPr>
                <w:rFonts w:ascii="Times New Roman"/>
                <w:b/>
                <w:bCs/>
                <w:sz w:val="16"/>
                <w:szCs w:val="16"/>
                <w:lang w:eastAsia="tr-TR"/>
              </w:rPr>
              <w:t>PYFs</w:t>
            </w:r>
          </w:p>
        </w:tc>
        <w:tc>
          <w:tcPr>
            <w:tcW w:w="2000" w:type="dxa"/>
            <w:gridSpan w:val="2"/>
            <w:shd w:val="clear" w:color="auto" w:fill="auto"/>
            <w:noWrap/>
            <w:vAlign w:val="center"/>
            <w:hideMark/>
          </w:tcPr>
          <w:p w14:paraId="733A08D2" w14:textId="77777777" w:rsidR="00361281" w:rsidRPr="001813BC" w:rsidRDefault="00361281" w:rsidP="0085434A">
            <w:pPr>
              <w:spacing w:after="0" w:line="240" w:lineRule="auto"/>
              <w:jc w:val="center"/>
              <w:rPr>
                <w:rFonts w:ascii="Times New Roman"/>
                <w:b/>
                <w:bCs/>
                <w:sz w:val="16"/>
                <w:szCs w:val="16"/>
                <w:lang w:eastAsia="tr-TR"/>
              </w:rPr>
            </w:pPr>
            <w:r w:rsidRPr="001813BC">
              <w:rPr>
                <w:rFonts w:ascii="Times New Roman"/>
                <w:b/>
                <w:bCs/>
                <w:sz w:val="16"/>
                <w:szCs w:val="16"/>
                <w:lang w:eastAsia="tr-TR"/>
              </w:rPr>
              <w:t>STPYFs</w:t>
            </w:r>
          </w:p>
        </w:tc>
      </w:tr>
      <w:tr w:rsidR="00361281" w:rsidRPr="001813BC" w14:paraId="34E934F8" w14:textId="77777777" w:rsidTr="0085434A">
        <w:trPr>
          <w:trHeight w:val="20"/>
          <w:jc w:val="center"/>
        </w:trPr>
        <w:tc>
          <w:tcPr>
            <w:tcW w:w="2118" w:type="dxa"/>
            <w:vMerge/>
            <w:shd w:val="clear" w:color="auto" w:fill="auto"/>
            <w:noWrap/>
            <w:vAlign w:val="center"/>
            <w:hideMark/>
          </w:tcPr>
          <w:p w14:paraId="59C6B397" w14:textId="77777777" w:rsidR="00361281" w:rsidRPr="001813BC" w:rsidRDefault="00361281" w:rsidP="0085434A">
            <w:pPr>
              <w:spacing w:after="0" w:line="240" w:lineRule="auto"/>
              <w:jc w:val="center"/>
              <w:rPr>
                <w:rFonts w:ascii="Times New Roman"/>
                <w:b/>
                <w:bCs/>
                <w:sz w:val="16"/>
                <w:szCs w:val="16"/>
                <w:lang w:eastAsia="tr-TR"/>
              </w:rPr>
            </w:pPr>
          </w:p>
        </w:tc>
        <w:tc>
          <w:tcPr>
            <w:tcW w:w="618" w:type="dxa"/>
            <w:vMerge/>
            <w:shd w:val="clear" w:color="auto" w:fill="auto"/>
            <w:noWrap/>
            <w:vAlign w:val="center"/>
            <w:hideMark/>
          </w:tcPr>
          <w:p w14:paraId="36E4A0CA" w14:textId="77777777" w:rsidR="00361281" w:rsidRPr="001813BC" w:rsidRDefault="00361281" w:rsidP="0085434A">
            <w:pPr>
              <w:spacing w:after="0" w:line="240" w:lineRule="auto"/>
              <w:jc w:val="center"/>
              <w:rPr>
                <w:rFonts w:ascii="Times New Roman"/>
                <w:b/>
                <w:bCs/>
                <w:sz w:val="16"/>
                <w:szCs w:val="16"/>
                <w:lang w:eastAsia="tr-TR"/>
              </w:rPr>
            </w:pPr>
          </w:p>
        </w:tc>
        <w:tc>
          <w:tcPr>
            <w:tcW w:w="490" w:type="dxa"/>
            <w:shd w:val="clear" w:color="auto" w:fill="auto"/>
            <w:noWrap/>
            <w:vAlign w:val="center"/>
            <w:hideMark/>
          </w:tcPr>
          <w:p w14:paraId="7BF945AA" w14:textId="77777777" w:rsidR="00361281" w:rsidRPr="001813BC" w:rsidRDefault="00361281" w:rsidP="0085434A">
            <w:pPr>
              <w:spacing w:after="0" w:line="240" w:lineRule="auto"/>
              <w:jc w:val="center"/>
              <w:rPr>
                <w:rFonts w:ascii="Times New Roman"/>
                <w:b/>
                <w:bCs/>
                <w:sz w:val="16"/>
                <w:szCs w:val="16"/>
                <w:lang w:eastAsia="tr-TR"/>
              </w:rPr>
            </w:pPr>
            <m:oMathPara>
              <m:oMath>
                <m:r>
                  <m:rPr>
                    <m:sty m:val="bi"/>
                  </m:rPr>
                  <w:rPr>
                    <w:rFonts w:ascii="Cambria Math" w:hAnsi="Cambria Math"/>
                    <w:sz w:val="16"/>
                    <w:szCs w:val="16"/>
                  </w:rPr>
                  <m:t>μ</m:t>
                </m:r>
              </m:oMath>
            </m:oMathPara>
          </w:p>
        </w:tc>
        <w:tc>
          <w:tcPr>
            <w:tcW w:w="490" w:type="dxa"/>
            <w:shd w:val="clear" w:color="auto" w:fill="auto"/>
            <w:noWrap/>
            <w:vAlign w:val="center"/>
            <w:hideMark/>
          </w:tcPr>
          <w:p w14:paraId="24F27442" w14:textId="77777777" w:rsidR="00361281" w:rsidRPr="001813BC" w:rsidRDefault="00361281" w:rsidP="0085434A">
            <w:pPr>
              <w:spacing w:after="0" w:line="240" w:lineRule="auto"/>
              <w:jc w:val="center"/>
              <w:rPr>
                <w:rFonts w:ascii="Times New Roman"/>
                <w:b/>
                <w:bCs/>
                <w:sz w:val="16"/>
                <w:szCs w:val="16"/>
                <w:lang w:eastAsia="tr-TR"/>
              </w:rPr>
            </w:pPr>
            <w:r w:rsidRPr="001813BC">
              <w:rPr>
                <w:rFonts w:ascii="Times New Roman"/>
                <w:b/>
                <w:bCs/>
                <w:sz w:val="16"/>
                <w:szCs w:val="16"/>
                <w:lang w:eastAsia="tr-TR"/>
              </w:rPr>
              <w:t>v</w:t>
            </w:r>
          </w:p>
        </w:tc>
        <w:tc>
          <w:tcPr>
            <w:tcW w:w="1000" w:type="dxa"/>
            <w:shd w:val="clear" w:color="auto" w:fill="auto"/>
            <w:noWrap/>
            <w:vAlign w:val="center"/>
            <w:hideMark/>
          </w:tcPr>
          <w:p w14:paraId="0462D83B" w14:textId="77777777" w:rsidR="00361281" w:rsidRPr="001813BC" w:rsidRDefault="00361281" w:rsidP="0085434A">
            <w:pPr>
              <w:spacing w:after="0" w:line="240" w:lineRule="auto"/>
              <w:jc w:val="center"/>
              <w:rPr>
                <w:rFonts w:ascii="Times New Roman"/>
                <w:b/>
                <w:bCs/>
                <w:sz w:val="16"/>
                <w:szCs w:val="16"/>
                <w:lang w:eastAsia="tr-TR"/>
              </w:rPr>
            </w:pPr>
            <m:oMathPara>
              <m:oMath>
                <m:r>
                  <m:rPr>
                    <m:sty m:val="bi"/>
                  </m:rPr>
                  <w:rPr>
                    <w:rFonts w:ascii="Cambria Math" w:hAnsi="Cambria Math"/>
                    <w:sz w:val="16"/>
                    <w:szCs w:val="16"/>
                  </w:rPr>
                  <m:t>μ</m:t>
                </m:r>
              </m:oMath>
            </m:oMathPara>
          </w:p>
        </w:tc>
        <w:tc>
          <w:tcPr>
            <w:tcW w:w="1000" w:type="dxa"/>
            <w:shd w:val="clear" w:color="auto" w:fill="auto"/>
            <w:noWrap/>
            <w:vAlign w:val="center"/>
            <w:hideMark/>
          </w:tcPr>
          <w:p w14:paraId="5F0DF126" w14:textId="77777777" w:rsidR="00361281" w:rsidRPr="001813BC" w:rsidRDefault="00361281" w:rsidP="0085434A">
            <w:pPr>
              <w:spacing w:after="0" w:line="240" w:lineRule="auto"/>
              <w:jc w:val="center"/>
              <w:rPr>
                <w:rFonts w:ascii="Times New Roman"/>
                <w:b/>
                <w:bCs/>
                <w:sz w:val="16"/>
                <w:szCs w:val="16"/>
                <w:lang w:eastAsia="tr-TR"/>
              </w:rPr>
            </w:pPr>
            <w:r w:rsidRPr="001813BC">
              <w:rPr>
                <w:rFonts w:ascii="Times New Roman"/>
                <w:b/>
                <w:bCs/>
                <w:sz w:val="16"/>
                <w:szCs w:val="16"/>
                <w:lang w:eastAsia="tr-TR"/>
              </w:rPr>
              <w:t>v</w:t>
            </w:r>
          </w:p>
        </w:tc>
      </w:tr>
      <w:tr w:rsidR="00361281" w:rsidRPr="001813BC" w14:paraId="3AF04A3F" w14:textId="77777777" w:rsidTr="0085434A">
        <w:trPr>
          <w:trHeight w:val="20"/>
          <w:jc w:val="center"/>
        </w:trPr>
        <w:tc>
          <w:tcPr>
            <w:tcW w:w="2118" w:type="dxa"/>
            <w:shd w:val="clear" w:color="auto" w:fill="auto"/>
            <w:noWrap/>
            <w:vAlign w:val="center"/>
            <w:hideMark/>
          </w:tcPr>
          <w:p w14:paraId="71A1D2BA"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Very Low (VL)</w:t>
            </w:r>
          </w:p>
        </w:tc>
        <w:tc>
          <w:tcPr>
            <w:tcW w:w="618" w:type="dxa"/>
            <w:shd w:val="clear" w:color="auto" w:fill="auto"/>
            <w:noWrap/>
            <w:vAlign w:val="center"/>
            <w:hideMark/>
          </w:tcPr>
          <w:p w14:paraId="681E1218"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1</w:t>
            </w:r>
          </w:p>
        </w:tc>
        <w:tc>
          <w:tcPr>
            <w:tcW w:w="490" w:type="dxa"/>
            <w:shd w:val="clear" w:color="auto" w:fill="auto"/>
            <w:noWrap/>
            <w:vAlign w:val="center"/>
            <w:hideMark/>
          </w:tcPr>
          <w:p w14:paraId="64A90B8B"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16</w:t>
            </w:r>
          </w:p>
        </w:tc>
        <w:tc>
          <w:tcPr>
            <w:tcW w:w="490" w:type="dxa"/>
            <w:shd w:val="clear" w:color="auto" w:fill="auto"/>
            <w:noWrap/>
            <w:vAlign w:val="center"/>
            <w:hideMark/>
          </w:tcPr>
          <w:p w14:paraId="442CB1C2"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84</w:t>
            </w:r>
          </w:p>
        </w:tc>
        <w:tc>
          <w:tcPr>
            <w:tcW w:w="1000" w:type="dxa"/>
            <w:shd w:val="clear" w:color="auto" w:fill="auto"/>
            <w:noWrap/>
            <w:vAlign w:val="center"/>
            <w:hideMark/>
          </w:tcPr>
          <w:p w14:paraId="01AC264A"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.2334</w:t>
            </w:r>
          </w:p>
        </w:tc>
        <w:tc>
          <w:tcPr>
            <w:tcW w:w="1000" w:type="dxa"/>
            <w:shd w:val="clear" w:color="auto" w:fill="auto"/>
            <w:noWrap/>
            <w:vAlign w:val="center"/>
            <w:hideMark/>
          </w:tcPr>
          <w:p w14:paraId="44458AF2"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.5136</w:t>
            </w:r>
          </w:p>
        </w:tc>
      </w:tr>
      <w:tr w:rsidR="00361281" w:rsidRPr="001813BC" w14:paraId="4349D7C3" w14:textId="77777777" w:rsidTr="0085434A">
        <w:trPr>
          <w:trHeight w:val="20"/>
          <w:jc w:val="center"/>
        </w:trPr>
        <w:tc>
          <w:tcPr>
            <w:tcW w:w="2118" w:type="dxa"/>
            <w:shd w:val="clear" w:color="auto" w:fill="auto"/>
            <w:noWrap/>
            <w:vAlign w:val="center"/>
            <w:hideMark/>
          </w:tcPr>
          <w:p w14:paraId="2F5D25AF"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Low (L)</w:t>
            </w:r>
          </w:p>
        </w:tc>
        <w:tc>
          <w:tcPr>
            <w:tcW w:w="618" w:type="dxa"/>
            <w:shd w:val="clear" w:color="auto" w:fill="auto"/>
            <w:noWrap/>
            <w:vAlign w:val="center"/>
            <w:hideMark/>
          </w:tcPr>
          <w:p w14:paraId="237B7967"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2</w:t>
            </w:r>
          </w:p>
        </w:tc>
        <w:tc>
          <w:tcPr>
            <w:tcW w:w="490" w:type="dxa"/>
            <w:shd w:val="clear" w:color="auto" w:fill="auto"/>
            <w:noWrap/>
            <w:vAlign w:val="center"/>
            <w:hideMark/>
          </w:tcPr>
          <w:p w14:paraId="52ED1B31"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24</w:t>
            </w:r>
          </w:p>
        </w:tc>
        <w:tc>
          <w:tcPr>
            <w:tcW w:w="490" w:type="dxa"/>
            <w:shd w:val="clear" w:color="auto" w:fill="auto"/>
            <w:noWrap/>
            <w:vAlign w:val="center"/>
            <w:hideMark/>
          </w:tcPr>
          <w:p w14:paraId="6D38F82C"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76</w:t>
            </w:r>
          </w:p>
        </w:tc>
        <w:tc>
          <w:tcPr>
            <w:tcW w:w="1000" w:type="dxa"/>
            <w:shd w:val="clear" w:color="auto" w:fill="auto"/>
            <w:noWrap/>
            <w:vAlign w:val="center"/>
            <w:hideMark/>
          </w:tcPr>
          <w:p w14:paraId="3D9593DD"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.3827</w:t>
            </w:r>
          </w:p>
        </w:tc>
        <w:tc>
          <w:tcPr>
            <w:tcW w:w="1000" w:type="dxa"/>
            <w:shd w:val="clear" w:color="auto" w:fill="auto"/>
            <w:noWrap/>
            <w:vAlign w:val="center"/>
            <w:hideMark/>
          </w:tcPr>
          <w:p w14:paraId="2E566412"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.3716</w:t>
            </w:r>
          </w:p>
        </w:tc>
      </w:tr>
      <w:tr w:rsidR="00361281" w:rsidRPr="001813BC" w14:paraId="21370475" w14:textId="77777777" w:rsidTr="0085434A">
        <w:trPr>
          <w:trHeight w:val="20"/>
          <w:jc w:val="center"/>
        </w:trPr>
        <w:tc>
          <w:tcPr>
            <w:tcW w:w="2118" w:type="dxa"/>
            <w:shd w:val="clear" w:color="auto" w:fill="auto"/>
            <w:noWrap/>
            <w:vAlign w:val="center"/>
            <w:hideMark/>
          </w:tcPr>
          <w:p w14:paraId="02E729C9"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Moderately Low (ML)</w:t>
            </w:r>
          </w:p>
        </w:tc>
        <w:tc>
          <w:tcPr>
            <w:tcW w:w="618" w:type="dxa"/>
            <w:shd w:val="clear" w:color="auto" w:fill="auto"/>
            <w:noWrap/>
            <w:vAlign w:val="center"/>
            <w:hideMark/>
          </w:tcPr>
          <w:p w14:paraId="793AC49B"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3</w:t>
            </w:r>
          </w:p>
        </w:tc>
        <w:tc>
          <w:tcPr>
            <w:tcW w:w="490" w:type="dxa"/>
            <w:shd w:val="clear" w:color="auto" w:fill="auto"/>
            <w:noWrap/>
            <w:vAlign w:val="center"/>
            <w:hideMark/>
          </w:tcPr>
          <w:p w14:paraId="5E955E2D"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34</w:t>
            </w:r>
          </w:p>
        </w:tc>
        <w:tc>
          <w:tcPr>
            <w:tcW w:w="490" w:type="dxa"/>
            <w:shd w:val="clear" w:color="auto" w:fill="auto"/>
            <w:noWrap/>
            <w:vAlign w:val="center"/>
            <w:hideMark/>
          </w:tcPr>
          <w:p w14:paraId="234ADC76"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66</w:t>
            </w:r>
          </w:p>
        </w:tc>
        <w:tc>
          <w:tcPr>
            <w:tcW w:w="1000" w:type="dxa"/>
            <w:shd w:val="clear" w:color="auto" w:fill="auto"/>
            <w:noWrap/>
            <w:vAlign w:val="center"/>
            <w:hideMark/>
          </w:tcPr>
          <w:p w14:paraId="09F854DE"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.5225</w:t>
            </w:r>
          </w:p>
        </w:tc>
        <w:tc>
          <w:tcPr>
            <w:tcW w:w="1000" w:type="dxa"/>
            <w:shd w:val="clear" w:color="auto" w:fill="auto"/>
            <w:noWrap/>
            <w:vAlign w:val="center"/>
            <w:hideMark/>
          </w:tcPr>
          <w:p w14:paraId="16DC6C64"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.2651</w:t>
            </w:r>
          </w:p>
        </w:tc>
      </w:tr>
      <w:tr w:rsidR="00361281" w:rsidRPr="001813BC" w14:paraId="625B5301" w14:textId="77777777" w:rsidTr="0085434A">
        <w:trPr>
          <w:trHeight w:val="20"/>
          <w:jc w:val="center"/>
        </w:trPr>
        <w:tc>
          <w:tcPr>
            <w:tcW w:w="2118" w:type="dxa"/>
            <w:shd w:val="clear" w:color="auto" w:fill="auto"/>
            <w:noWrap/>
            <w:vAlign w:val="center"/>
            <w:hideMark/>
          </w:tcPr>
          <w:p w14:paraId="56B2C4F5"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Medium (M)</w:t>
            </w:r>
          </w:p>
        </w:tc>
        <w:tc>
          <w:tcPr>
            <w:tcW w:w="618" w:type="dxa"/>
            <w:shd w:val="clear" w:color="auto" w:fill="auto"/>
            <w:noWrap/>
            <w:vAlign w:val="center"/>
            <w:hideMark/>
          </w:tcPr>
          <w:p w14:paraId="233ADDA5"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4</w:t>
            </w:r>
          </w:p>
        </w:tc>
        <w:tc>
          <w:tcPr>
            <w:tcW w:w="490" w:type="dxa"/>
            <w:shd w:val="clear" w:color="auto" w:fill="auto"/>
            <w:noWrap/>
            <w:vAlign w:val="center"/>
            <w:hideMark/>
          </w:tcPr>
          <w:p w14:paraId="2455D956"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4</w:t>
            </w:r>
          </w:p>
        </w:tc>
        <w:tc>
          <w:tcPr>
            <w:tcW w:w="490" w:type="dxa"/>
            <w:shd w:val="clear" w:color="auto" w:fill="auto"/>
            <w:noWrap/>
            <w:vAlign w:val="center"/>
            <w:hideMark/>
          </w:tcPr>
          <w:p w14:paraId="0C7F7C48"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46</w:t>
            </w:r>
          </w:p>
        </w:tc>
        <w:tc>
          <w:tcPr>
            <w:tcW w:w="1000" w:type="dxa"/>
            <w:shd w:val="clear" w:color="auto" w:fill="auto"/>
            <w:noWrap/>
            <w:vAlign w:val="center"/>
            <w:hideMark/>
          </w:tcPr>
          <w:p w14:paraId="11CF86F0"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.7071</w:t>
            </w:r>
          </w:p>
        </w:tc>
        <w:tc>
          <w:tcPr>
            <w:tcW w:w="1000" w:type="dxa"/>
            <w:shd w:val="clear" w:color="auto" w:fill="auto"/>
            <w:noWrap/>
            <w:vAlign w:val="center"/>
            <w:hideMark/>
          </w:tcPr>
          <w:p w14:paraId="6178622D"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.1187</w:t>
            </w:r>
          </w:p>
        </w:tc>
      </w:tr>
      <w:tr w:rsidR="00361281" w:rsidRPr="001813BC" w14:paraId="4B529811" w14:textId="77777777" w:rsidTr="0085434A">
        <w:trPr>
          <w:trHeight w:val="20"/>
          <w:jc w:val="center"/>
        </w:trPr>
        <w:tc>
          <w:tcPr>
            <w:tcW w:w="2118" w:type="dxa"/>
            <w:shd w:val="clear" w:color="auto" w:fill="auto"/>
            <w:noWrap/>
            <w:vAlign w:val="center"/>
            <w:hideMark/>
          </w:tcPr>
          <w:p w14:paraId="648C3476"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Moderately High (MH)</w:t>
            </w:r>
          </w:p>
        </w:tc>
        <w:tc>
          <w:tcPr>
            <w:tcW w:w="618" w:type="dxa"/>
            <w:shd w:val="clear" w:color="auto" w:fill="auto"/>
            <w:noWrap/>
            <w:vAlign w:val="center"/>
            <w:hideMark/>
          </w:tcPr>
          <w:p w14:paraId="71C590AB"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5</w:t>
            </w:r>
          </w:p>
        </w:tc>
        <w:tc>
          <w:tcPr>
            <w:tcW w:w="490" w:type="dxa"/>
            <w:shd w:val="clear" w:color="auto" w:fill="auto"/>
            <w:noWrap/>
            <w:vAlign w:val="center"/>
            <w:hideMark/>
          </w:tcPr>
          <w:p w14:paraId="434BEF59"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66</w:t>
            </w:r>
          </w:p>
        </w:tc>
        <w:tc>
          <w:tcPr>
            <w:tcW w:w="490" w:type="dxa"/>
            <w:shd w:val="clear" w:color="auto" w:fill="auto"/>
            <w:noWrap/>
            <w:vAlign w:val="center"/>
            <w:hideMark/>
          </w:tcPr>
          <w:p w14:paraId="532A13A8"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34</w:t>
            </w:r>
          </w:p>
        </w:tc>
        <w:tc>
          <w:tcPr>
            <w:tcW w:w="1000" w:type="dxa"/>
            <w:shd w:val="clear" w:color="auto" w:fill="auto"/>
            <w:noWrap/>
            <w:vAlign w:val="center"/>
            <w:hideMark/>
          </w:tcPr>
          <w:p w14:paraId="1040E435"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.8526</w:t>
            </w:r>
          </w:p>
        </w:tc>
        <w:tc>
          <w:tcPr>
            <w:tcW w:w="1000" w:type="dxa"/>
            <w:shd w:val="clear" w:color="auto" w:fill="auto"/>
            <w:noWrap/>
            <w:vAlign w:val="center"/>
            <w:hideMark/>
          </w:tcPr>
          <w:p w14:paraId="247F865E"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.0702</w:t>
            </w:r>
          </w:p>
        </w:tc>
      </w:tr>
      <w:tr w:rsidR="00361281" w:rsidRPr="001813BC" w14:paraId="6021D93C" w14:textId="77777777" w:rsidTr="0085434A">
        <w:trPr>
          <w:trHeight w:val="20"/>
          <w:jc w:val="center"/>
        </w:trPr>
        <w:tc>
          <w:tcPr>
            <w:tcW w:w="2118" w:type="dxa"/>
            <w:shd w:val="clear" w:color="auto" w:fill="auto"/>
            <w:noWrap/>
            <w:vAlign w:val="center"/>
            <w:hideMark/>
          </w:tcPr>
          <w:p w14:paraId="3AA0AECD"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High (H)</w:t>
            </w:r>
          </w:p>
        </w:tc>
        <w:tc>
          <w:tcPr>
            <w:tcW w:w="618" w:type="dxa"/>
            <w:shd w:val="clear" w:color="auto" w:fill="auto"/>
            <w:noWrap/>
            <w:vAlign w:val="center"/>
            <w:hideMark/>
          </w:tcPr>
          <w:p w14:paraId="415EB428"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6</w:t>
            </w:r>
          </w:p>
        </w:tc>
        <w:tc>
          <w:tcPr>
            <w:tcW w:w="490" w:type="dxa"/>
            <w:shd w:val="clear" w:color="auto" w:fill="auto"/>
            <w:noWrap/>
            <w:vAlign w:val="center"/>
            <w:hideMark/>
          </w:tcPr>
          <w:p w14:paraId="69323985"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74</w:t>
            </w:r>
          </w:p>
        </w:tc>
        <w:tc>
          <w:tcPr>
            <w:tcW w:w="490" w:type="dxa"/>
            <w:shd w:val="clear" w:color="auto" w:fill="auto"/>
            <w:noWrap/>
            <w:vAlign w:val="center"/>
            <w:hideMark/>
          </w:tcPr>
          <w:p w14:paraId="46D59F19"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26</w:t>
            </w:r>
          </w:p>
        </w:tc>
        <w:tc>
          <w:tcPr>
            <w:tcW w:w="1000" w:type="dxa"/>
            <w:shd w:val="clear" w:color="auto" w:fill="auto"/>
            <w:noWrap/>
            <w:vAlign w:val="center"/>
            <w:hideMark/>
          </w:tcPr>
          <w:p w14:paraId="0C455E9F"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.9239</w:t>
            </w:r>
          </w:p>
        </w:tc>
        <w:tc>
          <w:tcPr>
            <w:tcW w:w="1000" w:type="dxa"/>
            <w:shd w:val="clear" w:color="auto" w:fill="auto"/>
            <w:noWrap/>
            <w:vAlign w:val="center"/>
            <w:hideMark/>
          </w:tcPr>
          <w:p w14:paraId="5C4BB9C0"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.0353</w:t>
            </w:r>
          </w:p>
        </w:tc>
      </w:tr>
      <w:tr w:rsidR="00361281" w:rsidRPr="001813BC" w14:paraId="559D1806" w14:textId="77777777" w:rsidTr="0085434A">
        <w:trPr>
          <w:trHeight w:val="20"/>
          <w:jc w:val="center"/>
        </w:trPr>
        <w:tc>
          <w:tcPr>
            <w:tcW w:w="2118" w:type="dxa"/>
            <w:shd w:val="clear" w:color="auto" w:fill="auto"/>
            <w:noWrap/>
            <w:vAlign w:val="center"/>
            <w:hideMark/>
          </w:tcPr>
          <w:p w14:paraId="0D97AE83"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Very High (VH)</w:t>
            </w:r>
          </w:p>
        </w:tc>
        <w:tc>
          <w:tcPr>
            <w:tcW w:w="618" w:type="dxa"/>
            <w:shd w:val="clear" w:color="auto" w:fill="auto"/>
            <w:noWrap/>
            <w:vAlign w:val="center"/>
            <w:hideMark/>
          </w:tcPr>
          <w:p w14:paraId="0F0E97A8"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7</w:t>
            </w:r>
          </w:p>
        </w:tc>
        <w:tc>
          <w:tcPr>
            <w:tcW w:w="490" w:type="dxa"/>
            <w:shd w:val="clear" w:color="auto" w:fill="auto"/>
            <w:noWrap/>
            <w:vAlign w:val="center"/>
            <w:hideMark/>
          </w:tcPr>
          <w:p w14:paraId="3DDCC71F"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87</w:t>
            </w:r>
          </w:p>
        </w:tc>
        <w:tc>
          <w:tcPr>
            <w:tcW w:w="490" w:type="dxa"/>
            <w:shd w:val="clear" w:color="auto" w:fill="auto"/>
            <w:noWrap/>
            <w:vAlign w:val="center"/>
            <w:hideMark/>
          </w:tcPr>
          <w:p w14:paraId="59CFC7DA"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w:t>
            </w:r>
            <w:r>
              <w:rPr>
                <w:rFonts w:ascii="Times New Roman"/>
                <w:sz w:val="16"/>
                <w:szCs w:val="16"/>
                <w:lang w:eastAsia="tr-TR"/>
              </w:rPr>
              <w:t>13</w:t>
            </w:r>
          </w:p>
        </w:tc>
        <w:tc>
          <w:tcPr>
            <w:tcW w:w="1000" w:type="dxa"/>
            <w:shd w:val="clear" w:color="auto" w:fill="auto"/>
            <w:noWrap/>
            <w:vAlign w:val="center"/>
            <w:hideMark/>
          </w:tcPr>
          <w:p w14:paraId="1332DD00"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.9724</w:t>
            </w:r>
          </w:p>
        </w:tc>
        <w:tc>
          <w:tcPr>
            <w:tcW w:w="1000" w:type="dxa"/>
            <w:shd w:val="clear" w:color="auto" w:fill="auto"/>
            <w:noWrap/>
            <w:vAlign w:val="center"/>
            <w:hideMark/>
          </w:tcPr>
          <w:p w14:paraId="21550492" w14:textId="77777777" w:rsidR="00361281" w:rsidRPr="001813BC" w:rsidRDefault="00361281" w:rsidP="0085434A">
            <w:pPr>
              <w:spacing w:after="0" w:line="240" w:lineRule="auto"/>
              <w:jc w:val="center"/>
              <w:rPr>
                <w:rFonts w:ascii="Times New Roman"/>
                <w:sz w:val="16"/>
                <w:szCs w:val="16"/>
                <w:lang w:eastAsia="tr-TR"/>
              </w:rPr>
            </w:pPr>
            <w:r w:rsidRPr="001813BC">
              <w:rPr>
                <w:rFonts w:ascii="Times New Roman"/>
                <w:sz w:val="16"/>
                <w:szCs w:val="16"/>
                <w:lang w:eastAsia="tr-TR"/>
              </w:rPr>
              <w:t>.0126</w:t>
            </w:r>
          </w:p>
        </w:tc>
      </w:tr>
    </w:tbl>
    <w:p w14:paraId="06AF86DC" w14:textId="21E214AA" w:rsidR="00361281" w:rsidRPr="001813BC" w:rsidRDefault="00361281" w:rsidP="00361281">
      <w:pPr>
        <w:spacing w:before="120" w:after="120" w:line="240" w:lineRule="auto"/>
        <w:jc w:val="both"/>
        <w:rPr>
          <w:rFonts w:ascii="Times New Roman"/>
          <w:sz w:val="20"/>
          <w:szCs w:val="20"/>
        </w:rPr>
      </w:pPr>
      <w:r w:rsidRPr="001813BC">
        <w:rPr>
          <w:rFonts w:ascii="Times New Roman"/>
          <w:sz w:val="20"/>
          <w:szCs w:val="20"/>
        </w:rPr>
        <w:t>With</w:t>
      </w:r>
      <w:r>
        <w:rPr>
          <w:rFonts w:ascii="Times New Roman"/>
          <w:sz w:val="20"/>
          <w:szCs w:val="20"/>
        </w:rPr>
        <w:t xml:space="preserve"> </w:t>
      </w:r>
      <w:r w:rsidRPr="001813BC">
        <w:rPr>
          <w:rFonts w:ascii="Times New Roman"/>
          <w:sz w:val="20"/>
          <w:szCs w:val="20"/>
        </w:rPr>
        <w:t xml:space="preserve">calculating the average of the </w:t>
      </w:r>
      <w:proofErr w:type="spellStart"/>
      <w:r w:rsidRPr="001813BC">
        <w:rPr>
          <w:rFonts w:ascii="Times New Roman"/>
          <w:i/>
          <w:iCs/>
          <w:sz w:val="20"/>
          <w:szCs w:val="20"/>
        </w:rPr>
        <w:t>k</w:t>
      </w:r>
      <w:r w:rsidRPr="001813BC">
        <w:rPr>
          <w:rFonts w:ascii="Times New Roman"/>
          <w:sz w:val="20"/>
          <w:szCs w:val="20"/>
        </w:rPr>
        <w:t>experts</w:t>
      </w:r>
      <w:proofErr w:type="spellEnd"/>
      <w:r w:rsidRPr="001813BC">
        <w:rPr>
          <w:rFonts w:ascii="Times New Roman"/>
          <w:sz w:val="20"/>
          <w:szCs w:val="20"/>
        </w:rPr>
        <w:t>’ opinions, sine trigonometric Pythagorean fuzzy initial matrix (</w:t>
      </w:r>
      <w:r w:rsidRPr="001813BC">
        <w:rPr>
          <w:rFonts w:ascii="Times New Roman"/>
          <w:i/>
          <w:iCs/>
          <w:sz w:val="20"/>
          <w:szCs w:val="20"/>
        </w:rPr>
        <w:t>A</w:t>
      </w:r>
      <w:r w:rsidRPr="001813BC">
        <w:rPr>
          <w:rFonts w:ascii="Times New Roman"/>
          <w:sz w:val="20"/>
          <w:szCs w:val="20"/>
        </w:rPr>
        <w:t xml:space="preserve">) is formed as in Equation (1). In this framework, </w:t>
      </w:r>
      <m:oMath>
        <m:r>
          <w:rPr>
            <w:rFonts w:ascii="Cambria Math" w:hAnsi="Cambria Math"/>
            <w:sz w:val="20"/>
            <w:szCs w:val="20"/>
          </w:rPr>
          <m:t>μ</m:t>
        </m:r>
      </m:oMath>
      <w:r w:rsidRPr="001813BC">
        <w:rPr>
          <w:rFonts w:ascii="Times New Roman"/>
          <w:sz w:val="20"/>
          <w:szCs w:val="20"/>
        </w:rPr>
        <w:t xml:space="preserve"> is the membership value while </w:t>
      </w:r>
      <w:r w:rsidRPr="001813BC">
        <w:rPr>
          <w:rFonts w:ascii="Times New Roman"/>
          <w:i/>
          <w:iCs/>
          <w:sz w:val="20"/>
          <w:szCs w:val="20"/>
        </w:rPr>
        <w:t>v</w:t>
      </w:r>
      <w:r w:rsidRPr="001813BC">
        <w:rPr>
          <w:rFonts w:ascii="Times New Roman"/>
          <w:sz w:val="20"/>
          <w:szCs w:val="20"/>
        </w:rPr>
        <w:t xml:space="preserve"> shows the non-membership value. Equation (2) is used to calculate the arithmetic mean.</w:t>
      </w:r>
    </w:p>
    <w:p w14:paraId="14CD7B1B" w14:textId="4E762EB2" w:rsidR="00361281" w:rsidRPr="00361281" w:rsidRDefault="004927ED" w:rsidP="00EF3470">
      <w:pPr>
        <w:tabs>
          <w:tab w:val="left" w:pos="9360"/>
        </w:tabs>
        <w:spacing w:after="0" w:line="240" w:lineRule="auto"/>
        <w:jc w:val="both"/>
        <w:rPr>
          <w:rFonts w:ascii="Times New Roman" w:eastAsiaTheme="minorEastAsia"/>
          <w:sz w:val="20"/>
          <w:szCs w:val="20"/>
        </w:rPr>
      </w:pPr>
      <w:r>
        <w:rPr>
          <w:rFonts w:ascii="Times New Roman"/>
          <w:sz w:val="20"/>
          <w:szCs w:val="20"/>
        </w:rPr>
        <w:t xml:space="preserve">        </w:t>
      </w: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(0,0)</m:t>
                  </m:r>
                </m:e>
                <m:e>
                  <m:r>
                    <w:rPr>
                      <w:rFonts w:ascii="Cambria Math" w:hAnsi="Cambria Math"/>
                      <w:sz w:val="20"/>
                      <w:szCs w:val="20"/>
                    </w:rPr>
                    <m:t>⋯</m:t>
                  </m:r>
                </m:e>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1n</m:t>
                                  </m:r>
                                </m:sub>
                              </m:sSub>
                            </m:e>
                          </m:d>
                        </m:e>
                      </m:func>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1n</m:t>
                                          </m:r>
                                        </m:sub>
                                        <m:sup>
                                          <m:r>
                                            <w:rPr>
                                              <w:rFonts w:ascii="Cambria Math" w:hAnsi="Cambria Math"/>
                                              <w:sz w:val="20"/>
                                              <w:szCs w:val="20"/>
                                            </w:rPr>
                                            <m:t>2</m:t>
                                          </m:r>
                                        </m:sup>
                                      </m:sSubSup>
                                    </m:e>
                                  </m:rad>
                                </m:e>
                              </m:d>
                            </m:e>
                          </m:func>
                        </m:e>
                      </m:rad>
                    </m:e>
                  </m:d>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n1</m:t>
                                  </m:r>
                                </m:sub>
                              </m:sSub>
                            </m:e>
                          </m:d>
                        </m:e>
                      </m:func>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n1</m:t>
                                          </m:r>
                                        </m:sub>
                                        <m:sup>
                                          <m:r>
                                            <w:rPr>
                                              <w:rFonts w:ascii="Cambria Math" w:hAnsi="Cambria Math"/>
                                              <w:sz w:val="20"/>
                                              <w:szCs w:val="20"/>
                                            </w:rPr>
                                            <m:t>2</m:t>
                                          </m:r>
                                        </m:sup>
                                      </m:sSubSup>
                                    </m:e>
                                  </m:rad>
                                </m:e>
                              </m:d>
                            </m:e>
                          </m:func>
                        </m:e>
                      </m:rad>
                    </m:e>
                  </m:d>
                </m:e>
                <m:e>
                  <m:r>
                    <w:rPr>
                      <w:rFonts w:ascii="Cambria Math" w:hAnsi="Cambria Math"/>
                      <w:sz w:val="20"/>
                      <w:szCs w:val="20"/>
                    </w:rPr>
                    <m:t>⋯</m:t>
                  </m:r>
                </m:e>
                <m:e>
                  <m:d>
                    <m:dPr>
                      <m:ctrlPr>
                        <w:rPr>
                          <w:rFonts w:ascii="Cambria Math" w:hAnsi="Cambria Math"/>
                          <w:i/>
                          <w:sz w:val="20"/>
                          <w:szCs w:val="20"/>
                        </w:rPr>
                      </m:ctrlPr>
                    </m:dPr>
                    <m:e>
                      <m:r>
                        <w:rPr>
                          <w:rFonts w:ascii="Cambria Math" w:hAnsi="Cambria Math"/>
                          <w:sz w:val="20"/>
                          <w:szCs w:val="20"/>
                        </w:rPr>
                        <m:t>0,0</m:t>
                      </m:r>
                    </m:e>
                  </m:d>
                </m:e>
              </m:mr>
            </m:m>
          </m:e>
        </m:d>
        <m:r>
          <w:rPr>
            <w:rFonts w:ascii="Cambria Math" w:hAnsi="Cambria Math"/>
            <w:sz w:val="20"/>
            <w:szCs w:val="20"/>
          </w:rPr>
          <m:t xml:space="preserve">                  (1)</m:t>
        </m:r>
      </m:oMath>
      <w:r>
        <w:rPr>
          <w:rFonts w:ascii="Times New Roman" w:eastAsiaTheme="minorEastAsia"/>
          <w:sz w:val="20"/>
          <w:szCs w:val="20"/>
        </w:rPr>
        <w:tab/>
      </w:r>
    </w:p>
    <w:p w14:paraId="10666027" w14:textId="77777777" w:rsidR="00361281" w:rsidRPr="00361281" w:rsidRDefault="00361281" w:rsidP="00EF3470">
      <w:pPr>
        <w:spacing w:after="0"/>
        <w:jc w:val="both"/>
        <w:rPr>
          <w:rFonts w:ascii="Times New Roman"/>
          <w:sz w:val="20"/>
          <w:szCs w:val="20"/>
        </w:rPr>
      </w:pPr>
      <m:oMathPara>
        <m:oMathParaPr>
          <m:jc m:val="center"/>
        </m:oMathParaPr>
        <m:oMath>
          <m:r>
            <w:rPr>
              <w:rFonts w:ascii="Cambria Math" w:hAnsi="Cambria Math"/>
              <w:sz w:val="20"/>
              <w:szCs w:val="20"/>
            </w:rPr>
            <m:t>STPFWA=</m:t>
          </m:r>
          <m:d>
            <m:dPr>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e>
                                  </m:d>
                                </m:e>
                              </m:func>
                            </m:e>
                          </m:d>
                        </m:e>
                        <m:sup>
                          <m:r>
                            <w:rPr>
                              <w:rFonts w:ascii="Cambria Math" w:hAnsi="Cambria Math"/>
                              <w:sz w:val="20"/>
                              <w:szCs w:val="20"/>
                            </w:rPr>
                            <m:t>1/k</m:t>
                          </m:r>
                        </m:sup>
                      </m:sSup>
                    </m:e>
                  </m:nary>
                </m:e>
              </m:ra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2</m:t>
                                              </m:r>
                                            </m:sup>
                                          </m:sSubSup>
                                        </m:e>
                                      </m:rad>
                                    </m:e>
                                  </m:d>
                                </m:e>
                              </m:func>
                            </m:e>
                          </m:rad>
                        </m:e>
                      </m:d>
                    </m:e>
                    <m:sup>
                      <m:r>
                        <w:rPr>
                          <w:rFonts w:ascii="Cambria Math" w:hAnsi="Cambria Math"/>
                          <w:sz w:val="20"/>
                          <w:szCs w:val="20"/>
                        </w:rPr>
                        <m:t>1/k</m:t>
                      </m:r>
                    </m:sup>
                  </m:sSup>
                </m:e>
              </m:nary>
            </m:e>
          </m:d>
          <m:r>
            <w:rPr>
              <w:rFonts w:ascii="Cambria Math" w:hAnsi="Cambria Math"/>
              <w:sz w:val="20"/>
              <w:szCs w:val="20"/>
            </w:rPr>
            <m:t xml:space="preserve">              (2)</m:t>
          </m:r>
        </m:oMath>
      </m:oMathPara>
    </w:p>
    <w:p w14:paraId="428383D9" w14:textId="77777777" w:rsidR="00361281" w:rsidRPr="001813BC" w:rsidRDefault="00361281" w:rsidP="00EF3470">
      <w:pPr>
        <w:spacing w:after="0"/>
        <w:jc w:val="both"/>
        <w:rPr>
          <w:rFonts w:ascii="Times New Roman"/>
          <w:sz w:val="20"/>
          <w:szCs w:val="20"/>
        </w:rPr>
      </w:pPr>
      <w:r w:rsidRPr="001813BC">
        <w:rPr>
          <w:rFonts w:ascii="Times New Roman"/>
          <w:sz w:val="20"/>
          <w:szCs w:val="20"/>
        </w:rPr>
        <w:t xml:space="preserve">Equation (3) is considered to compute </w:t>
      </w:r>
      <w:proofErr w:type="spellStart"/>
      <w:r w:rsidRPr="001813BC">
        <w:rPr>
          <w:rFonts w:ascii="Times New Roman"/>
          <w:sz w:val="20"/>
          <w:szCs w:val="20"/>
        </w:rPr>
        <w:t>defuzzified</w:t>
      </w:r>
      <w:proofErr w:type="spellEnd"/>
      <w:r w:rsidRPr="001813BC">
        <w:rPr>
          <w:rFonts w:ascii="Times New Roman"/>
          <w:sz w:val="20"/>
          <w:szCs w:val="20"/>
        </w:rPr>
        <w:t xml:space="preserve"> values. </w:t>
      </w:r>
    </w:p>
    <w:p w14:paraId="4A65E0D7" w14:textId="08B30E8F" w:rsidR="00361281" w:rsidRPr="00361281" w:rsidRDefault="004927ED" w:rsidP="00EF3470">
      <w:pPr>
        <w:spacing w:after="0"/>
        <w:jc w:val="both"/>
        <w:rPr>
          <w:rFonts w:ascii="Times New Roman"/>
          <w:sz w:val="20"/>
          <w:szCs w:val="20"/>
        </w:rPr>
      </w:pPr>
      <w:r>
        <w:rPr>
          <w:rFonts w:ascii="Times New Roman"/>
          <w:sz w:val="20"/>
          <w:szCs w:val="20"/>
        </w:rPr>
        <w:t xml:space="preserve">                                          </w:t>
      </w:r>
      <m:oMath>
        <m:r>
          <w:rPr>
            <w:rFonts w:ascii="Cambria Math" w:hAnsi="Cambria Math"/>
            <w:sz w:val="20"/>
            <w:szCs w:val="20"/>
          </w:rPr>
          <m:t>S</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p</m:t>
                </m:r>
              </m:e>
            </m:func>
          </m:e>
        </m:d>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p</m:t>
                    </m:r>
                  </m:sub>
                </m:sSub>
              </m:e>
            </m:d>
          </m:e>
        </m:func>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p</m:t>
                                    </m:r>
                                  </m:sub>
                                  <m:sup>
                                    <m:r>
                                      <w:rPr>
                                        <w:rFonts w:ascii="Cambria Math" w:hAnsi="Cambria Math"/>
                                        <w:sz w:val="20"/>
                                        <w:szCs w:val="20"/>
                                      </w:rPr>
                                      <m:t>2</m:t>
                                    </m:r>
                                  </m:sup>
                                </m:sSubSup>
                              </m:e>
                            </m:rad>
                          </m:e>
                        </m:d>
                      </m:e>
                    </m:func>
                  </m:e>
                </m:rad>
              </m:e>
            </m:d>
          </m:e>
          <m:sup>
            <m:r>
              <w:rPr>
                <w:rFonts w:ascii="Cambria Math" w:hAnsi="Cambria Math"/>
                <w:sz w:val="20"/>
                <w:szCs w:val="20"/>
              </w:rPr>
              <m:t>2</m:t>
            </m:r>
          </m:sup>
        </m:sSup>
        <m:r>
          <w:rPr>
            <w:rFonts w:ascii="Cambria Math" w:hAnsi="Cambria Math"/>
            <w:sz w:val="20"/>
            <w:szCs w:val="20"/>
          </w:rPr>
          <m:t xml:space="preserve">                                                       (3)</m:t>
        </m:r>
      </m:oMath>
    </w:p>
    <w:p w14:paraId="416F7D1C" w14:textId="77777777" w:rsidR="00361281" w:rsidRPr="001813BC" w:rsidRDefault="00361281" w:rsidP="00EF3470">
      <w:pPr>
        <w:spacing w:after="0"/>
        <w:jc w:val="both"/>
        <w:rPr>
          <w:rFonts w:ascii="Times New Roman"/>
          <w:sz w:val="20"/>
          <w:szCs w:val="20"/>
        </w:rPr>
      </w:pPr>
      <w:r w:rsidRPr="001813BC">
        <w:rPr>
          <w:rFonts w:ascii="Times New Roman"/>
          <w:sz w:val="20"/>
          <w:szCs w:val="20"/>
        </w:rPr>
        <w:t>Then, by Equations (4) and (5), a normalized direct-relation matrix (</w:t>
      </w:r>
      <w:r w:rsidRPr="001813BC">
        <w:rPr>
          <w:rFonts w:ascii="Times New Roman"/>
          <w:i/>
          <w:iCs/>
          <w:sz w:val="20"/>
          <w:szCs w:val="20"/>
        </w:rPr>
        <w:t>X</w:t>
      </w:r>
      <w:r w:rsidRPr="001813BC">
        <w:rPr>
          <w:rFonts w:ascii="Times New Roman"/>
          <w:sz w:val="20"/>
          <w:szCs w:val="20"/>
        </w:rPr>
        <w:t>) is created.</w:t>
      </w:r>
    </w:p>
    <w:p w14:paraId="6D1F6F50" w14:textId="197CD6F7" w:rsidR="00361281" w:rsidRPr="00361281" w:rsidRDefault="004927ED" w:rsidP="00EF3470">
      <w:pPr>
        <w:spacing w:after="0"/>
        <w:jc w:val="both"/>
        <w:rPr>
          <w:rFonts w:ascii="Times New Roman"/>
          <w:sz w:val="20"/>
          <w:szCs w:val="20"/>
        </w:rPr>
      </w:pPr>
      <w:r>
        <w:rPr>
          <w:rFonts w:ascii="Times New Roman"/>
          <w:sz w:val="20"/>
          <w:szCs w:val="20"/>
        </w:rPr>
        <w:t xml:space="preserve">                                                                       </w:t>
      </w:r>
      <m:oMath>
        <m:r>
          <w:rPr>
            <w:rFonts w:ascii="Cambria Math" w:hAnsi="Cambria Math"/>
            <w:sz w:val="20"/>
            <w:szCs w:val="20"/>
          </w:rPr>
          <m:t xml:space="preserve">X=s.A                                                                                                         </m:t>
        </m:r>
        <m:d>
          <m:dPr>
            <m:ctrlPr>
              <w:rPr>
                <w:rFonts w:ascii="Cambria Math" w:hAnsi="Cambria Math"/>
                <w:i/>
                <w:sz w:val="20"/>
                <w:szCs w:val="20"/>
              </w:rPr>
            </m:ctrlPr>
          </m:dPr>
          <m:e>
            <m:r>
              <w:rPr>
                <w:rFonts w:ascii="Cambria Math" w:hAnsi="Cambria Math"/>
                <w:sz w:val="20"/>
                <w:szCs w:val="20"/>
              </w:rPr>
              <m:t>4</m:t>
            </m:r>
          </m:e>
        </m:d>
      </m:oMath>
    </w:p>
    <w:p w14:paraId="69FE4F97" w14:textId="6ED7360F" w:rsidR="00361281" w:rsidRPr="00361281" w:rsidRDefault="004927ED" w:rsidP="00EF3470">
      <w:pPr>
        <w:spacing w:after="0"/>
        <w:jc w:val="both"/>
        <w:rPr>
          <w:rFonts w:ascii="Times New Roman"/>
          <w:sz w:val="20"/>
          <w:szCs w:val="20"/>
        </w:rPr>
      </w:pPr>
      <w:r>
        <w:rPr>
          <w:rFonts w:ascii="Times New Roman"/>
          <w:sz w:val="20"/>
          <w:szCs w:val="20"/>
        </w:rPr>
        <w:t xml:space="preserve">                                                              </w:t>
      </w:r>
      <m:oMath>
        <m:r>
          <w:rPr>
            <w:rFonts w:ascii="Cambria Math" w:hAnsi="Cambria Math"/>
            <w:sz w:val="20"/>
            <w:szCs w:val="20"/>
          </w:rPr>
          <m:t>s=</m:t>
        </m:r>
        <m:func>
          <m:funcPr>
            <m:ctrlPr>
              <w:rPr>
                <w:rFonts w:ascii="Cambria Math" w:hAnsi="Cambria Math"/>
                <w:i/>
                <w:sz w:val="20"/>
                <w:szCs w:val="20"/>
              </w:rPr>
            </m:ctrlPr>
          </m:funcPr>
          <m:fName>
            <m:r>
              <m:rPr>
                <m:sty m:val="p"/>
              </m:rPr>
              <w:rPr>
                <w:rFonts w:ascii="Cambria Math" w:hAnsi="Cambria Math"/>
                <w:sz w:val="20"/>
                <w:szCs w:val="20"/>
              </w:rPr>
              <m:t>min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e>
                    </m:nary>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e>
                    </m:nary>
                  </m:den>
                </m:f>
              </m:e>
            </m:d>
          </m:e>
        </m:func>
        <m:r>
          <w:rPr>
            <w:rFonts w:ascii="Cambria Math" w:hAnsi="Cambria Math"/>
            <w:sz w:val="20"/>
            <w:szCs w:val="20"/>
          </w:rPr>
          <m:t xml:space="preserve">                                                                                  (5)</m:t>
        </m:r>
      </m:oMath>
    </w:p>
    <w:p w14:paraId="5C4033B0" w14:textId="77777777" w:rsidR="00361281" w:rsidRPr="001813BC" w:rsidRDefault="00361281" w:rsidP="00EF3470">
      <w:pPr>
        <w:spacing w:after="0"/>
        <w:jc w:val="both"/>
        <w:rPr>
          <w:rFonts w:ascii="Times New Roman"/>
          <w:sz w:val="20"/>
          <w:szCs w:val="20"/>
        </w:rPr>
      </w:pPr>
      <w:r w:rsidRPr="001813BC">
        <w:rPr>
          <w:rFonts w:ascii="Times New Roman"/>
          <w:sz w:val="20"/>
          <w:szCs w:val="20"/>
        </w:rPr>
        <w:t>In the other step, total relation matrix (</w:t>
      </w:r>
      <w:r w:rsidRPr="001813BC">
        <w:rPr>
          <w:rFonts w:ascii="Times New Roman"/>
          <w:i/>
          <w:iCs/>
          <w:sz w:val="20"/>
          <w:szCs w:val="20"/>
        </w:rPr>
        <w:t>T</w:t>
      </w:r>
      <w:r w:rsidRPr="001813BC">
        <w:rPr>
          <w:rFonts w:ascii="Times New Roman"/>
          <w:sz w:val="20"/>
          <w:szCs w:val="20"/>
        </w:rPr>
        <w:t>) is constructed using Equation (6).</w:t>
      </w:r>
    </w:p>
    <w:p w14:paraId="260BCCFE" w14:textId="187E0E57" w:rsidR="00361281" w:rsidRPr="00361281" w:rsidRDefault="004927ED" w:rsidP="00EF3470">
      <w:pPr>
        <w:spacing w:after="0"/>
        <w:jc w:val="both"/>
        <w:rPr>
          <w:rFonts w:ascii="Times New Roman" w:eastAsiaTheme="minorEastAsia"/>
          <w:sz w:val="20"/>
          <w:szCs w:val="20"/>
        </w:rPr>
      </w:pPr>
      <w:r>
        <w:rPr>
          <w:rFonts w:ascii="Times New Roman"/>
          <w:sz w:val="20"/>
          <w:szCs w:val="20"/>
        </w:rPr>
        <w:t xml:space="preserve">                                                                         </w:t>
      </w:r>
      <m:oMath>
        <m:r>
          <w:rPr>
            <w:rFonts w:ascii="Cambria Math" w:hAnsi="Cambria Math"/>
            <w:sz w:val="20"/>
            <w:szCs w:val="20"/>
          </w:rPr>
          <m:t>T=X*</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I-X</m:t>
                </m:r>
              </m:e>
            </m:d>
          </m:e>
          <m:sup>
            <m:r>
              <w:rPr>
                <w:rFonts w:ascii="Cambria Math" w:hAnsi="Cambria Math"/>
                <w:sz w:val="20"/>
                <w:szCs w:val="20"/>
              </w:rPr>
              <m:t>-1</m:t>
            </m:r>
          </m:sup>
        </m:sSup>
        <m:r>
          <w:rPr>
            <w:rFonts w:ascii="Cambria Math" w:hAnsi="Cambria Math"/>
            <w:sz w:val="20"/>
            <w:szCs w:val="20"/>
          </w:rPr>
          <m:t xml:space="preserve">                                                                                    (6)</m:t>
        </m:r>
      </m:oMath>
    </w:p>
    <w:p w14:paraId="2DC3EEE3" w14:textId="77777777" w:rsidR="00361281" w:rsidRPr="001813BC" w:rsidRDefault="00361281" w:rsidP="00EF3470">
      <w:pPr>
        <w:spacing w:after="0"/>
        <w:jc w:val="both"/>
        <w:rPr>
          <w:rFonts w:ascii="Times New Roman"/>
          <w:sz w:val="20"/>
          <w:szCs w:val="20"/>
        </w:rPr>
      </w:pPr>
      <w:r w:rsidRPr="001813BC">
        <w:rPr>
          <w:rFonts w:ascii="Times New Roman"/>
          <w:sz w:val="20"/>
          <w:szCs w:val="20"/>
        </w:rPr>
        <w:t>Then, the row (R) and column (D) sums of this matrix are obtained with Equations (7) and (8).</w:t>
      </w:r>
    </w:p>
    <w:p w14:paraId="50B0404C" w14:textId="08BF964F" w:rsidR="00361281" w:rsidRPr="00361281" w:rsidRDefault="004927ED" w:rsidP="00EF3470">
      <w:pPr>
        <w:spacing w:after="0"/>
        <w:jc w:val="both"/>
        <w:rPr>
          <w:rFonts w:ascii="Times New Roman"/>
          <w:sz w:val="20"/>
          <w:szCs w:val="20"/>
        </w:rPr>
      </w:pPr>
      <w:r>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nary>
        <m:r>
          <w:rPr>
            <w:rFonts w:ascii="Cambria Math" w:hAnsi="Cambria Math"/>
            <w:sz w:val="20"/>
            <w:szCs w:val="20"/>
          </w:rPr>
          <m:t xml:space="preserve">                                                                                                                 (7)</m:t>
        </m:r>
      </m:oMath>
    </w:p>
    <w:p w14:paraId="149F888A" w14:textId="63143D01" w:rsidR="00361281" w:rsidRPr="00361281" w:rsidRDefault="004927ED" w:rsidP="00EF3470">
      <w:pPr>
        <w:spacing w:after="0"/>
        <w:jc w:val="both"/>
        <w:rPr>
          <w:rFonts w:ascii="Times New Roman"/>
          <w:sz w:val="20"/>
          <w:szCs w:val="20"/>
        </w:rPr>
      </w:pPr>
      <w:r>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nary>
        <m:r>
          <w:rPr>
            <w:rFonts w:ascii="Cambria Math" w:hAnsi="Cambria Math"/>
            <w:sz w:val="20"/>
            <w:szCs w:val="20"/>
          </w:rPr>
          <m:t xml:space="preserve">                                                                                                                 (8)</m:t>
        </m:r>
      </m:oMath>
    </w:p>
    <w:p w14:paraId="4745E34F" w14:textId="77777777" w:rsidR="00361281" w:rsidRPr="001813BC" w:rsidRDefault="00361281" w:rsidP="00EF3470">
      <w:pPr>
        <w:spacing w:after="0"/>
        <w:jc w:val="both"/>
        <w:rPr>
          <w:rFonts w:ascii="Times New Roman"/>
          <w:sz w:val="20"/>
          <w:szCs w:val="20"/>
        </w:rPr>
      </w:pPr>
      <w:r w:rsidRPr="001813BC">
        <w:rPr>
          <w:rFonts w:ascii="Times New Roman"/>
          <w:sz w:val="20"/>
          <w:szCs w:val="20"/>
        </w:rPr>
        <w:t>With the help of row and column totals, weights (w) are calculated by Equation (9).</w:t>
      </w:r>
    </w:p>
    <w:p w14:paraId="5F2E2AFC" w14:textId="77777777" w:rsidR="00361281" w:rsidRPr="00361281" w:rsidRDefault="0087618F" w:rsidP="00EF3470">
      <w:pPr>
        <w:spacing w:after="0"/>
        <w:jc w:val="both"/>
        <w:rPr>
          <w:rFonts w:ascii="Times New Roman"/>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d>
                    </m:e>
                    <m:sup>
                      <m:r>
                        <w:rPr>
                          <w:rFonts w:ascii="Cambria Math" w:hAnsi="Cambria Math"/>
                          <w:sz w:val="20"/>
                          <w:szCs w:val="20"/>
                        </w:rPr>
                        <m:t>2</m:t>
                      </m:r>
                    </m:sup>
                  </m:sSup>
                </m:e>
              </m:rad>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d>
                        </m:e>
                        <m:sup>
                          <m:r>
                            <w:rPr>
                              <w:rFonts w:ascii="Cambria Math" w:hAnsi="Cambria Math"/>
                              <w:sz w:val="20"/>
                              <w:szCs w:val="20"/>
                            </w:rPr>
                            <m:t>2</m:t>
                          </m:r>
                        </m:sup>
                      </m:sSup>
                    </m:e>
                  </m:rad>
                </m:e>
              </m:nary>
            </m:den>
          </m:f>
          <m:r>
            <w:rPr>
              <w:rFonts w:ascii="Cambria Math" w:hAnsi="Cambria Math"/>
              <w:sz w:val="20"/>
              <w:szCs w:val="20"/>
            </w:rPr>
            <m:t xml:space="preserve">                                                                                                    (9)</m:t>
          </m:r>
        </m:oMath>
      </m:oMathPara>
    </w:p>
    <w:p w14:paraId="0933E4DC" w14:textId="3732C24C" w:rsidR="00361281" w:rsidRPr="00EF3470" w:rsidRDefault="00361281" w:rsidP="00361281">
      <w:pPr>
        <w:jc w:val="both"/>
        <w:rPr>
          <w:rFonts w:ascii="Times New Roman"/>
          <w:b/>
          <w:bCs/>
          <w:sz w:val="20"/>
          <w:szCs w:val="20"/>
        </w:rPr>
      </w:pPr>
      <w:r w:rsidRPr="00EF3470">
        <w:rPr>
          <w:rFonts w:ascii="Times New Roman"/>
          <w:b/>
          <w:bCs/>
          <w:sz w:val="20"/>
          <w:szCs w:val="20"/>
        </w:rPr>
        <w:t>STPYF-RATGOS</w:t>
      </w:r>
    </w:p>
    <w:p w14:paraId="555D996A" w14:textId="77777777" w:rsidR="004927ED" w:rsidRDefault="00361281" w:rsidP="004927ED">
      <w:pPr>
        <w:jc w:val="both"/>
        <w:rPr>
          <w:rFonts w:ascii="Times New Roman"/>
          <w:sz w:val="20"/>
          <w:szCs w:val="20"/>
        </w:rPr>
      </w:pPr>
      <w:r>
        <w:rPr>
          <w:rFonts w:ascii="Times New Roman"/>
          <w:sz w:val="20"/>
          <w:szCs w:val="20"/>
        </w:rPr>
        <w:t xml:space="preserve">The </w:t>
      </w:r>
      <w:r w:rsidRPr="00EF64B3">
        <w:rPr>
          <w:rFonts w:ascii="Times New Roman"/>
          <w:sz w:val="20"/>
          <w:szCs w:val="20"/>
        </w:rPr>
        <w:t xml:space="preserve">RATGOS is a multi-criteria decision-making (MCDM) method designed to identify the ideal alternative by considering specific criteria. Its foundation lies in the similarity ratio of alternatives to optimal values (Arman et al., 2022; </w:t>
      </w:r>
      <w:proofErr w:type="spellStart"/>
      <w:r w:rsidRPr="00EF64B3">
        <w:rPr>
          <w:rFonts w:ascii="Times New Roman"/>
          <w:sz w:val="20"/>
          <w:szCs w:val="20"/>
        </w:rPr>
        <w:t>Çelikbilek</w:t>
      </w:r>
      <w:proofErr w:type="spellEnd"/>
      <w:r w:rsidRPr="00EF64B3">
        <w:rPr>
          <w:rFonts w:ascii="Times New Roman"/>
          <w:sz w:val="20"/>
          <w:szCs w:val="20"/>
        </w:rPr>
        <w:t xml:space="preserve"> and </w:t>
      </w:r>
      <w:proofErr w:type="spellStart"/>
      <w:r w:rsidRPr="00EF64B3">
        <w:rPr>
          <w:rFonts w:ascii="Times New Roman"/>
          <w:sz w:val="20"/>
          <w:szCs w:val="20"/>
        </w:rPr>
        <w:t>Tüysüz</w:t>
      </w:r>
      <w:proofErr w:type="spellEnd"/>
      <w:r w:rsidRPr="00EF64B3">
        <w:rPr>
          <w:rFonts w:ascii="Times New Roman"/>
          <w:sz w:val="20"/>
          <w:szCs w:val="20"/>
        </w:rPr>
        <w:t>, 2020). As traditional ranking methods based on distance metrics have been criticized in the literature, methods that focus on similarity ratios are proposed. RATGOS calculates the similarity ratio of each alternative to the optimal value for each criterion. Given that linguistic terms are used in evaluating alternatives, STPYF numbers are integrated into the method to account for uncertainty in the analysis. The steps of the method enhanced by STPYF numbers begin with gathering expert evaluations, as shown in Table 1. Equation (2) is then used to calculate the average of expert opinions, leading to the construction of the fuzzy decision matrix (B), illustrated by Equation (10).</w:t>
      </w:r>
    </w:p>
    <w:p w14:paraId="676C3A9F" w14:textId="62554322" w:rsidR="00361281" w:rsidRPr="004927ED" w:rsidRDefault="00361281" w:rsidP="004927ED">
      <w:pPr>
        <w:tabs>
          <w:tab w:val="left" w:pos="9180"/>
        </w:tabs>
        <w:jc w:val="both"/>
        <w:rPr>
          <w:rFonts w:ascii="Times New Roman"/>
          <w:sz w:val="20"/>
          <w:szCs w:val="20"/>
        </w:rPr>
      </w:pPr>
      <m:oMathPara>
        <m:oMath>
          <m:r>
            <w:rPr>
              <w:rFonts w:ascii="Cambria Math" w:hAnsi="Cambria Math"/>
              <w:sz w:val="20"/>
              <w:szCs w:val="20"/>
            </w:rPr>
            <w:lastRenderedPageBreak/>
            <m:t>B=</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11</m:t>
                                    </m:r>
                                  </m:sub>
                                </m:sSub>
                              </m:e>
                            </m:d>
                          </m:e>
                        </m:func>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11</m:t>
                                            </m:r>
                                          </m:sub>
                                          <m:sup>
                                            <m:r>
                                              <w:rPr>
                                                <w:rFonts w:ascii="Cambria Math" w:hAnsi="Cambria Math"/>
                                                <w:sz w:val="20"/>
                                                <w:szCs w:val="20"/>
                                              </w:rPr>
                                              <m:t>2</m:t>
                                            </m:r>
                                          </m:sup>
                                        </m:sSubSup>
                                      </m:e>
                                    </m:rad>
                                  </m:e>
                                </m:d>
                              </m:e>
                            </m:func>
                          </m:e>
                        </m:rad>
                      </m:e>
                    </m:d>
                  </m:e>
                  <m:e>
                    <m:r>
                      <w:rPr>
                        <w:rFonts w:ascii="Cambria Math" w:hAnsi="Cambria Math"/>
                        <w:sz w:val="20"/>
                        <w:szCs w:val="20"/>
                      </w:rPr>
                      <m:t>⋯</m:t>
                    </m:r>
                  </m:e>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1n</m:t>
                                    </m:r>
                                  </m:sub>
                                </m:sSub>
                              </m:e>
                            </m:d>
                          </m:e>
                        </m:func>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1n</m:t>
                                            </m:r>
                                          </m:sub>
                                          <m:sup>
                                            <m:r>
                                              <w:rPr>
                                                <w:rFonts w:ascii="Cambria Math" w:hAnsi="Cambria Math"/>
                                                <w:sz w:val="20"/>
                                                <w:szCs w:val="20"/>
                                              </w:rPr>
                                              <m:t>2</m:t>
                                            </m:r>
                                          </m:sup>
                                        </m:sSubSup>
                                      </m:e>
                                    </m:rad>
                                  </m:e>
                                </m:d>
                              </m:e>
                            </m:func>
                          </m:e>
                        </m:rad>
                      </m:e>
                    </m:d>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m1</m:t>
                                    </m:r>
                                  </m:sub>
                                </m:sSub>
                              </m:e>
                            </m:d>
                          </m:e>
                        </m:func>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m1</m:t>
                                            </m:r>
                                          </m:sub>
                                          <m:sup>
                                            <m:r>
                                              <w:rPr>
                                                <w:rFonts w:ascii="Cambria Math" w:hAnsi="Cambria Math"/>
                                                <w:sz w:val="20"/>
                                                <w:szCs w:val="20"/>
                                              </w:rPr>
                                              <m:t>2</m:t>
                                            </m:r>
                                          </m:sup>
                                        </m:sSubSup>
                                      </m:e>
                                    </m:rad>
                                  </m:e>
                                </m:d>
                              </m:e>
                            </m:func>
                          </m:e>
                        </m:rad>
                      </m:e>
                    </m:d>
                  </m:e>
                  <m:e>
                    <m:r>
                      <w:rPr>
                        <w:rFonts w:ascii="Cambria Math" w:hAnsi="Cambria Math"/>
                        <w:sz w:val="20"/>
                        <w:szCs w:val="20"/>
                      </w:rPr>
                      <m:t>⋯</m:t>
                    </m:r>
                  </m:e>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mn</m:t>
                                    </m:r>
                                  </m:sub>
                                </m:sSub>
                              </m:e>
                            </m:d>
                          </m:e>
                        </m:func>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mn</m:t>
                                            </m:r>
                                          </m:sub>
                                          <m:sup>
                                            <m:r>
                                              <w:rPr>
                                                <w:rFonts w:ascii="Cambria Math" w:hAnsi="Cambria Math"/>
                                                <w:sz w:val="20"/>
                                                <w:szCs w:val="20"/>
                                              </w:rPr>
                                              <m:t>2</m:t>
                                            </m:r>
                                          </m:sup>
                                        </m:sSubSup>
                                      </m:e>
                                    </m:rad>
                                  </m:e>
                                </m:d>
                              </m:e>
                            </m:func>
                          </m:e>
                        </m:rad>
                      </m:e>
                    </m:d>
                  </m:e>
                </m:mr>
              </m:m>
            </m:e>
          </m:d>
          <m:r>
            <w:rPr>
              <w:rFonts w:ascii="Cambria Math" w:hAnsi="Cambria Math"/>
              <w:sz w:val="20"/>
              <w:szCs w:val="20"/>
            </w:rPr>
            <m:t xml:space="preserve">      (10)</m:t>
          </m:r>
        </m:oMath>
      </m:oMathPara>
    </w:p>
    <w:p w14:paraId="0D7FF432" w14:textId="29D1C84A" w:rsidR="004927ED" w:rsidRDefault="00361281" w:rsidP="00EF3470">
      <w:pPr>
        <w:spacing w:after="0"/>
        <w:jc w:val="both"/>
        <w:rPr>
          <w:rFonts w:ascii="Times New Roman"/>
          <w:sz w:val="20"/>
          <w:szCs w:val="20"/>
        </w:rPr>
      </w:pPr>
      <w:r w:rsidRPr="001813BC">
        <w:rPr>
          <w:rFonts w:ascii="Times New Roman"/>
          <w:sz w:val="20"/>
          <w:szCs w:val="20"/>
        </w:rPr>
        <w:t xml:space="preserve">Equation (3) is used to compute </w:t>
      </w:r>
      <w:proofErr w:type="spellStart"/>
      <w:r w:rsidRPr="001813BC">
        <w:rPr>
          <w:rFonts w:ascii="Times New Roman"/>
          <w:sz w:val="20"/>
          <w:szCs w:val="20"/>
        </w:rPr>
        <w:t>defuzzified</w:t>
      </w:r>
      <w:proofErr w:type="spellEnd"/>
      <w:r w:rsidRPr="001813BC">
        <w:rPr>
          <w:rFonts w:ascii="Times New Roman"/>
          <w:sz w:val="20"/>
          <w:szCs w:val="20"/>
        </w:rPr>
        <w:t xml:space="preserve"> all values of </w:t>
      </w:r>
      <w:r w:rsidRPr="001813BC">
        <w:rPr>
          <w:rFonts w:ascii="Times New Roman"/>
          <w:i/>
          <w:iCs/>
          <w:sz w:val="20"/>
          <w:szCs w:val="20"/>
        </w:rPr>
        <w:t>B</w:t>
      </w:r>
      <w:r w:rsidRPr="001813BC">
        <w:rPr>
          <w:rFonts w:ascii="Times New Roman"/>
          <w:sz w:val="20"/>
          <w:szCs w:val="20"/>
        </w:rPr>
        <w:t xml:space="preserve"> matrix. Equations (11) and (12) denote optimal values for each criterion in matrix </w:t>
      </w:r>
      <w:r w:rsidRPr="001813BC">
        <w:rPr>
          <w:rFonts w:ascii="Times New Roman"/>
          <w:i/>
          <w:iCs/>
          <w:sz w:val="20"/>
          <w:szCs w:val="20"/>
        </w:rPr>
        <w:t>B</w:t>
      </w:r>
      <w:r w:rsidRPr="001813BC">
        <w:rPr>
          <w:rFonts w:ascii="Times New Roman"/>
          <w:sz w:val="20"/>
          <w:szCs w:val="20"/>
        </w:rPr>
        <w:t>.</w:t>
      </w:r>
    </w:p>
    <w:p w14:paraId="4C4BED75" w14:textId="6DD1BFB0" w:rsidR="00361281" w:rsidRDefault="004927ED" w:rsidP="00EF3470">
      <w:pPr>
        <w:tabs>
          <w:tab w:val="left" w:pos="9180"/>
        </w:tabs>
        <w:spacing w:after="0"/>
        <w:jc w:val="both"/>
        <w:rPr>
          <w:rFonts w:ascii="Times New Roman"/>
          <w:sz w:val="20"/>
          <w:szCs w:val="20"/>
        </w:rPr>
      </w:pPr>
      <w:r>
        <w:rPr>
          <w:rFonts w:ascii="Times New Roman"/>
          <w:sz w:val="20"/>
          <w:szCs w:val="20"/>
        </w:rPr>
        <w:t xml:space="preserve">                                                               </w:t>
      </w:r>
      <m:oMath>
        <m:r>
          <w:rPr>
            <w:rFonts w:ascii="Cambria Math" w:hAnsi="Cambria Math"/>
            <w:sz w:val="20"/>
            <w:szCs w:val="20"/>
          </w:rPr>
          <m:t>optimal=</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e>
        </m:func>
        <m:r>
          <w:rPr>
            <w:rFonts w:ascii="Cambria Math" w:hAnsi="Cambria Math"/>
            <w:sz w:val="20"/>
            <w:szCs w:val="20"/>
          </w:rPr>
          <m:t xml:space="preserve">     for benefit criteria                                                       (11)</m:t>
        </m:r>
      </m:oMath>
    </w:p>
    <w:p w14:paraId="17E18BD4" w14:textId="674FA399" w:rsidR="00361281" w:rsidRPr="004927ED" w:rsidRDefault="004927ED" w:rsidP="00EF3470">
      <w:pPr>
        <w:spacing w:after="0"/>
        <w:jc w:val="both"/>
        <w:rPr>
          <w:rFonts w:ascii="Times New Roman"/>
          <w:sz w:val="20"/>
          <w:szCs w:val="20"/>
        </w:rPr>
      </w:pPr>
      <m:oMathPara>
        <m:oMathParaPr>
          <m:jc m:val="center"/>
        </m:oMathParaPr>
        <m:oMath>
          <m:r>
            <w:rPr>
              <w:rFonts w:ascii="Cambria Math" w:hAnsi="Cambria Math"/>
              <w:sz w:val="20"/>
              <w:szCs w:val="20"/>
            </w:rPr>
            <m:t xml:space="preserve">                                 optimal=</m:t>
          </m:r>
          <m:func>
            <m:funcPr>
              <m:ctrlPr>
                <w:rPr>
                  <w:rFonts w:ascii="Cambria Math" w:hAnsi="Cambria Math"/>
                  <w:i/>
                  <w:sz w:val="20"/>
                  <w:szCs w:val="20"/>
                </w:rPr>
              </m:ctrlPr>
            </m:funcPr>
            <m:fName>
              <m:r>
                <m:rPr>
                  <m:sty m:val="p"/>
                </m:rPr>
                <w:rPr>
                  <w:rFonts w:ascii="Cambria Math" w:hAnsi="Cambria Math"/>
                  <w:sz w:val="20"/>
                  <w:szCs w:val="20"/>
                </w:rPr>
                <m:t>max</m:t>
              </m:r>
            </m:fName>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den>
              </m:f>
            </m:e>
          </m:func>
          <m:r>
            <w:rPr>
              <w:rFonts w:ascii="Cambria Math" w:hAnsi="Cambria Math"/>
              <w:sz w:val="20"/>
              <w:szCs w:val="20"/>
            </w:rPr>
            <m:t xml:space="preserve">     for cost criteria                                                                             (12)</m:t>
          </m:r>
        </m:oMath>
      </m:oMathPara>
    </w:p>
    <w:p w14:paraId="42BE1430" w14:textId="77777777" w:rsidR="00361281" w:rsidRDefault="00361281" w:rsidP="00EF3470">
      <w:pPr>
        <w:spacing w:after="0"/>
        <w:jc w:val="both"/>
        <w:rPr>
          <w:rFonts w:ascii="Times New Roman"/>
          <w:sz w:val="20"/>
          <w:szCs w:val="20"/>
        </w:rPr>
      </w:pPr>
      <w:r w:rsidRPr="001813BC">
        <w:rPr>
          <w:rFonts w:ascii="Times New Roman"/>
          <w:sz w:val="20"/>
          <w:szCs w:val="20"/>
        </w:rPr>
        <w:t>Equations (13) and (14) are used to defined the similarity ratio (</w:t>
      </w:r>
      <w:r w:rsidRPr="001813BC">
        <w:rPr>
          <w:rFonts w:ascii="Times New Roman"/>
          <w:i/>
          <w:iCs/>
          <w:sz w:val="20"/>
          <w:szCs w:val="20"/>
        </w:rPr>
        <w:t>N</w:t>
      </w:r>
      <w:r w:rsidRPr="001813BC">
        <w:rPr>
          <w:rFonts w:ascii="Times New Roman"/>
          <w:sz w:val="20"/>
          <w:szCs w:val="20"/>
        </w:rPr>
        <w:t>).</w:t>
      </w:r>
    </w:p>
    <w:p w14:paraId="11195CEB" w14:textId="47AB16A4" w:rsidR="00361281" w:rsidRPr="004927ED" w:rsidRDefault="004927ED" w:rsidP="00EF3470">
      <w:pPr>
        <w:tabs>
          <w:tab w:val="left" w:pos="9180"/>
        </w:tabs>
        <w:spacing w:after="0"/>
        <w:jc w:val="both"/>
        <w:rPr>
          <w:rFonts w:ascii="Times New Roman" w:eastAsiaTheme="minorEastAsia"/>
          <w:sz w:val="20"/>
          <w:szCs w:val="20"/>
        </w:rPr>
      </w:pPr>
      <w:r>
        <w:rPr>
          <w:rFonts w:ascii="Times New Roman"/>
          <w:sz w:val="20"/>
          <w:szCs w:val="20"/>
        </w:rPr>
        <w:t xml:space="preserve">                              </w:t>
      </w:r>
      <m:oMath>
        <m:r>
          <w:rPr>
            <w:rFonts w:ascii="Cambria Math" w:eastAsiaTheme="minorEastAsia" w:hAnsi="Cambria Math"/>
            <w:sz w:val="20"/>
            <w:szCs w:val="20"/>
          </w:rPr>
          <m:t xml:space="preserve">                                N=</m:t>
        </m:r>
        <m:f>
          <m:fPr>
            <m:ctrlPr>
              <w:rPr>
                <w:rFonts w:ascii="Cambria Math" w:eastAsiaTheme="minorEastAsia" w:hAnsi="Cambria Math"/>
                <w:i/>
                <w:sz w:val="20"/>
                <w:szCs w:val="20"/>
              </w:rPr>
            </m:ctrlPr>
          </m:fPr>
          <m:num>
            <m:r>
              <w:rPr>
                <w:rFonts w:ascii="Cambria Math" w:eastAsiaTheme="minorEastAsia" w:hAnsi="Cambria Math"/>
                <w:sz w:val="20"/>
                <w:szCs w:val="20"/>
              </w:rPr>
              <m:t>B</m:t>
            </m:r>
          </m:num>
          <m:den>
            <m:r>
              <w:rPr>
                <w:rFonts w:ascii="Cambria Math" w:eastAsiaTheme="minorEastAsia" w:hAnsi="Cambria Math"/>
                <w:sz w:val="20"/>
                <w:szCs w:val="20"/>
              </w:rPr>
              <m:t>optimal</m:t>
            </m:r>
          </m:den>
        </m:f>
        <m:r>
          <w:rPr>
            <w:rFonts w:ascii="Cambria Math" w:eastAsiaTheme="minorEastAsia" w:hAnsi="Cambria Math"/>
            <w:sz w:val="20"/>
            <w:szCs w:val="20"/>
          </w:rPr>
          <m:t xml:space="preserve"> for benefit criteria                                                                              (13)</m:t>
        </m:r>
      </m:oMath>
    </w:p>
    <w:p w14:paraId="150E50EE" w14:textId="46A5B603" w:rsidR="00361281" w:rsidRPr="004927ED" w:rsidRDefault="004927ED" w:rsidP="00EF3470">
      <w:pPr>
        <w:spacing w:after="0"/>
        <w:jc w:val="both"/>
        <w:rPr>
          <w:rFonts w:ascii="Times New Roman" w:eastAsiaTheme="minorEastAsia"/>
          <w:sz w:val="20"/>
          <w:szCs w:val="20"/>
        </w:rPr>
      </w:pPr>
      <w:r>
        <w:rPr>
          <w:rFonts w:ascii="Times New Roman" w:eastAsiaTheme="minorEastAsia"/>
          <w:sz w:val="20"/>
          <w:szCs w:val="20"/>
        </w:rPr>
        <w:t xml:space="preserve">                                    </w:t>
      </w:r>
      <w:r w:rsidR="0073404A">
        <w:rPr>
          <w:rFonts w:ascii="Times New Roman" w:eastAsiaTheme="minorEastAsia"/>
          <w:sz w:val="20"/>
          <w:szCs w:val="20"/>
        </w:rPr>
        <w:t xml:space="preserve">    </w:t>
      </w:r>
      <w:r>
        <w:rPr>
          <w:rFonts w:ascii="Times New Roman" w:eastAsiaTheme="minorEastAsia"/>
          <w:sz w:val="20"/>
          <w:szCs w:val="20"/>
        </w:rPr>
        <w:t xml:space="preserve">                  </w:t>
      </w:r>
      <m:oMath>
        <m:r>
          <w:rPr>
            <w:rFonts w:ascii="Cambria Math" w:eastAsiaTheme="minorEastAsia" w:hAnsi="Cambria Math"/>
            <w:sz w:val="20"/>
            <w:szCs w:val="20"/>
          </w:rPr>
          <m:t>N=</m:t>
        </m:r>
        <m:f>
          <m:fPr>
            <m:ctrlPr>
              <w:rPr>
                <w:rFonts w:ascii="Cambria Math" w:eastAsiaTheme="minorEastAsia" w:hAnsi="Cambria Math"/>
                <w:i/>
                <w:sz w:val="20"/>
                <w:szCs w:val="20"/>
              </w:rPr>
            </m:ctrlPr>
          </m:fPr>
          <m:num>
            <m:r>
              <w:rPr>
                <w:rFonts w:ascii="Cambria Math" w:eastAsiaTheme="minorEastAsia" w:hAnsi="Cambria Math"/>
                <w:sz w:val="20"/>
                <w:szCs w:val="20"/>
              </w:rPr>
              <m:t>optimal</m:t>
            </m:r>
          </m:num>
          <m:den>
            <m:r>
              <w:rPr>
                <w:rFonts w:ascii="Cambria Math" w:eastAsiaTheme="minorEastAsia" w:hAnsi="Cambria Math"/>
                <w:sz w:val="20"/>
                <w:szCs w:val="20"/>
              </w:rPr>
              <m:t>B</m:t>
            </m:r>
          </m:den>
        </m:f>
        <m:r>
          <w:rPr>
            <w:rFonts w:ascii="Cambria Math" w:eastAsiaTheme="minorEastAsia" w:hAnsi="Cambria Math"/>
            <w:sz w:val="20"/>
            <w:szCs w:val="20"/>
          </w:rPr>
          <m:t xml:space="preserve">  for cost criteria                                                                                    (14)</m:t>
        </m:r>
      </m:oMath>
    </w:p>
    <w:p w14:paraId="61437EB8" w14:textId="77777777" w:rsidR="00361281" w:rsidRPr="001813BC" w:rsidRDefault="00361281" w:rsidP="00EF3470">
      <w:pPr>
        <w:spacing w:after="0"/>
        <w:jc w:val="both"/>
        <w:rPr>
          <w:rFonts w:ascii="Times New Roman"/>
          <w:sz w:val="20"/>
          <w:szCs w:val="20"/>
        </w:rPr>
      </w:pPr>
      <w:r w:rsidRPr="001813BC">
        <w:rPr>
          <w:rFonts w:ascii="Times New Roman"/>
          <w:sz w:val="20"/>
          <w:szCs w:val="20"/>
        </w:rPr>
        <w:t>Equation (15) is considered to construct weighted normalization matrix (</w:t>
      </w:r>
      <w:r w:rsidRPr="001813BC">
        <w:rPr>
          <w:rFonts w:ascii="Times New Roman"/>
          <w:i/>
          <w:iCs/>
          <w:sz w:val="20"/>
          <w:szCs w:val="20"/>
        </w:rPr>
        <w:t>Z</w:t>
      </w:r>
      <w:r w:rsidRPr="001813BC">
        <w:rPr>
          <w:rFonts w:ascii="Times New Roman"/>
          <w:sz w:val="20"/>
          <w:szCs w:val="20"/>
        </w:rPr>
        <w:t>).</w:t>
      </w:r>
    </w:p>
    <w:p w14:paraId="756144E3" w14:textId="13693868" w:rsidR="00361281" w:rsidRPr="0073404A" w:rsidRDefault="0073404A" w:rsidP="00EF3470">
      <w:pPr>
        <w:tabs>
          <w:tab w:val="left" w:pos="9180"/>
        </w:tabs>
        <w:spacing w:after="0"/>
        <w:jc w:val="both"/>
        <w:rPr>
          <w:rFonts w:ascii="Times New Roman" w:eastAsiaTheme="minorEastAsia"/>
          <w:sz w:val="20"/>
          <w:szCs w:val="20"/>
        </w:rPr>
      </w:pPr>
      <w:r>
        <w:rPr>
          <w:rFonts w:ascii="Times New Roman"/>
          <w:sz w:val="20"/>
          <w:szCs w:val="20"/>
        </w:rPr>
        <w:t xml:space="preserve">                                                           </w:t>
      </w:r>
      <m:oMath>
        <m:r>
          <w:rPr>
            <w:rFonts w:ascii="Cambria Math" w:eastAsiaTheme="minorEastAsia" w:hAnsi="Cambria Math"/>
            <w:sz w:val="20"/>
            <w:szCs w:val="20"/>
          </w:rPr>
          <m:t>Z=wN                                                                                                                              (15)</m:t>
        </m:r>
      </m:oMath>
    </w:p>
    <w:p w14:paraId="2F9CB5D2" w14:textId="77777777" w:rsidR="00361281" w:rsidRDefault="00361281" w:rsidP="00EF3470">
      <w:pPr>
        <w:spacing w:after="0"/>
        <w:jc w:val="both"/>
        <w:rPr>
          <w:rFonts w:ascii="Times New Roman"/>
          <w:sz w:val="20"/>
          <w:szCs w:val="20"/>
        </w:rPr>
      </w:pPr>
      <w:r w:rsidRPr="001813BC">
        <w:rPr>
          <w:rFonts w:ascii="Times New Roman"/>
          <w:sz w:val="20"/>
          <w:szCs w:val="20"/>
        </w:rPr>
        <w:t>Geometric mean (</w:t>
      </w:r>
      <w:r w:rsidRPr="001813BC">
        <w:rPr>
          <w:rFonts w:ascii="Times New Roman"/>
          <w:i/>
          <w:iCs/>
          <w:sz w:val="20"/>
          <w:szCs w:val="20"/>
        </w:rPr>
        <w:t>G</w:t>
      </w:r>
      <w:r w:rsidRPr="001813BC">
        <w:rPr>
          <w:rFonts w:ascii="Times New Roman"/>
          <w:sz w:val="20"/>
          <w:szCs w:val="20"/>
        </w:rPr>
        <w:t>) is used to calculate average similarity ratio as in Equation (16).</w:t>
      </w:r>
    </w:p>
    <w:p w14:paraId="5A0EBE66" w14:textId="77777777" w:rsidR="00EF3470" w:rsidRPr="001813BC" w:rsidRDefault="00EF3470" w:rsidP="00EF3470">
      <w:pPr>
        <w:spacing w:after="0"/>
        <w:jc w:val="both"/>
        <w:rPr>
          <w:rFonts w:ascii="Times New Roman"/>
          <w:sz w:val="20"/>
          <w:szCs w:val="20"/>
        </w:rPr>
      </w:pPr>
    </w:p>
    <w:p w14:paraId="29F80EC9" w14:textId="737B1C8C" w:rsidR="00361281" w:rsidRDefault="0073404A" w:rsidP="00EF3470">
      <w:pPr>
        <w:tabs>
          <w:tab w:val="left" w:pos="9180"/>
        </w:tabs>
        <w:spacing w:after="0"/>
        <w:jc w:val="both"/>
        <w:rPr>
          <w:rFonts w:ascii="Times New Roman"/>
          <w:sz w:val="20"/>
          <w:szCs w:val="20"/>
        </w:rPr>
      </w:pPr>
      <w:r>
        <w:rPr>
          <w:rFonts w:ascii="Times New Roman"/>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ij</m:t>
                    </m:r>
                  </m:sub>
                </m:sSub>
                <m:r>
                  <w:rPr>
                    <w:rFonts w:ascii="Cambria Math" w:eastAsiaTheme="minorEastAsia" w:hAnsi="Cambria Math"/>
                    <w:sz w:val="20"/>
                    <w:szCs w:val="20"/>
                  </w:rPr>
                  <m:t>)</m:t>
                </m:r>
              </m:e>
            </m:nary>
          </m:e>
        </m:rad>
        <m:r>
          <w:rPr>
            <w:rFonts w:ascii="Cambria Math" w:eastAsiaTheme="minorEastAsia" w:hAnsi="Cambria Math"/>
            <w:sz w:val="20"/>
            <w:szCs w:val="20"/>
          </w:rPr>
          <m:t>-1                                                                                                  (16)</m:t>
        </m:r>
      </m:oMath>
    </w:p>
    <w:p w14:paraId="184B3CC2" w14:textId="77777777" w:rsidR="00EF3470" w:rsidRDefault="00EF3470" w:rsidP="00EF3470">
      <w:pPr>
        <w:tabs>
          <w:tab w:val="left" w:pos="9180"/>
        </w:tabs>
        <w:spacing w:after="0"/>
        <w:jc w:val="both"/>
        <w:rPr>
          <w:rFonts w:ascii="Times New Roman"/>
          <w:sz w:val="20"/>
          <w:szCs w:val="20"/>
        </w:rPr>
      </w:pPr>
    </w:p>
    <w:p w14:paraId="52607CF8" w14:textId="07D00CE9" w:rsidR="00EF3470" w:rsidRPr="001813BC" w:rsidRDefault="00EF3470" w:rsidP="00EF3470">
      <w:pPr>
        <w:jc w:val="center"/>
        <w:rPr>
          <w:rFonts w:ascii="Times New Roman"/>
          <w:b/>
          <w:bCs/>
          <w:sz w:val="20"/>
          <w:szCs w:val="20"/>
        </w:rPr>
      </w:pPr>
      <w:r>
        <w:rPr>
          <w:rFonts w:ascii="Times New Roman"/>
          <w:b/>
          <w:bCs/>
          <w:sz w:val="20"/>
          <w:szCs w:val="20"/>
        </w:rPr>
        <w:t xml:space="preserve">IV </w:t>
      </w:r>
      <w:r w:rsidRPr="001813BC">
        <w:rPr>
          <w:rFonts w:ascii="Times New Roman"/>
          <w:b/>
          <w:bCs/>
          <w:sz w:val="20"/>
          <w:szCs w:val="20"/>
        </w:rPr>
        <w:t>Analysis Results</w:t>
      </w:r>
    </w:p>
    <w:p w14:paraId="5AA71B05" w14:textId="77777777" w:rsidR="00EF3470" w:rsidRPr="001813BC" w:rsidRDefault="00EF3470" w:rsidP="00F24E56">
      <w:pPr>
        <w:spacing w:after="120"/>
        <w:jc w:val="both"/>
        <w:rPr>
          <w:rFonts w:ascii="Times New Roman"/>
          <w:sz w:val="20"/>
          <w:szCs w:val="20"/>
        </w:rPr>
      </w:pPr>
      <w:r w:rsidRPr="001813BC">
        <w:rPr>
          <w:rFonts w:ascii="Times New Roman"/>
          <w:sz w:val="20"/>
          <w:szCs w:val="20"/>
        </w:rPr>
        <w:t xml:space="preserve">In this section, the results of the proposed model are provided in the following subtitles. </w:t>
      </w:r>
    </w:p>
    <w:p w14:paraId="57C4825B" w14:textId="3064E5D4" w:rsidR="00EF3470" w:rsidRPr="001813BC" w:rsidRDefault="00EF3470" w:rsidP="00F24E56">
      <w:pPr>
        <w:spacing w:after="120"/>
        <w:jc w:val="both"/>
        <w:rPr>
          <w:rFonts w:ascii="Times New Roman"/>
          <w:b/>
          <w:bCs/>
          <w:i/>
          <w:iCs/>
          <w:sz w:val="20"/>
          <w:szCs w:val="20"/>
        </w:rPr>
      </w:pPr>
      <w:bookmarkStart w:id="2" w:name="_Hlk172216320"/>
      <w:r w:rsidRPr="001813BC">
        <w:rPr>
          <w:rFonts w:ascii="Times New Roman"/>
          <w:b/>
          <w:bCs/>
          <w:i/>
          <w:iCs/>
          <w:sz w:val="20"/>
          <w:szCs w:val="20"/>
        </w:rPr>
        <w:t>Defining the Customer Expectations and Technical Requirements for Battery Integration to Microgrids</w:t>
      </w:r>
    </w:p>
    <w:p w14:paraId="28C9BA59" w14:textId="77777777" w:rsidR="00EF3470" w:rsidRPr="001813BC" w:rsidRDefault="00EF3470" w:rsidP="00F24E56">
      <w:pPr>
        <w:spacing w:after="120"/>
        <w:jc w:val="both"/>
        <w:rPr>
          <w:rFonts w:ascii="Times New Roman"/>
          <w:sz w:val="20"/>
          <w:szCs w:val="20"/>
        </w:rPr>
      </w:pPr>
      <w:r w:rsidRPr="001813BC">
        <w:rPr>
          <w:rFonts w:ascii="Times New Roman"/>
          <w:sz w:val="20"/>
          <w:szCs w:val="20"/>
        </w:rPr>
        <w:t xml:space="preserve">Based on the results of the literature review, six main customer expectations are selected for battery integration to microgrids as shown in Table 2. </w:t>
      </w:r>
    </w:p>
    <w:p w14:paraId="5DFEA147" w14:textId="77777777" w:rsidR="00EF3470" w:rsidRPr="001813BC" w:rsidRDefault="00EF3470" w:rsidP="00EF3470">
      <w:pPr>
        <w:spacing w:after="120"/>
        <w:jc w:val="center"/>
        <w:rPr>
          <w:rFonts w:ascii="Times New Roman"/>
          <w:b/>
          <w:bCs/>
          <w:sz w:val="20"/>
          <w:szCs w:val="20"/>
        </w:rPr>
      </w:pPr>
      <w:bookmarkStart w:id="3" w:name="_Hlk143460299"/>
      <w:r w:rsidRPr="001813BC">
        <w:rPr>
          <w:rFonts w:ascii="Times New Roman"/>
          <w:b/>
          <w:bCs/>
          <w:sz w:val="20"/>
          <w:szCs w:val="20"/>
        </w:rPr>
        <w:t>Table 2: Customer Requirements for Battery Integration to Microgrids</w:t>
      </w:r>
    </w:p>
    <w:tbl>
      <w:tblPr>
        <w:tblStyle w:val="TableGrid"/>
        <w:tblW w:w="0" w:type="auto"/>
        <w:jc w:val="center"/>
        <w:tblLook w:val="04A0" w:firstRow="1" w:lastRow="0" w:firstColumn="1" w:lastColumn="0" w:noHBand="0" w:noVBand="1"/>
      </w:tblPr>
      <w:tblGrid>
        <w:gridCol w:w="4794"/>
        <w:gridCol w:w="2927"/>
      </w:tblGrid>
      <w:tr w:rsidR="00EF3470" w:rsidRPr="00EF3470" w14:paraId="263FDD72" w14:textId="77777777" w:rsidTr="0085434A">
        <w:trPr>
          <w:jc w:val="center"/>
        </w:trPr>
        <w:tc>
          <w:tcPr>
            <w:tcW w:w="4794" w:type="dxa"/>
            <w:vAlign w:val="center"/>
          </w:tcPr>
          <w:p w14:paraId="0C7DFC6F" w14:textId="77777777" w:rsidR="00EF3470" w:rsidRPr="00EF3470" w:rsidRDefault="00EF3470" w:rsidP="0085434A">
            <w:pPr>
              <w:jc w:val="center"/>
              <w:rPr>
                <w:rFonts w:ascii="Times New Roman"/>
                <w:b/>
                <w:bCs/>
                <w:sz w:val="16"/>
                <w:szCs w:val="16"/>
              </w:rPr>
            </w:pPr>
            <w:r w:rsidRPr="00EF3470">
              <w:rPr>
                <w:rFonts w:ascii="Times New Roman"/>
                <w:b/>
                <w:bCs/>
                <w:sz w:val="16"/>
                <w:szCs w:val="16"/>
              </w:rPr>
              <w:t>Customer Expectations</w:t>
            </w:r>
          </w:p>
        </w:tc>
        <w:tc>
          <w:tcPr>
            <w:tcW w:w="2927" w:type="dxa"/>
            <w:vAlign w:val="center"/>
          </w:tcPr>
          <w:p w14:paraId="5849E76B" w14:textId="77777777" w:rsidR="00EF3470" w:rsidRPr="00EF3470" w:rsidRDefault="00EF3470" w:rsidP="0085434A">
            <w:pPr>
              <w:jc w:val="center"/>
              <w:rPr>
                <w:rFonts w:ascii="Times New Roman"/>
                <w:b/>
                <w:bCs/>
                <w:sz w:val="16"/>
                <w:szCs w:val="16"/>
              </w:rPr>
            </w:pPr>
            <w:r w:rsidRPr="00EF3470">
              <w:rPr>
                <w:rFonts w:ascii="Times New Roman"/>
                <w:b/>
                <w:bCs/>
                <w:sz w:val="16"/>
                <w:szCs w:val="16"/>
              </w:rPr>
              <w:t>Literature</w:t>
            </w:r>
          </w:p>
        </w:tc>
      </w:tr>
      <w:tr w:rsidR="00EF3470" w:rsidRPr="00EF3470" w14:paraId="37BE3AD0" w14:textId="77777777" w:rsidTr="0085434A">
        <w:trPr>
          <w:jc w:val="center"/>
        </w:trPr>
        <w:tc>
          <w:tcPr>
            <w:tcW w:w="4794" w:type="dxa"/>
            <w:vAlign w:val="center"/>
          </w:tcPr>
          <w:p w14:paraId="7B1F35A1" w14:textId="77777777" w:rsidR="00EF3470" w:rsidRPr="00EF3470" w:rsidRDefault="00EF3470" w:rsidP="0085434A">
            <w:pPr>
              <w:jc w:val="center"/>
              <w:rPr>
                <w:rFonts w:ascii="Times New Roman"/>
                <w:sz w:val="16"/>
                <w:szCs w:val="16"/>
              </w:rPr>
            </w:pPr>
            <w:r w:rsidRPr="00EF3470">
              <w:rPr>
                <w:rFonts w:ascii="Times New Roman"/>
                <w:sz w:val="16"/>
                <w:szCs w:val="16"/>
              </w:rPr>
              <w:t>Consistency of energy supply (CNGS)</w:t>
            </w:r>
          </w:p>
        </w:tc>
        <w:tc>
          <w:tcPr>
            <w:tcW w:w="2927" w:type="dxa"/>
            <w:vAlign w:val="center"/>
          </w:tcPr>
          <w:p w14:paraId="77594BCF" w14:textId="77777777" w:rsidR="00EF3470" w:rsidRPr="00EF3470" w:rsidRDefault="00EF3470" w:rsidP="0085434A">
            <w:pPr>
              <w:jc w:val="center"/>
              <w:rPr>
                <w:rFonts w:ascii="Times New Roman"/>
                <w:sz w:val="16"/>
                <w:szCs w:val="16"/>
              </w:rPr>
            </w:pPr>
            <w:r w:rsidRPr="00EF3470">
              <w:rPr>
                <w:rFonts w:ascii="Times New Roman"/>
                <w:sz w:val="16"/>
                <w:szCs w:val="16"/>
              </w:rPr>
              <w:t>(</w:t>
            </w:r>
            <w:r w:rsidRPr="00EF3470">
              <w:rPr>
                <w:rFonts w:ascii="Times New Roman"/>
                <w:color w:val="222222"/>
                <w:sz w:val="16"/>
                <w:szCs w:val="16"/>
                <w:shd w:val="clear" w:color="auto" w:fill="FFFFFF"/>
              </w:rPr>
              <w:t>Zarate-Perez et al., 2022)</w:t>
            </w:r>
          </w:p>
        </w:tc>
      </w:tr>
      <w:tr w:rsidR="00EF3470" w:rsidRPr="00EF3470" w14:paraId="0F58598D" w14:textId="77777777" w:rsidTr="0085434A">
        <w:trPr>
          <w:jc w:val="center"/>
        </w:trPr>
        <w:tc>
          <w:tcPr>
            <w:tcW w:w="4794" w:type="dxa"/>
            <w:vAlign w:val="center"/>
          </w:tcPr>
          <w:p w14:paraId="17E305B9" w14:textId="77777777" w:rsidR="00EF3470" w:rsidRPr="00EF3470" w:rsidRDefault="00EF3470" w:rsidP="0085434A">
            <w:pPr>
              <w:jc w:val="center"/>
              <w:rPr>
                <w:rFonts w:ascii="Times New Roman"/>
                <w:sz w:val="16"/>
                <w:szCs w:val="16"/>
              </w:rPr>
            </w:pPr>
            <w:r w:rsidRPr="00EF3470">
              <w:rPr>
                <w:rFonts w:ascii="Times New Roman"/>
                <w:sz w:val="16"/>
                <w:szCs w:val="16"/>
              </w:rPr>
              <w:t>Efficiency of storing energy (STGY)</w:t>
            </w:r>
          </w:p>
        </w:tc>
        <w:tc>
          <w:tcPr>
            <w:tcW w:w="2927" w:type="dxa"/>
            <w:vAlign w:val="center"/>
          </w:tcPr>
          <w:p w14:paraId="7B5F3A9B" w14:textId="77777777" w:rsidR="00EF3470" w:rsidRPr="00EF3470" w:rsidRDefault="00EF3470" w:rsidP="0085434A">
            <w:pPr>
              <w:jc w:val="center"/>
              <w:rPr>
                <w:rFonts w:ascii="Times New Roman"/>
                <w:sz w:val="16"/>
                <w:szCs w:val="16"/>
              </w:rPr>
            </w:pPr>
            <w:r w:rsidRPr="00EF3470">
              <w:rPr>
                <w:rFonts w:ascii="Times New Roman"/>
                <w:sz w:val="16"/>
                <w:szCs w:val="16"/>
              </w:rPr>
              <w:t>(</w:t>
            </w:r>
            <w:proofErr w:type="spellStart"/>
            <w:r w:rsidRPr="00EF3470">
              <w:rPr>
                <w:rFonts w:ascii="Times New Roman"/>
                <w:color w:val="222222"/>
                <w:sz w:val="16"/>
                <w:szCs w:val="16"/>
                <w:shd w:val="clear" w:color="auto" w:fill="FFFFFF"/>
              </w:rPr>
              <w:t>Shufian</w:t>
            </w:r>
            <w:proofErr w:type="spellEnd"/>
            <w:r w:rsidRPr="00EF3470">
              <w:rPr>
                <w:rFonts w:ascii="Times New Roman"/>
                <w:color w:val="222222"/>
                <w:sz w:val="16"/>
                <w:szCs w:val="16"/>
                <w:shd w:val="clear" w:color="auto" w:fill="FFFFFF"/>
              </w:rPr>
              <w:t xml:space="preserve"> and Mohammad, 2022)</w:t>
            </w:r>
          </w:p>
        </w:tc>
      </w:tr>
      <w:tr w:rsidR="00EF3470" w:rsidRPr="00EF3470" w14:paraId="7ECAFF54" w14:textId="77777777" w:rsidTr="0085434A">
        <w:trPr>
          <w:jc w:val="center"/>
        </w:trPr>
        <w:tc>
          <w:tcPr>
            <w:tcW w:w="4794" w:type="dxa"/>
            <w:vAlign w:val="center"/>
          </w:tcPr>
          <w:p w14:paraId="4B7038D5" w14:textId="77777777" w:rsidR="00EF3470" w:rsidRPr="00EF3470" w:rsidRDefault="00EF3470" w:rsidP="0085434A">
            <w:pPr>
              <w:jc w:val="center"/>
              <w:rPr>
                <w:rFonts w:ascii="Times New Roman"/>
                <w:sz w:val="16"/>
                <w:szCs w:val="16"/>
              </w:rPr>
            </w:pPr>
            <w:r w:rsidRPr="00EF3470">
              <w:rPr>
                <w:rFonts w:ascii="Times New Roman"/>
                <w:sz w:val="16"/>
                <w:szCs w:val="16"/>
              </w:rPr>
              <w:t>Optimization in the energy distribution process (PTMS)</w:t>
            </w:r>
          </w:p>
        </w:tc>
        <w:tc>
          <w:tcPr>
            <w:tcW w:w="2927" w:type="dxa"/>
            <w:vAlign w:val="center"/>
          </w:tcPr>
          <w:p w14:paraId="2B412F94" w14:textId="77777777" w:rsidR="00EF3470" w:rsidRPr="00EF3470" w:rsidRDefault="00EF3470" w:rsidP="0085434A">
            <w:pPr>
              <w:jc w:val="center"/>
              <w:rPr>
                <w:rFonts w:ascii="Times New Roman"/>
                <w:sz w:val="16"/>
                <w:szCs w:val="16"/>
              </w:rPr>
            </w:pPr>
            <w:r w:rsidRPr="00EF3470">
              <w:rPr>
                <w:rFonts w:ascii="Times New Roman"/>
                <w:sz w:val="16"/>
                <w:szCs w:val="16"/>
              </w:rPr>
              <w:t>(Gamil et al., 2022)</w:t>
            </w:r>
          </w:p>
        </w:tc>
      </w:tr>
      <w:tr w:rsidR="00EF3470" w:rsidRPr="00EF3470" w14:paraId="7E328E8F" w14:textId="77777777" w:rsidTr="0085434A">
        <w:trPr>
          <w:jc w:val="center"/>
        </w:trPr>
        <w:tc>
          <w:tcPr>
            <w:tcW w:w="4794" w:type="dxa"/>
            <w:vAlign w:val="center"/>
          </w:tcPr>
          <w:p w14:paraId="4CB22D0E" w14:textId="77777777" w:rsidR="00EF3470" w:rsidRPr="00EF3470" w:rsidRDefault="00EF3470" w:rsidP="0085434A">
            <w:pPr>
              <w:jc w:val="center"/>
              <w:rPr>
                <w:rFonts w:ascii="Times New Roman"/>
                <w:sz w:val="16"/>
                <w:szCs w:val="16"/>
              </w:rPr>
            </w:pPr>
            <w:r w:rsidRPr="00EF3470">
              <w:rPr>
                <w:rFonts w:ascii="Times New Roman"/>
                <w:sz w:val="16"/>
                <w:szCs w:val="16"/>
              </w:rPr>
              <w:t>Low-cost battery solutions (LWTT)</w:t>
            </w:r>
          </w:p>
        </w:tc>
        <w:tc>
          <w:tcPr>
            <w:tcW w:w="2927" w:type="dxa"/>
            <w:vAlign w:val="center"/>
          </w:tcPr>
          <w:p w14:paraId="6A774F85" w14:textId="77777777" w:rsidR="00EF3470" w:rsidRPr="00EF3470" w:rsidRDefault="00EF3470" w:rsidP="0085434A">
            <w:pPr>
              <w:jc w:val="center"/>
              <w:rPr>
                <w:rFonts w:ascii="Times New Roman"/>
                <w:sz w:val="16"/>
                <w:szCs w:val="16"/>
              </w:rPr>
            </w:pPr>
            <w:r w:rsidRPr="00EF3470">
              <w:rPr>
                <w:rFonts w:ascii="Times New Roman"/>
                <w:sz w:val="16"/>
                <w:szCs w:val="16"/>
              </w:rPr>
              <w:t>(</w:t>
            </w:r>
            <w:proofErr w:type="spellStart"/>
            <w:r w:rsidRPr="00EF3470">
              <w:rPr>
                <w:rFonts w:ascii="Times New Roman"/>
                <w:sz w:val="16"/>
                <w:szCs w:val="16"/>
              </w:rPr>
              <w:t>Lipu</w:t>
            </w:r>
            <w:proofErr w:type="spellEnd"/>
            <w:r w:rsidRPr="00EF3470">
              <w:rPr>
                <w:rFonts w:ascii="Times New Roman"/>
                <w:sz w:val="16"/>
                <w:szCs w:val="16"/>
              </w:rPr>
              <w:t xml:space="preserve"> et al., 2022)</w:t>
            </w:r>
          </w:p>
        </w:tc>
      </w:tr>
      <w:tr w:rsidR="00EF3470" w:rsidRPr="00EF3470" w14:paraId="7590E7D7" w14:textId="77777777" w:rsidTr="0085434A">
        <w:trPr>
          <w:jc w:val="center"/>
        </w:trPr>
        <w:tc>
          <w:tcPr>
            <w:tcW w:w="4794" w:type="dxa"/>
            <w:vAlign w:val="center"/>
          </w:tcPr>
          <w:p w14:paraId="7493FDB4" w14:textId="77777777" w:rsidR="00EF3470" w:rsidRPr="00EF3470" w:rsidRDefault="00EF3470" w:rsidP="0085434A">
            <w:pPr>
              <w:jc w:val="center"/>
              <w:rPr>
                <w:rFonts w:ascii="Times New Roman"/>
                <w:sz w:val="16"/>
                <w:szCs w:val="16"/>
              </w:rPr>
            </w:pPr>
            <w:r w:rsidRPr="00EF3470">
              <w:rPr>
                <w:rFonts w:ascii="Times New Roman"/>
                <w:sz w:val="16"/>
                <w:szCs w:val="16"/>
              </w:rPr>
              <w:t>Footprint reduction in energy management (FTPG)</w:t>
            </w:r>
          </w:p>
        </w:tc>
        <w:tc>
          <w:tcPr>
            <w:tcW w:w="2927" w:type="dxa"/>
            <w:vAlign w:val="center"/>
          </w:tcPr>
          <w:p w14:paraId="6C78E909" w14:textId="77777777" w:rsidR="00EF3470" w:rsidRPr="00EF3470" w:rsidRDefault="00EF3470" w:rsidP="0085434A">
            <w:pPr>
              <w:jc w:val="center"/>
              <w:rPr>
                <w:rFonts w:ascii="Times New Roman"/>
                <w:sz w:val="16"/>
                <w:szCs w:val="16"/>
              </w:rPr>
            </w:pPr>
            <w:r w:rsidRPr="00EF3470">
              <w:rPr>
                <w:rFonts w:ascii="Times New Roman"/>
                <w:sz w:val="16"/>
                <w:szCs w:val="16"/>
              </w:rPr>
              <w:t>(Masrur et al., 2022)</w:t>
            </w:r>
          </w:p>
        </w:tc>
      </w:tr>
      <w:tr w:rsidR="00EF3470" w:rsidRPr="00EF3470" w14:paraId="5CCE687D" w14:textId="77777777" w:rsidTr="0085434A">
        <w:trPr>
          <w:jc w:val="center"/>
        </w:trPr>
        <w:tc>
          <w:tcPr>
            <w:tcW w:w="4794" w:type="dxa"/>
            <w:vAlign w:val="center"/>
          </w:tcPr>
          <w:p w14:paraId="531B20C2" w14:textId="77777777" w:rsidR="00EF3470" w:rsidRPr="00EF3470" w:rsidRDefault="00EF3470" w:rsidP="0085434A">
            <w:pPr>
              <w:jc w:val="center"/>
              <w:rPr>
                <w:rFonts w:ascii="Times New Roman"/>
                <w:sz w:val="16"/>
                <w:szCs w:val="16"/>
              </w:rPr>
            </w:pPr>
            <w:r w:rsidRPr="00EF3470">
              <w:rPr>
                <w:rFonts w:ascii="Times New Roman"/>
                <w:sz w:val="16"/>
                <w:szCs w:val="16"/>
              </w:rPr>
              <w:t>Flexibility in microgrid investments (FBXT)</w:t>
            </w:r>
          </w:p>
        </w:tc>
        <w:tc>
          <w:tcPr>
            <w:tcW w:w="2927" w:type="dxa"/>
            <w:vAlign w:val="center"/>
          </w:tcPr>
          <w:p w14:paraId="52C4A3D8" w14:textId="77777777" w:rsidR="00EF3470" w:rsidRPr="00EF3470" w:rsidRDefault="00EF3470" w:rsidP="0085434A">
            <w:pPr>
              <w:jc w:val="center"/>
              <w:rPr>
                <w:rFonts w:ascii="Times New Roman"/>
                <w:sz w:val="16"/>
                <w:szCs w:val="16"/>
              </w:rPr>
            </w:pPr>
            <w:r w:rsidRPr="00EF3470">
              <w:rPr>
                <w:rFonts w:ascii="Times New Roman"/>
                <w:sz w:val="16"/>
                <w:szCs w:val="16"/>
              </w:rPr>
              <w:t>(Choudhury, 2022)</w:t>
            </w:r>
          </w:p>
        </w:tc>
      </w:tr>
    </w:tbl>
    <w:p w14:paraId="758B6723" w14:textId="77777777" w:rsidR="00EF3470" w:rsidRPr="00EF64B3" w:rsidRDefault="00EF3470" w:rsidP="00EF3470">
      <w:pPr>
        <w:spacing w:before="120" w:after="120"/>
        <w:jc w:val="both"/>
        <w:rPr>
          <w:rFonts w:ascii="Times New Roman"/>
          <w:sz w:val="20"/>
          <w:szCs w:val="20"/>
        </w:rPr>
      </w:pPr>
      <w:bookmarkStart w:id="4" w:name="_Hlk143461033"/>
      <w:bookmarkEnd w:id="3"/>
      <w:r w:rsidRPr="00EF64B3">
        <w:rPr>
          <w:rFonts w:ascii="Times New Roman"/>
          <w:sz w:val="20"/>
          <w:szCs w:val="20"/>
        </w:rPr>
        <w:t>To enhance the performance of battery integration into microgrids, thorough analysis of the energy supply and demand balance is essential. Additionally, efficient implementation of energy storage is crucial to achieving this goal. Effective energy distribution also plays a pivotal role in this process. Battery costs should be considered a flexible factor, and minimizing carbon emissions is critical. Moreover, microgrids need to be adaptable to accommodate technological advancements. Table 3 further outlines five key technical improvements for integrating batteries into microgrids.</w:t>
      </w:r>
    </w:p>
    <w:p w14:paraId="0000A0DB" w14:textId="77777777" w:rsidR="00EF3470" w:rsidRPr="001813BC" w:rsidRDefault="00EF3470" w:rsidP="00EF3470">
      <w:pPr>
        <w:spacing w:after="120"/>
        <w:jc w:val="center"/>
        <w:rPr>
          <w:rFonts w:ascii="Times New Roman"/>
          <w:b/>
          <w:bCs/>
          <w:sz w:val="20"/>
          <w:szCs w:val="20"/>
        </w:rPr>
      </w:pPr>
      <w:r w:rsidRPr="001813BC">
        <w:rPr>
          <w:rFonts w:ascii="Times New Roman"/>
          <w:b/>
          <w:bCs/>
          <w:sz w:val="20"/>
          <w:szCs w:val="20"/>
        </w:rPr>
        <w:t>Table 3: Technical Requirements for Battery Integration to Microgrids</w:t>
      </w:r>
    </w:p>
    <w:tbl>
      <w:tblPr>
        <w:tblStyle w:val="TableGrid"/>
        <w:tblW w:w="0" w:type="auto"/>
        <w:jc w:val="center"/>
        <w:tblLook w:val="04A0" w:firstRow="1" w:lastRow="0" w:firstColumn="1" w:lastColumn="0" w:noHBand="0" w:noVBand="1"/>
      </w:tblPr>
      <w:tblGrid>
        <w:gridCol w:w="4172"/>
        <w:gridCol w:w="2605"/>
      </w:tblGrid>
      <w:tr w:rsidR="00EF3470" w:rsidRPr="00EF3470" w14:paraId="391C1E39" w14:textId="77777777" w:rsidTr="0085434A">
        <w:trPr>
          <w:jc w:val="center"/>
        </w:trPr>
        <w:tc>
          <w:tcPr>
            <w:tcW w:w="4172" w:type="dxa"/>
            <w:vAlign w:val="center"/>
          </w:tcPr>
          <w:p w14:paraId="33279DD8" w14:textId="77777777" w:rsidR="00EF3470" w:rsidRPr="00EF3470" w:rsidRDefault="00EF3470" w:rsidP="0085434A">
            <w:pPr>
              <w:jc w:val="center"/>
              <w:rPr>
                <w:rFonts w:ascii="Times New Roman"/>
                <w:b/>
                <w:bCs/>
                <w:sz w:val="16"/>
                <w:szCs w:val="16"/>
              </w:rPr>
            </w:pPr>
            <w:r w:rsidRPr="00EF3470">
              <w:rPr>
                <w:rFonts w:ascii="Times New Roman"/>
                <w:b/>
                <w:bCs/>
                <w:sz w:val="16"/>
                <w:szCs w:val="16"/>
              </w:rPr>
              <w:t>Technical Requirements</w:t>
            </w:r>
          </w:p>
        </w:tc>
        <w:tc>
          <w:tcPr>
            <w:tcW w:w="2605" w:type="dxa"/>
            <w:vAlign w:val="center"/>
          </w:tcPr>
          <w:p w14:paraId="11DF285C" w14:textId="77777777" w:rsidR="00EF3470" w:rsidRPr="00EF3470" w:rsidRDefault="00EF3470" w:rsidP="0085434A">
            <w:pPr>
              <w:jc w:val="center"/>
              <w:rPr>
                <w:rFonts w:ascii="Times New Roman"/>
                <w:b/>
                <w:bCs/>
                <w:sz w:val="16"/>
                <w:szCs w:val="16"/>
              </w:rPr>
            </w:pPr>
            <w:r w:rsidRPr="00EF3470">
              <w:rPr>
                <w:rFonts w:ascii="Times New Roman"/>
                <w:b/>
                <w:bCs/>
                <w:sz w:val="16"/>
                <w:szCs w:val="16"/>
              </w:rPr>
              <w:t>Literature</w:t>
            </w:r>
          </w:p>
        </w:tc>
      </w:tr>
      <w:tr w:rsidR="00EF3470" w:rsidRPr="00EF3470" w14:paraId="03E0E8A2" w14:textId="77777777" w:rsidTr="0085434A">
        <w:trPr>
          <w:jc w:val="center"/>
        </w:trPr>
        <w:tc>
          <w:tcPr>
            <w:tcW w:w="4172" w:type="dxa"/>
          </w:tcPr>
          <w:p w14:paraId="06C05185" w14:textId="77777777" w:rsidR="00EF3470" w:rsidRPr="00EF3470" w:rsidRDefault="00EF3470" w:rsidP="0085434A">
            <w:pPr>
              <w:jc w:val="center"/>
              <w:rPr>
                <w:rFonts w:ascii="Times New Roman"/>
                <w:sz w:val="16"/>
                <w:szCs w:val="16"/>
              </w:rPr>
            </w:pPr>
            <w:r w:rsidRPr="00EF3470">
              <w:rPr>
                <w:rFonts w:ascii="Times New Roman"/>
                <w:sz w:val="16"/>
                <w:szCs w:val="16"/>
              </w:rPr>
              <w:t>Storage capacity of microgrids (SCPC)</w:t>
            </w:r>
          </w:p>
        </w:tc>
        <w:tc>
          <w:tcPr>
            <w:tcW w:w="2605" w:type="dxa"/>
            <w:vAlign w:val="center"/>
          </w:tcPr>
          <w:p w14:paraId="1B040282" w14:textId="77777777" w:rsidR="00EF3470" w:rsidRPr="00EF3470" w:rsidRDefault="00EF3470" w:rsidP="0085434A">
            <w:pPr>
              <w:jc w:val="center"/>
              <w:rPr>
                <w:rFonts w:ascii="Times New Roman"/>
                <w:sz w:val="16"/>
                <w:szCs w:val="16"/>
              </w:rPr>
            </w:pPr>
            <w:r w:rsidRPr="00EF3470">
              <w:rPr>
                <w:rFonts w:ascii="Times New Roman"/>
                <w:sz w:val="16"/>
                <w:szCs w:val="16"/>
              </w:rPr>
              <w:t>(</w:t>
            </w:r>
            <w:proofErr w:type="spellStart"/>
            <w:r w:rsidRPr="00EF3470">
              <w:rPr>
                <w:rFonts w:ascii="Times New Roman"/>
                <w:sz w:val="16"/>
                <w:szCs w:val="16"/>
              </w:rPr>
              <w:t>Lipu</w:t>
            </w:r>
            <w:proofErr w:type="spellEnd"/>
            <w:r w:rsidRPr="00EF3470">
              <w:rPr>
                <w:rFonts w:ascii="Times New Roman"/>
                <w:sz w:val="16"/>
                <w:szCs w:val="16"/>
              </w:rPr>
              <w:t xml:space="preserve"> et al., 2022)</w:t>
            </w:r>
          </w:p>
        </w:tc>
      </w:tr>
      <w:tr w:rsidR="00EF3470" w:rsidRPr="00EF3470" w14:paraId="586E16E9" w14:textId="77777777" w:rsidTr="0085434A">
        <w:trPr>
          <w:jc w:val="center"/>
        </w:trPr>
        <w:tc>
          <w:tcPr>
            <w:tcW w:w="4172" w:type="dxa"/>
          </w:tcPr>
          <w:p w14:paraId="66493331" w14:textId="77777777" w:rsidR="00EF3470" w:rsidRPr="00EF3470" w:rsidRDefault="00EF3470" w:rsidP="0085434A">
            <w:pPr>
              <w:jc w:val="center"/>
              <w:rPr>
                <w:rFonts w:ascii="Times New Roman"/>
                <w:sz w:val="16"/>
                <w:szCs w:val="16"/>
              </w:rPr>
            </w:pPr>
            <w:r w:rsidRPr="00EF3470">
              <w:rPr>
                <w:rFonts w:ascii="Times New Roman"/>
                <w:sz w:val="16"/>
                <w:szCs w:val="16"/>
              </w:rPr>
              <w:t>Long-lasting battery selection (LLBT)</w:t>
            </w:r>
          </w:p>
        </w:tc>
        <w:tc>
          <w:tcPr>
            <w:tcW w:w="2605" w:type="dxa"/>
            <w:vAlign w:val="center"/>
          </w:tcPr>
          <w:p w14:paraId="213DBC50" w14:textId="77777777" w:rsidR="00EF3470" w:rsidRPr="00EF3470" w:rsidRDefault="00EF3470" w:rsidP="0085434A">
            <w:pPr>
              <w:jc w:val="center"/>
              <w:rPr>
                <w:rFonts w:ascii="Times New Roman"/>
                <w:sz w:val="16"/>
                <w:szCs w:val="16"/>
              </w:rPr>
            </w:pPr>
            <w:proofErr w:type="spellStart"/>
            <w:r w:rsidRPr="00EF3470">
              <w:rPr>
                <w:rFonts w:ascii="Times New Roman"/>
                <w:sz w:val="16"/>
                <w:szCs w:val="16"/>
              </w:rPr>
              <w:t>Roccotelli</w:t>
            </w:r>
            <w:proofErr w:type="spellEnd"/>
            <w:r w:rsidRPr="00EF3470">
              <w:rPr>
                <w:rFonts w:ascii="Times New Roman"/>
                <w:sz w:val="16"/>
                <w:szCs w:val="16"/>
              </w:rPr>
              <w:t xml:space="preserve"> et al., 2022)</w:t>
            </w:r>
          </w:p>
        </w:tc>
      </w:tr>
      <w:tr w:rsidR="00EF3470" w:rsidRPr="00EF3470" w14:paraId="244B41AC" w14:textId="77777777" w:rsidTr="0085434A">
        <w:trPr>
          <w:jc w:val="center"/>
        </w:trPr>
        <w:tc>
          <w:tcPr>
            <w:tcW w:w="4172" w:type="dxa"/>
          </w:tcPr>
          <w:p w14:paraId="1271DE49" w14:textId="77777777" w:rsidR="00EF3470" w:rsidRPr="00EF3470" w:rsidRDefault="00EF3470" w:rsidP="0085434A">
            <w:pPr>
              <w:jc w:val="center"/>
              <w:rPr>
                <w:rFonts w:ascii="Times New Roman"/>
                <w:sz w:val="16"/>
                <w:szCs w:val="16"/>
              </w:rPr>
            </w:pPr>
            <w:r w:rsidRPr="00EF3470">
              <w:rPr>
                <w:rFonts w:ascii="Times New Roman"/>
                <w:sz w:val="16"/>
                <w:szCs w:val="16"/>
              </w:rPr>
              <w:t>Smart battery control systems (STBC)</w:t>
            </w:r>
          </w:p>
        </w:tc>
        <w:tc>
          <w:tcPr>
            <w:tcW w:w="2605" w:type="dxa"/>
            <w:vAlign w:val="center"/>
          </w:tcPr>
          <w:p w14:paraId="356950BD" w14:textId="77777777" w:rsidR="00EF3470" w:rsidRPr="00EF3470" w:rsidRDefault="00EF3470" w:rsidP="0085434A">
            <w:pPr>
              <w:jc w:val="center"/>
              <w:rPr>
                <w:rFonts w:ascii="Times New Roman"/>
                <w:sz w:val="16"/>
                <w:szCs w:val="16"/>
              </w:rPr>
            </w:pPr>
            <w:r w:rsidRPr="00EF3470">
              <w:rPr>
                <w:rFonts w:ascii="Times New Roman"/>
                <w:sz w:val="16"/>
                <w:szCs w:val="16"/>
              </w:rPr>
              <w:t>(Masrur et al., 2022)</w:t>
            </w:r>
          </w:p>
        </w:tc>
      </w:tr>
      <w:tr w:rsidR="00EF3470" w:rsidRPr="00EF3470" w14:paraId="13FB083E" w14:textId="77777777" w:rsidTr="0085434A">
        <w:trPr>
          <w:jc w:val="center"/>
        </w:trPr>
        <w:tc>
          <w:tcPr>
            <w:tcW w:w="4172" w:type="dxa"/>
          </w:tcPr>
          <w:p w14:paraId="7623233F" w14:textId="77777777" w:rsidR="00EF3470" w:rsidRPr="00EF3470" w:rsidRDefault="00EF3470" w:rsidP="0085434A">
            <w:pPr>
              <w:jc w:val="center"/>
              <w:rPr>
                <w:rFonts w:ascii="Times New Roman"/>
                <w:sz w:val="16"/>
                <w:szCs w:val="16"/>
              </w:rPr>
            </w:pPr>
            <w:r w:rsidRPr="00EF3470">
              <w:rPr>
                <w:rFonts w:ascii="Times New Roman"/>
                <w:sz w:val="16"/>
                <w:szCs w:val="16"/>
              </w:rPr>
              <w:t>Compatibility with safety constructions (CSCR)</w:t>
            </w:r>
          </w:p>
        </w:tc>
        <w:tc>
          <w:tcPr>
            <w:tcW w:w="2605" w:type="dxa"/>
            <w:vAlign w:val="center"/>
          </w:tcPr>
          <w:p w14:paraId="3D0C17D5" w14:textId="77777777" w:rsidR="00EF3470" w:rsidRPr="00EF3470" w:rsidRDefault="00EF3470" w:rsidP="0085434A">
            <w:pPr>
              <w:jc w:val="center"/>
              <w:rPr>
                <w:rFonts w:ascii="Times New Roman"/>
                <w:sz w:val="16"/>
                <w:szCs w:val="16"/>
              </w:rPr>
            </w:pPr>
            <w:r w:rsidRPr="00EF3470">
              <w:rPr>
                <w:rFonts w:ascii="Times New Roman"/>
                <w:sz w:val="16"/>
                <w:szCs w:val="16"/>
              </w:rPr>
              <w:t>(Kama et al, 2022)</w:t>
            </w:r>
          </w:p>
        </w:tc>
      </w:tr>
      <w:tr w:rsidR="00EF3470" w:rsidRPr="00EF3470" w14:paraId="7A045BCE" w14:textId="77777777" w:rsidTr="0085434A">
        <w:trPr>
          <w:jc w:val="center"/>
        </w:trPr>
        <w:tc>
          <w:tcPr>
            <w:tcW w:w="4172" w:type="dxa"/>
          </w:tcPr>
          <w:p w14:paraId="2077FF67" w14:textId="77777777" w:rsidR="00EF3470" w:rsidRPr="00EF3470" w:rsidRDefault="00EF3470" w:rsidP="0085434A">
            <w:pPr>
              <w:jc w:val="center"/>
              <w:rPr>
                <w:rFonts w:ascii="Times New Roman"/>
                <w:sz w:val="16"/>
                <w:szCs w:val="16"/>
              </w:rPr>
            </w:pPr>
            <w:r w:rsidRPr="00EF3470">
              <w:rPr>
                <w:rFonts w:ascii="Times New Roman"/>
                <w:sz w:val="16"/>
                <w:szCs w:val="16"/>
              </w:rPr>
              <w:t>Modular system designing (MDGG)</w:t>
            </w:r>
          </w:p>
        </w:tc>
        <w:tc>
          <w:tcPr>
            <w:tcW w:w="2605" w:type="dxa"/>
            <w:vAlign w:val="center"/>
          </w:tcPr>
          <w:p w14:paraId="368DD3D5" w14:textId="77777777" w:rsidR="00EF3470" w:rsidRPr="00EF3470" w:rsidRDefault="00EF3470" w:rsidP="0085434A">
            <w:pPr>
              <w:jc w:val="center"/>
              <w:rPr>
                <w:rFonts w:ascii="Times New Roman"/>
                <w:sz w:val="16"/>
                <w:szCs w:val="16"/>
              </w:rPr>
            </w:pPr>
            <w:r w:rsidRPr="00EF3470">
              <w:rPr>
                <w:rFonts w:ascii="Times New Roman"/>
                <w:sz w:val="16"/>
                <w:szCs w:val="16"/>
              </w:rPr>
              <w:t>(</w:t>
            </w:r>
            <w:proofErr w:type="spellStart"/>
            <w:r w:rsidRPr="00EF3470">
              <w:rPr>
                <w:rFonts w:ascii="Times New Roman"/>
                <w:sz w:val="16"/>
                <w:szCs w:val="16"/>
              </w:rPr>
              <w:t>Masaud</w:t>
            </w:r>
            <w:proofErr w:type="spellEnd"/>
            <w:r w:rsidRPr="00EF3470">
              <w:rPr>
                <w:rFonts w:ascii="Times New Roman"/>
                <w:sz w:val="16"/>
                <w:szCs w:val="16"/>
              </w:rPr>
              <w:t xml:space="preserve"> and </w:t>
            </w:r>
            <w:proofErr w:type="spellStart"/>
            <w:r w:rsidRPr="00EF3470">
              <w:rPr>
                <w:rFonts w:ascii="Times New Roman"/>
                <w:sz w:val="16"/>
                <w:szCs w:val="16"/>
              </w:rPr>
              <w:t>Nwaulu</w:t>
            </w:r>
            <w:proofErr w:type="spellEnd"/>
            <w:r w:rsidRPr="00EF3470">
              <w:rPr>
                <w:rFonts w:ascii="Times New Roman"/>
                <w:sz w:val="16"/>
                <w:szCs w:val="16"/>
              </w:rPr>
              <w:t>, 2023)</w:t>
            </w:r>
          </w:p>
        </w:tc>
      </w:tr>
      <w:tr w:rsidR="00EF3470" w:rsidRPr="00EF3470" w14:paraId="2CB15C29" w14:textId="77777777" w:rsidTr="0085434A">
        <w:trPr>
          <w:jc w:val="center"/>
        </w:trPr>
        <w:tc>
          <w:tcPr>
            <w:tcW w:w="4172" w:type="dxa"/>
          </w:tcPr>
          <w:p w14:paraId="1442EE57" w14:textId="77777777" w:rsidR="00EF3470" w:rsidRPr="00EF3470" w:rsidRDefault="00EF3470" w:rsidP="0085434A">
            <w:pPr>
              <w:jc w:val="center"/>
              <w:rPr>
                <w:rFonts w:ascii="Times New Roman"/>
                <w:sz w:val="16"/>
                <w:szCs w:val="16"/>
              </w:rPr>
            </w:pPr>
            <w:r w:rsidRPr="00EF3470">
              <w:rPr>
                <w:rFonts w:ascii="Times New Roman"/>
                <w:sz w:val="16"/>
                <w:szCs w:val="16"/>
              </w:rPr>
              <w:t>Stability in grid loads and response (SBYL)</w:t>
            </w:r>
          </w:p>
        </w:tc>
        <w:tc>
          <w:tcPr>
            <w:tcW w:w="2605" w:type="dxa"/>
            <w:vAlign w:val="center"/>
          </w:tcPr>
          <w:p w14:paraId="66BE46DC" w14:textId="77777777" w:rsidR="00EF3470" w:rsidRPr="00EF3470" w:rsidRDefault="00EF3470" w:rsidP="0085434A">
            <w:pPr>
              <w:jc w:val="center"/>
              <w:rPr>
                <w:rFonts w:ascii="Times New Roman"/>
                <w:sz w:val="16"/>
                <w:szCs w:val="16"/>
              </w:rPr>
            </w:pPr>
            <w:r w:rsidRPr="00EF3470">
              <w:rPr>
                <w:rFonts w:ascii="Times New Roman"/>
                <w:sz w:val="16"/>
                <w:szCs w:val="16"/>
              </w:rPr>
              <w:t>(Youssef et al., 2023)</w:t>
            </w:r>
          </w:p>
        </w:tc>
      </w:tr>
    </w:tbl>
    <w:bookmarkEnd w:id="4"/>
    <w:p w14:paraId="2B295C80" w14:textId="77777777" w:rsidR="00EF3470" w:rsidRPr="001813BC" w:rsidRDefault="00EF3470" w:rsidP="00EF3470">
      <w:pPr>
        <w:spacing w:before="120" w:after="120"/>
        <w:jc w:val="both"/>
        <w:rPr>
          <w:rFonts w:ascii="Times New Roman"/>
          <w:sz w:val="20"/>
          <w:szCs w:val="20"/>
        </w:rPr>
      </w:pPr>
      <w:r w:rsidRPr="00EF64B3">
        <w:rPr>
          <w:rFonts w:ascii="Times New Roman"/>
          <w:sz w:val="20"/>
          <w:szCs w:val="20"/>
        </w:rPr>
        <w:lastRenderedPageBreak/>
        <w:t>Microgrids must have adequate storage capacity to enhance the performance of battery integration. Additionally, the batteries should be durable to ensure cost-effectiveness. Smart battery control systems can further improve the efficiency of energy production and distribution. Moreover, necessary safety measures must be in place to support performance improvements in the system. The design should also be modular, with stable grid loads and a reliable response to maintain system stability.</w:t>
      </w:r>
    </w:p>
    <w:bookmarkEnd w:id="2"/>
    <w:p w14:paraId="6CCE588A" w14:textId="77EEEB3D" w:rsidR="00EF3470" w:rsidRPr="001813BC" w:rsidRDefault="00EF3470" w:rsidP="00F24E56">
      <w:pPr>
        <w:spacing w:after="120"/>
        <w:jc w:val="both"/>
        <w:rPr>
          <w:rFonts w:ascii="Times New Roman"/>
          <w:sz w:val="20"/>
          <w:szCs w:val="20"/>
        </w:rPr>
      </w:pPr>
      <w:r w:rsidRPr="001813BC">
        <w:rPr>
          <w:rFonts w:ascii="Times New Roman"/>
          <w:b/>
          <w:bCs/>
          <w:i/>
          <w:iCs/>
          <w:sz w:val="20"/>
          <w:szCs w:val="20"/>
        </w:rPr>
        <w:t>Weighting Customer Expectations for Battery Integration to Microgrids</w:t>
      </w:r>
    </w:p>
    <w:p w14:paraId="43278F42" w14:textId="77777777" w:rsidR="00EF3470" w:rsidRDefault="00EF3470" w:rsidP="00EF3470">
      <w:pPr>
        <w:jc w:val="both"/>
        <w:rPr>
          <w:rFonts w:ascii="Times New Roman"/>
          <w:b/>
          <w:bCs/>
          <w:sz w:val="20"/>
          <w:szCs w:val="20"/>
        </w:rPr>
      </w:pPr>
      <w:r w:rsidRPr="00EF64B3">
        <w:rPr>
          <w:rFonts w:ascii="Times New Roman"/>
          <w:sz w:val="20"/>
          <w:szCs w:val="20"/>
        </w:rPr>
        <w:t>Evaluations are based on seven different scales provided by three decision-makers. The first expert is a general manager at an international renewable energy company. The other two experts are academicians who conduct significant research on microgrid systems, battery types, energy storage effectiveness, and carbon emissions. Table 4 shows the evaluations concerning customer expectations for integrating batteries into microgrids.</w:t>
      </w:r>
    </w:p>
    <w:p w14:paraId="5FAFAAD2" w14:textId="77777777" w:rsidR="00EF3470" w:rsidRPr="001813BC" w:rsidRDefault="00EF3470" w:rsidP="00F24E56">
      <w:pPr>
        <w:spacing w:after="120"/>
        <w:jc w:val="center"/>
        <w:rPr>
          <w:rFonts w:ascii="Times New Roman"/>
          <w:sz w:val="20"/>
          <w:szCs w:val="20"/>
        </w:rPr>
      </w:pPr>
      <w:r w:rsidRPr="001813BC">
        <w:rPr>
          <w:rFonts w:ascii="Times New Roman"/>
          <w:b/>
          <w:bCs/>
          <w:sz w:val="20"/>
          <w:szCs w:val="20"/>
        </w:rPr>
        <w:t>Table 4: Expert Evaluations related to the Customer Expectations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7"/>
        <w:gridCol w:w="1507"/>
        <w:gridCol w:w="1481"/>
        <w:gridCol w:w="1506"/>
        <w:gridCol w:w="1603"/>
        <w:gridCol w:w="1458"/>
        <w:gridCol w:w="1458"/>
      </w:tblGrid>
      <w:tr w:rsidR="00EF3470" w:rsidRPr="00EF3470" w14:paraId="3A072CD6" w14:textId="77777777" w:rsidTr="0085434A">
        <w:trPr>
          <w:trHeight w:val="57"/>
          <w:jc w:val="center"/>
        </w:trPr>
        <w:tc>
          <w:tcPr>
            <w:tcW w:w="716" w:type="pct"/>
            <w:shd w:val="clear" w:color="auto" w:fill="auto"/>
            <w:noWrap/>
            <w:vAlign w:val="center"/>
            <w:hideMark/>
          </w:tcPr>
          <w:p w14:paraId="71391DF1" w14:textId="77777777" w:rsidR="00EF3470" w:rsidRPr="00EF3470" w:rsidRDefault="00EF3470" w:rsidP="0085434A">
            <w:pPr>
              <w:spacing w:after="0" w:line="240" w:lineRule="auto"/>
              <w:jc w:val="center"/>
              <w:rPr>
                <w:rFonts w:ascii="Times New Roman"/>
                <w:b/>
                <w:bCs/>
                <w:color w:val="000000"/>
                <w:sz w:val="16"/>
                <w:szCs w:val="16"/>
                <w:lang w:eastAsia="tr-TR"/>
              </w:rPr>
            </w:pPr>
          </w:p>
        </w:tc>
        <w:tc>
          <w:tcPr>
            <w:tcW w:w="716" w:type="pct"/>
            <w:shd w:val="clear" w:color="auto" w:fill="auto"/>
            <w:noWrap/>
            <w:vAlign w:val="center"/>
            <w:hideMark/>
          </w:tcPr>
          <w:p w14:paraId="373E96B8"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sz w:val="16"/>
                <w:szCs w:val="16"/>
              </w:rPr>
              <w:t>CNGS</w:t>
            </w:r>
          </w:p>
        </w:tc>
        <w:tc>
          <w:tcPr>
            <w:tcW w:w="704" w:type="pct"/>
            <w:shd w:val="clear" w:color="auto" w:fill="auto"/>
            <w:noWrap/>
            <w:vAlign w:val="center"/>
            <w:hideMark/>
          </w:tcPr>
          <w:p w14:paraId="7728E788"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sz w:val="16"/>
                <w:szCs w:val="16"/>
              </w:rPr>
              <w:t>STGY</w:t>
            </w:r>
          </w:p>
        </w:tc>
        <w:tc>
          <w:tcPr>
            <w:tcW w:w="716" w:type="pct"/>
            <w:shd w:val="clear" w:color="auto" w:fill="auto"/>
            <w:noWrap/>
            <w:vAlign w:val="center"/>
            <w:hideMark/>
          </w:tcPr>
          <w:p w14:paraId="774752AD"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sz w:val="16"/>
                <w:szCs w:val="16"/>
              </w:rPr>
              <w:t>PTMS</w:t>
            </w:r>
          </w:p>
        </w:tc>
        <w:tc>
          <w:tcPr>
            <w:tcW w:w="762" w:type="pct"/>
            <w:shd w:val="clear" w:color="auto" w:fill="auto"/>
            <w:noWrap/>
            <w:vAlign w:val="center"/>
            <w:hideMark/>
          </w:tcPr>
          <w:p w14:paraId="063BA3DF"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sz w:val="16"/>
                <w:szCs w:val="16"/>
              </w:rPr>
              <w:t>LWTT</w:t>
            </w:r>
          </w:p>
        </w:tc>
        <w:tc>
          <w:tcPr>
            <w:tcW w:w="693" w:type="pct"/>
            <w:shd w:val="clear" w:color="auto" w:fill="auto"/>
            <w:noWrap/>
            <w:vAlign w:val="center"/>
            <w:hideMark/>
          </w:tcPr>
          <w:p w14:paraId="390A6094"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sz w:val="16"/>
                <w:szCs w:val="16"/>
              </w:rPr>
              <w:t>FTPG</w:t>
            </w:r>
          </w:p>
        </w:tc>
        <w:tc>
          <w:tcPr>
            <w:tcW w:w="693" w:type="pct"/>
            <w:shd w:val="clear" w:color="auto" w:fill="auto"/>
            <w:noWrap/>
            <w:vAlign w:val="center"/>
            <w:hideMark/>
          </w:tcPr>
          <w:p w14:paraId="5E27DAF1"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sz w:val="16"/>
                <w:szCs w:val="16"/>
              </w:rPr>
              <w:t>FBXT</w:t>
            </w:r>
          </w:p>
        </w:tc>
      </w:tr>
      <w:tr w:rsidR="00EF3470" w:rsidRPr="00EF3470" w14:paraId="5B39C74B" w14:textId="77777777" w:rsidTr="0085434A">
        <w:trPr>
          <w:trHeight w:val="57"/>
          <w:jc w:val="center"/>
        </w:trPr>
        <w:tc>
          <w:tcPr>
            <w:tcW w:w="716" w:type="pct"/>
            <w:shd w:val="clear" w:color="auto" w:fill="auto"/>
            <w:noWrap/>
            <w:vAlign w:val="center"/>
            <w:hideMark/>
          </w:tcPr>
          <w:p w14:paraId="404FED0D"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CNGS</w:t>
            </w:r>
          </w:p>
        </w:tc>
        <w:tc>
          <w:tcPr>
            <w:tcW w:w="716" w:type="pct"/>
            <w:shd w:val="clear" w:color="auto" w:fill="auto"/>
            <w:noWrap/>
            <w:vAlign w:val="center"/>
            <w:hideMark/>
          </w:tcPr>
          <w:p w14:paraId="5545E75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 -; -</w:t>
            </w:r>
          </w:p>
        </w:tc>
        <w:tc>
          <w:tcPr>
            <w:tcW w:w="704" w:type="pct"/>
            <w:shd w:val="clear" w:color="auto" w:fill="auto"/>
            <w:noWrap/>
            <w:vAlign w:val="center"/>
            <w:hideMark/>
          </w:tcPr>
          <w:p w14:paraId="75C993E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ML; ML</w:t>
            </w:r>
          </w:p>
        </w:tc>
        <w:tc>
          <w:tcPr>
            <w:tcW w:w="716" w:type="pct"/>
            <w:shd w:val="clear" w:color="auto" w:fill="auto"/>
            <w:noWrap/>
            <w:vAlign w:val="center"/>
            <w:hideMark/>
          </w:tcPr>
          <w:p w14:paraId="513B085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ML; L</w:t>
            </w:r>
          </w:p>
        </w:tc>
        <w:tc>
          <w:tcPr>
            <w:tcW w:w="762" w:type="pct"/>
            <w:shd w:val="clear" w:color="auto" w:fill="auto"/>
            <w:noWrap/>
            <w:vAlign w:val="center"/>
            <w:hideMark/>
          </w:tcPr>
          <w:p w14:paraId="60BABC5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VL; L; ML</w:t>
            </w:r>
          </w:p>
        </w:tc>
        <w:tc>
          <w:tcPr>
            <w:tcW w:w="693" w:type="pct"/>
            <w:shd w:val="clear" w:color="auto" w:fill="auto"/>
            <w:noWrap/>
            <w:vAlign w:val="center"/>
            <w:hideMark/>
          </w:tcPr>
          <w:p w14:paraId="76D8B9F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L; M</w:t>
            </w:r>
          </w:p>
        </w:tc>
        <w:tc>
          <w:tcPr>
            <w:tcW w:w="693" w:type="pct"/>
            <w:shd w:val="clear" w:color="auto" w:fill="auto"/>
            <w:noWrap/>
            <w:vAlign w:val="center"/>
            <w:hideMark/>
          </w:tcPr>
          <w:p w14:paraId="7363EAF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ML; M</w:t>
            </w:r>
          </w:p>
        </w:tc>
      </w:tr>
      <w:tr w:rsidR="00EF3470" w:rsidRPr="00EF3470" w14:paraId="6D98CF8F" w14:textId="77777777" w:rsidTr="0085434A">
        <w:trPr>
          <w:trHeight w:val="57"/>
          <w:jc w:val="center"/>
        </w:trPr>
        <w:tc>
          <w:tcPr>
            <w:tcW w:w="716" w:type="pct"/>
            <w:shd w:val="clear" w:color="auto" w:fill="auto"/>
            <w:noWrap/>
            <w:vAlign w:val="center"/>
            <w:hideMark/>
          </w:tcPr>
          <w:p w14:paraId="529F5FB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STGY</w:t>
            </w:r>
          </w:p>
        </w:tc>
        <w:tc>
          <w:tcPr>
            <w:tcW w:w="716" w:type="pct"/>
            <w:shd w:val="clear" w:color="auto" w:fill="auto"/>
            <w:noWrap/>
            <w:vAlign w:val="center"/>
            <w:hideMark/>
          </w:tcPr>
          <w:p w14:paraId="4726BBCD"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VH; VH; VH</w:t>
            </w:r>
          </w:p>
        </w:tc>
        <w:tc>
          <w:tcPr>
            <w:tcW w:w="704" w:type="pct"/>
            <w:shd w:val="clear" w:color="auto" w:fill="auto"/>
            <w:noWrap/>
            <w:vAlign w:val="center"/>
            <w:hideMark/>
          </w:tcPr>
          <w:p w14:paraId="33FF91A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 -; -</w:t>
            </w:r>
          </w:p>
        </w:tc>
        <w:tc>
          <w:tcPr>
            <w:tcW w:w="716" w:type="pct"/>
            <w:shd w:val="clear" w:color="auto" w:fill="auto"/>
            <w:noWrap/>
            <w:vAlign w:val="center"/>
            <w:hideMark/>
          </w:tcPr>
          <w:p w14:paraId="6E834F8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VH; H; MH</w:t>
            </w:r>
          </w:p>
        </w:tc>
        <w:tc>
          <w:tcPr>
            <w:tcW w:w="762" w:type="pct"/>
            <w:shd w:val="clear" w:color="auto" w:fill="auto"/>
            <w:noWrap/>
            <w:vAlign w:val="center"/>
            <w:hideMark/>
          </w:tcPr>
          <w:p w14:paraId="3E8F50D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VH; H; MH</w:t>
            </w:r>
          </w:p>
        </w:tc>
        <w:tc>
          <w:tcPr>
            <w:tcW w:w="693" w:type="pct"/>
            <w:shd w:val="clear" w:color="auto" w:fill="auto"/>
            <w:noWrap/>
            <w:vAlign w:val="center"/>
            <w:hideMark/>
          </w:tcPr>
          <w:p w14:paraId="1B1D8E7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VH; VH; H</w:t>
            </w:r>
          </w:p>
        </w:tc>
        <w:tc>
          <w:tcPr>
            <w:tcW w:w="693" w:type="pct"/>
            <w:shd w:val="clear" w:color="auto" w:fill="auto"/>
            <w:noWrap/>
            <w:vAlign w:val="center"/>
            <w:hideMark/>
          </w:tcPr>
          <w:p w14:paraId="57EE575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VH; H; VH</w:t>
            </w:r>
          </w:p>
        </w:tc>
      </w:tr>
      <w:tr w:rsidR="00EF3470" w:rsidRPr="00EF3470" w14:paraId="02EE5E24" w14:textId="77777777" w:rsidTr="0085434A">
        <w:trPr>
          <w:trHeight w:val="57"/>
          <w:jc w:val="center"/>
        </w:trPr>
        <w:tc>
          <w:tcPr>
            <w:tcW w:w="716" w:type="pct"/>
            <w:shd w:val="clear" w:color="auto" w:fill="auto"/>
            <w:noWrap/>
            <w:vAlign w:val="center"/>
            <w:hideMark/>
          </w:tcPr>
          <w:p w14:paraId="1A5F9AEF"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PTMS</w:t>
            </w:r>
          </w:p>
        </w:tc>
        <w:tc>
          <w:tcPr>
            <w:tcW w:w="716" w:type="pct"/>
            <w:shd w:val="clear" w:color="auto" w:fill="auto"/>
            <w:noWrap/>
            <w:vAlign w:val="center"/>
            <w:hideMark/>
          </w:tcPr>
          <w:p w14:paraId="60C7919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H; MH; M</w:t>
            </w:r>
          </w:p>
        </w:tc>
        <w:tc>
          <w:tcPr>
            <w:tcW w:w="704" w:type="pct"/>
            <w:shd w:val="clear" w:color="auto" w:fill="auto"/>
            <w:noWrap/>
            <w:vAlign w:val="center"/>
            <w:hideMark/>
          </w:tcPr>
          <w:p w14:paraId="63288A9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 ; M ; MH</w:t>
            </w:r>
          </w:p>
        </w:tc>
        <w:tc>
          <w:tcPr>
            <w:tcW w:w="716" w:type="pct"/>
            <w:shd w:val="clear" w:color="auto" w:fill="auto"/>
            <w:noWrap/>
            <w:vAlign w:val="center"/>
            <w:hideMark/>
          </w:tcPr>
          <w:p w14:paraId="2558D88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 -; -</w:t>
            </w:r>
          </w:p>
        </w:tc>
        <w:tc>
          <w:tcPr>
            <w:tcW w:w="762" w:type="pct"/>
            <w:shd w:val="clear" w:color="auto" w:fill="auto"/>
            <w:noWrap/>
            <w:vAlign w:val="center"/>
            <w:hideMark/>
          </w:tcPr>
          <w:p w14:paraId="5C77BCE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MH; MH; H</w:t>
            </w:r>
          </w:p>
        </w:tc>
        <w:tc>
          <w:tcPr>
            <w:tcW w:w="693" w:type="pct"/>
            <w:shd w:val="clear" w:color="auto" w:fill="auto"/>
            <w:noWrap/>
            <w:vAlign w:val="center"/>
            <w:hideMark/>
          </w:tcPr>
          <w:p w14:paraId="789718DF"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 ; MH; MH</w:t>
            </w:r>
          </w:p>
        </w:tc>
        <w:tc>
          <w:tcPr>
            <w:tcW w:w="693" w:type="pct"/>
            <w:shd w:val="clear" w:color="auto" w:fill="auto"/>
            <w:noWrap/>
            <w:vAlign w:val="center"/>
            <w:hideMark/>
          </w:tcPr>
          <w:p w14:paraId="57A2283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MH; M ; MH</w:t>
            </w:r>
          </w:p>
        </w:tc>
      </w:tr>
      <w:tr w:rsidR="00EF3470" w:rsidRPr="00EF3470" w14:paraId="3CF82426" w14:textId="77777777" w:rsidTr="0085434A">
        <w:trPr>
          <w:trHeight w:val="57"/>
          <w:jc w:val="center"/>
        </w:trPr>
        <w:tc>
          <w:tcPr>
            <w:tcW w:w="716" w:type="pct"/>
            <w:shd w:val="clear" w:color="auto" w:fill="auto"/>
            <w:noWrap/>
            <w:vAlign w:val="center"/>
            <w:hideMark/>
          </w:tcPr>
          <w:p w14:paraId="0D9E447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LWTT</w:t>
            </w:r>
          </w:p>
        </w:tc>
        <w:tc>
          <w:tcPr>
            <w:tcW w:w="716" w:type="pct"/>
            <w:shd w:val="clear" w:color="auto" w:fill="auto"/>
            <w:noWrap/>
            <w:vAlign w:val="center"/>
            <w:hideMark/>
          </w:tcPr>
          <w:p w14:paraId="0BB5B50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 ; L; L</w:t>
            </w:r>
          </w:p>
        </w:tc>
        <w:tc>
          <w:tcPr>
            <w:tcW w:w="704" w:type="pct"/>
            <w:shd w:val="clear" w:color="auto" w:fill="auto"/>
            <w:noWrap/>
            <w:vAlign w:val="center"/>
            <w:hideMark/>
          </w:tcPr>
          <w:p w14:paraId="54EF44BB"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L; ML</w:t>
            </w:r>
          </w:p>
        </w:tc>
        <w:tc>
          <w:tcPr>
            <w:tcW w:w="716" w:type="pct"/>
            <w:shd w:val="clear" w:color="auto" w:fill="auto"/>
            <w:noWrap/>
            <w:vAlign w:val="center"/>
            <w:hideMark/>
          </w:tcPr>
          <w:p w14:paraId="7A2C9CB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VL; M ; L</w:t>
            </w:r>
          </w:p>
        </w:tc>
        <w:tc>
          <w:tcPr>
            <w:tcW w:w="762" w:type="pct"/>
            <w:shd w:val="clear" w:color="auto" w:fill="auto"/>
            <w:noWrap/>
            <w:vAlign w:val="center"/>
            <w:hideMark/>
          </w:tcPr>
          <w:p w14:paraId="1C83F53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 -; -</w:t>
            </w:r>
          </w:p>
        </w:tc>
        <w:tc>
          <w:tcPr>
            <w:tcW w:w="693" w:type="pct"/>
            <w:shd w:val="clear" w:color="auto" w:fill="auto"/>
            <w:noWrap/>
            <w:vAlign w:val="center"/>
            <w:hideMark/>
          </w:tcPr>
          <w:p w14:paraId="0D62FA6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L; ML</w:t>
            </w:r>
          </w:p>
        </w:tc>
        <w:tc>
          <w:tcPr>
            <w:tcW w:w="693" w:type="pct"/>
            <w:shd w:val="clear" w:color="auto" w:fill="auto"/>
            <w:noWrap/>
            <w:vAlign w:val="center"/>
            <w:hideMark/>
          </w:tcPr>
          <w:p w14:paraId="292CF678"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ML; M</w:t>
            </w:r>
          </w:p>
        </w:tc>
      </w:tr>
      <w:tr w:rsidR="00EF3470" w:rsidRPr="00EF3470" w14:paraId="1A18A67A" w14:textId="77777777" w:rsidTr="0085434A">
        <w:trPr>
          <w:trHeight w:val="57"/>
          <w:jc w:val="center"/>
        </w:trPr>
        <w:tc>
          <w:tcPr>
            <w:tcW w:w="716" w:type="pct"/>
            <w:shd w:val="clear" w:color="auto" w:fill="auto"/>
            <w:noWrap/>
            <w:vAlign w:val="center"/>
            <w:hideMark/>
          </w:tcPr>
          <w:p w14:paraId="168F956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FTPG</w:t>
            </w:r>
          </w:p>
        </w:tc>
        <w:tc>
          <w:tcPr>
            <w:tcW w:w="716" w:type="pct"/>
            <w:shd w:val="clear" w:color="auto" w:fill="auto"/>
            <w:noWrap/>
            <w:vAlign w:val="center"/>
            <w:hideMark/>
          </w:tcPr>
          <w:p w14:paraId="1D62805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ML; L</w:t>
            </w:r>
          </w:p>
        </w:tc>
        <w:tc>
          <w:tcPr>
            <w:tcW w:w="704" w:type="pct"/>
            <w:shd w:val="clear" w:color="auto" w:fill="auto"/>
            <w:noWrap/>
            <w:vAlign w:val="center"/>
            <w:hideMark/>
          </w:tcPr>
          <w:p w14:paraId="66E20B6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 ; ML; ML</w:t>
            </w:r>
          </w:p>
        </w:tc>
        <w:tc>
          <w:tcPr>
            <w:tcW w:w="716" w:type="pct"/>
            <w:shd w:val="clear" w:color="auto" w:fill="auto"/>
            <w:noWrap/>
            <w:vAlign w:val="center"/>
            <w:hideMark/>
          </w:tcPr>
          <w:p w14:paraId="08DC560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L; ML</w:t>
            </w:r>
          </w:p>
        </w:tc>
        <w:tc>
          <w:tcPr>
            <w:tcW w:w="762" w:type="pct"/>
            <w:shd w:val="clear" w:color="auto" w:fill="auto"/>
            <w:noWrap/>
            <w:vAlign w:val="center"/>
            <w:hideMark/>
          </w:tcPr>
          <w:p w14:paraId="07DDC5DB"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L; ML</w:t>
            </w:r>
          </w:p>
        </w:tc>
        <w:tc>
          <w:tcPr>
            <w:tcW w:w="693" w:type="pct"/>
            <w:shd w:val="clear" w:color="auto" w:fill="auto"/>
            <w:noWrap/>
            <w:vAlign w:val="center"/>
            <w:hideMark/>
          </w:tcPr>
          <w:p w14:paraId="61FC1E9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 -; -</w:t>
            </w:r>
          </w:p>
        </w:tc>
        <w:tc>
          <w:tcPr>
            <w:tcW w:w="693" w:type="pct"/>
            <w:shd w:val="clear" w:color="auto" w:fill="auto"/>
            <w:noWrap/>
            <w:vAlign w:val="center"/>
            <w:hideMark/>
          </w:tcPr>
          <w:p w14:paraId="202DDA3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VL; L</w:t>
            </w:r>
          </w:p>
        </w:tc>
      </w:tr>
      <w:tr w:rsidR="00EF3470" w:rsidRPr="00EF3470" w14:paraId="2BB55603" w14:textId="77777777" w:rsidTr="0085434A">
        <w:trPr>
          <w:trHeight w:val="57"/>
          <w:jc w:val="center"/>
        </w:trPr>
        <w:tc>
          <w:tcPr>
            <w:tcW w:w="716" w:type="pct"/>
            <w:shd w:val="clear" w:color="auto" w:fill="auto"/>
            <w:noWrap/>
            <w:vAlign w:val="center"/>
            <w:hideMark/>
          </w:tcPr>
          <w:p w14:paraId="3EB768E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FBXT</w:t>
            </w:r>
          </w:p>
        </w:tc>
        <w:tc>
          <w:tcPr>
            <w:tcW w:w="716" w:type="pct"/>
            <w:shd w:val="clear" w:color="auto" w:fill="auto"/>
            <w:noWrap/>
            <w:vAlign w:val="center"/>
            <w:hideMark/>
          </w:tcPr>
          <w:p w14:paraId="1D3FD31D"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M ; M</w:t>
            </w:r>
          </w:p>
        </w:tc>
        <w:tc>
          <w:tcPr>
            <w:tcW w:w="704" w:type="pct"/>
            <w:shd w:val="clear" w:color="auto" w:fill="auto"/>
            <w:noWrap/>
            <w:vAlign w:val="center"/>
            <w:hideMark/>
          </w:tcPr>
          <w:p w14:paraId="3492C2A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M ; L</w:t>
            </w:r>
          </w:p>
        </w:tc>
        <w:tc>
          <w:tcPr>
            <w:tcW w:w="716" w:type="pct"/>
            <w:shd w:val="clear" w:color="auto" w:fill="auto"/>
            <w:noWrap/>
            <w:vAlign w:val="center"/>
            <w:hideMark/>
          </w:tcPr>
          <w:p w14:paraId="7D4310BB"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ML; ML</w:t>
            </w:r>
          </w:p>
        </w:tc>
        <w:tc>
          <w:tcPr>
            <w:tcW w:w="762" w:type="pct"/>
            <w:shd w:val="clear" w:color="auto" w:fill="auto"/>
            <w:noWrap/>
            <w:vAlign w:val="center"/>
            <w:hideMark/>
          </w:tcPr>
          <w:p w14:paraId="10E5C46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 ML; M</w:t>
            </w:r>
          </w:p>
        </w:tc>
        <w:tc>
          <w:tcPr>
            <w:tcW w:w="693" w:type="pct"/>
            <w:shd w:val="clear" w:color="auto" w:fill="auto"/>
            <w:noWrap/>
            <w:vAlign w:val="center"/>
            <w:hideMark/>
          </w:tcPr>
          <w:p w14:paraId="59AB8D2F"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ML; L; ML</w:t>
            </w:r>
          </w:p>
        </w:tc>
        <w:tc>
          <w:tcPr>
            <w:tcW w:w="693" w:type="pct"/>
            <w:shd w:val="clear" w:color="auto" w:fill="auto"/>
            <w:noWrap/>
            <w:vAlign w:val="center"/>
            <w:hideMark/>
          </w:tcPr>
          <w:p w14:paraId="25543D0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 -; -</w:t>
            </w:r>
          </w:p>
        </w:tc>
      </w:tr>
    </w:tbl>
    <w:p w14:paraId="66B17439" w14:textId="77777777" w:rsidR="00EF3470" w:rsidRPr="001813BC" w:rsidRDefault="00EF3470" w:rsidP="00EF3470">
      <w:pPr>
        <w:spacing w:before="120" w:after="120" w:line="240" w:lineRule="auto"/>
        <w:jc w:val="both"/>
        <w:rPr>
          <w:rFonts w:ascii="Times New Roman"/>
          <w:sz w:val="20"/>
          <w:szCs w:val="20"/>
        </w:rPr>
      </w:pPr>
      <w:r w:rsidRPr="00EF64B3">
        <w:rPr>
          <w:rFonts w:ascii="Times New Roman"/>
          <w:sz w:val="20"/>
          <w:szCs w:val="20"/>
        </w:rPr>
        <w:t xml:space="preserve">Expert opinions are averaged using Equation (2). Next, the matrix is </w:t>
      </w:r>
      <w:proofErr w:type="spellStart"/>
      <w:r w:rsidRPr="00EF64B3">
        <w:rPr>
          <w:rFonts w:ascii="Times New Roman"/>
          <w:sz w:val="20"/>
          <w:szCs w:val="20"/>
        </w:rPr>
        <w:t>defuzzified</w:t>
      </w:r>
      <w:proofErr w:type="spellEnd"/>
      <w:r w:rsidRPr="00EF64B3">
        <w:rPr>
          <w:rFonts w:ascii="Times New Roman"/>
          <w:sz w:val="20"/>
          <w:szCs w:val="20"/>
        </w:rPr>
        <w:t xml:space="preserve"> according to Equation (3). The normalized direct-relation matrix is then derived using Equations (4) and (5). Following this, the T matrix is computed with Equation (6). Weights are determined using Equations (7) through (9). The results are presented in Table 5.</w:t>
      </w:r>
    </w:p>
    <w:p w14:paraId="4F05F4CF" w14:textId="77777777" w:rsidR="00EF3470" w:rsidRPr="00F24E56" w:rsidRDefault="00EF3470" w:rsidP="00EF3470">
      <w:pPr>
        <w:spacing w:before="120" w:after="120" w:line="240" w:lineRule="auto"/>
        <w:jc w:val="center"/>
        <w:rPr>
          <w:rFonts w:ascii="Times New Roman"/>
          <w:b/>
          <w:bCs/>
          <w:sz w:val="20"/>
          <w:szCs w:val="20"/>
        </w:rPr>
      </w:pPr>
      <w:r w:rsidRPr="00F24E56">
        <w:rPr>
          <w:rFonts w:ascii="Times New Roman"/>
          <w:b/>
          <w:bCs/>
          <w:sz w:val="20"/>
          <w:szCs w:val="20"/>
        </w:rPr>
        <w:t>Table 5: Weights</w:t>
      </w:r>
    </w:p>
    <w:tbl>
      <w:tblPr>
        <w:tblW w:w="5320" w:type="dxa"/>
        <w:jc w:val="center"/>
        <w:tblCellMar>
          <w:left w:w="70" w:type="dxa"/>
          <w:right w:w="70" w:type="dxa"/>
        </w:tblCellMar>
        <w:tblLook w:val="04A0" w:firstRow="1" w:lastRow="0" w:firstColumn="1" w:lastColumn="0" w:noHBand="0" w:noVBand="1"/>
      </w:tblPr>
      <w:tblGrid>
        <w:gridCol w:w="806"/>
        <w:gridCol w:w="855"/>
        <w:gridCol w:w="855"/>
        <w:gridCol w:w="855"/>
        <w:gridCol w:w="929"/>
        <w:gridCol w:w="1020"/>
      </w:tblGrid>
      <w:tr w:rsidR="00EF3470" w:rsidRPr="00F24E56" w14:paraId="42777800" w14:textId="77777777" w:rsidTr="0085434A">
        <w:trPr>
          <w:trHeight w:val="113"/>
          <w:jc w:val="center"/>
        </w:trPr>
        <w:tc>
          <w:tcPr>
            <w:tcW w:w="806" w:type="dxa"/>
            <w:tcBorders>
              <w:top w:val="single" w:sz="4" w:space="0" w:color="auto"/>
              <w:left w:val="single" w:sz="4" w:space="0" w:color="auto"/>
              <w:bottom w:val="single" w:sz="4" w:space="0" w:color="auto"/>
              <w:right w:val="single" w:sz="4" w:space="0" w:color="auto"/>
            </w:tcBorders>
            <w:vAlign w:val="center"/>
          </w:tcPr>
          <w:p w14:paraId="328D9433" w14:textId="77777777" w:rsidR="00EF3470" w:rsidRPr="00F24E56" w:rsidRDefault="00EF3470" w:rsidP="0085434A">
            <w:pPr>
              <w:spacing w:after="0" w:line="240" w:lineRule="auto"/>
              <w:jc w:val="center"/>
              <w:rPr>
                <w:rFonts w:ascii="Times New Roman"/>
                <w:b/>
                <w:bCs/>
                <w:sz w:val="16"/>
                <w:szCs w:val="16"/>
              </w:rPr>
            </w:pPr>
          </w:p>
        </w:tc>
        <w:tc>
          <w:tcPr>
            <w:tcW w:w="855" w:type="dxa"/>
            <w:tcBorders>
              <w:top w:val="single" w:sz="4" w:space="0" w:color="auto"/>
              <w:left w:val="nil"/>
              <w:bottom w:val="single" w:sz="4" w:space="0" w:color="auto"/>
              <w:right w:val="single" w:sz="4" w:space="0" w:color="auto"/>
            </w:tcBorders>
            <w:shd w:val="clear" w:color="auto" w:fill="auto"/>
            <w:noWrap/>
            <w:vAlign w:val="center"/>
            <w:hideMark/>
          </w:tcPr>
          <w:p w14:paraId="7C7B2AB0" w14:textId="77777777" w:rsidR="00EF3470" w:rsidRPr="00F24E56" w:rsidRDefault="00EF3470" w:rsidP="0085434A">
            <w:pPr>
              <w:spacing w:after="0" w:line="240" w:lineRule="auto"/>
              <w:jc w:val="center"/>
              <w:rPr>
                <w:rFonts w:ascii="Times New Roman"/>
                <w:b/>
                <w:bCs/>
                <w:sz w:val="16"/>
                <w:szCs w:val="16"/>
              </w:rPr>
            </w:pPr>
            <w:r w:rsidRPr="00F24E56">
              <w:rPr>
                <w:rFonts w:ascii="Times New Roman"/>
                <w:b/>
                <w:bCs/>
                <w:sz w:val="16"/>
                <w:szCs w:val="16"/>
              </w:rPr>
              <w:t>D</w:t>
            </w:r>
          </w:p>
        </w:tc>
        <w:tc>
          <w:tcPr>
            <w:tcW w:w="855" w:type="dxa"/>
            <w:tcBorders>
              <w:top w:val="single" w:sz="4" w:space="0" w:color="auto"/>
              <w:left w:val="nil"/>
              <w:bottom w:val="single" w:sz="4" w:space="0" w:color="auto"/>
              <w:right w:val="single" w:sz="4" w:space="0" w:color="auto"/>
            </w:tcBorders>
            <w:shd w:val="clear" w:color="auto" w:fill="auto"/>
            <w:noWrap/>
            <w:vAlign w:val="center"/>
            <w:hideMark/>
          </w:tcPr>
          <w:p w14:paraId="1C218AB1" w14:textId="77777777" w:rsidR="00EF3470" w:rsidRPr="00F24E56" w:rsidRDefault="00EF3470" w:rsidP="0085434A">
            <w:pPr>
              <w:spacing w:after="0" w:line="240" w:lineRule="auto"/>
              <w:jc w:val="center"/>
              <w:rPr>
                <w:rFonts w:ascii="Times New Roman"/>
                <w:b/>
                <w:bCs/>
                <w:sz w:val="16"/>
                <w:szCs w:val="16"/>
              </w:rPr>
            </w:pPr>
            <w:r w:rsidRPr="00F24E56">
              <w:rPr>
                <w:rFonts w:ascii="Times New Roman"/>
                <w:b/>
                <w:bCs/>
                <w:sz w:val="16"/>
                <w:szCs w:val="16"/>
              </w:rPr>
              <w:t>R</w:t>
            </w:r>
          </w:p>
        </w:tc>
        <w:tc>
          <w:tcPr>
            <w:tcW w:w="855" w:type="dxa"/>
            <w:tcBorders>
              <w:top w:val="single" w:sz="4" w:space="0" w:color="auto"/>
              <w:left w:val="nil"/>
              <w:bottom w:val="single" w:sz="4" w:space="0" w:color="auto"/>
              <w:right w:val="single" w:sz="4" w:space="0" w:color="auto"/>
            </w:tcBorders>
            <w:shd w:val="clear" w:color="auto" w:fill="auto"/>
            <w:noWrap/>
            <w:vAlign w:val="center"/>
            <w:hideMark/>
          </w:tcPr>
          <w:p w14:paraId="4DD25961" w14:textId="77777777" w:rsidR="00EF3470" w:rsidRPr="00F24E56" w:rsidRDefault="00EF3470" w:rsidP="0085434A">
            <w:pPr>
              <w:spacing w:after="0" w:line="240" w:lineRule="auto"/>
              <w:jc w:val="center"/>
              <w:rPr>
                <w:rFonts w:ascii="Times New Roman"/>
                <w:b/>
                <w:bCs/>
                <w:sz w:val="16"/>
                <w:szCs w:val="16"/>
              </w:rPr>
            </w:pPr>
            <w:r w:rsidRPr="00F24E56">
              <w:rPr>
                <w:rFonts w:ascii="Times New Roman"/>
                <w:b/>
                <w:bCs/>
                <w:sz w:val="16"/>
                <w:szCs w:val="16"/>
              </w:rPr>
              <w:t>R+D</w:t>
            </w:r>
          </w:p>
        </w:tc>
        <w:tc>
          <w:tcPr>
            <w:tcW w:w="929" w:type="dxa"/>
            <w:tcBorders>
              <w:top w:val="single" w:sz="4" w:space="0" w:color="auto"/>
              <w:left w:val="nil"/>
              <w:bottom w:val="single" w:sz="4" w:space="0" w:color="auto"/>
              <w:right w:val="single" w:sz="4" w:space="0" w:color="auto"/>
            </w:tcBorders>
            <w:shd w:val="clear" w:color="auto" w:fill="auto"/>
            <w:noWrap/>
            <w:vAlign w:val="center"/>
            <w:hideMark/>
          </w:tcPr>
          <w:p w14:paraId="19BBB71B" w14:textId="77777777" w:rsidR="00EF3470" w:rsidRPr="00F24E56" w:rsidRDefault="00EF3470" w:rsidP="0085434A">
            <w:pPr>
              <w:spacing w:after="0" w:line="240" w:lineRule="auto"/>
              <w:jc w:val="center"/>
              <w:rPr>
                <w:rFonts w:ascii="Times New Roman"/>
                <w:b/>
                <w:bCs/>
                <w:sz w:val="16"/>
                <w:szCs w:val="16"/>
              </w:rPr>
            </w:pPr>
            <w:r w:rsidRPr="00F24E56">
              <w:rPr>
                <w:rFonts w:ascii="Times New Roman"/>
                <w:b/>
                <w:bCs/>
                <w:sz w:val="16"/>
                <w:szCs w:val="16"/>
              </w:rPr>
              <w:t>R-D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16C4A9E" w14:textId="77777777" w:rsidR="00EF3470" w:rsidRPr="00F24E56" w:rsidRDefault="00EF3470" w:rsidP="0085434A">
            <w:pPr>
              <w:spacing w:after="0" w:line="240" w:lineRule="auto"/>
              <w:jc w:val="center"/>
              <w:rPr>
                <w:rFonts w:ascii="Times New Roman"/>
                <w:b/>
                <w:bCs/>
                <w:sz w:val="16"/>
                <w:szCs w:val="16"/>
              </w:rPr>
            </w:pPr>
            <w:r w:rsidRPr="00F24E56">
              <w:rPr>
                <w:rFonts w:ascii="Times New Roman"/>
                <w:b/>
                <w:bCs/>
                <w:sz w:val="16"/>
                <w:szCs w:val="16"/>
              </w:rPr>
              <w:t>Weights</w:t>
            </w:r>
          </w:p>
        </w:tc>
      </w:tr>
      <w:tr w:rsidR="00EF3470" w:rsidRPr="00F24E56" w14:paraId="5B0762FF" w14:textId="77777777" w:rsidTr="0085434A">
        <w:trPr>
          <w:trHeight w:val="113"/>
          <w:jc w:val="center"/>
        </w:trPr>
        <w:tc>
          <w:tcPr>
            <w:tcW w:w="806" w:type="dxa"/>
            <w:tcBorders>
              <w:top w:val="nil"/>
              <w:left w:val="single" w:sz="4" w:space="0" w:color="auto"/>
              <w:bottom w:val="single" w:sz="4" w:space="0" w:color="auto"/>
              <w:right w:val="single" w:sz="4" w:space="0" w:color="auto"/>
            </w:tcBorders>
            <w:vAlign w:val="center"/>
          </w:tcPr>
          <w:p w14:paraId="7C43615A" w14:textId="77777777" w:rsidR="00EF3470" w:rsidRPr="00F24E56" w:rsidRDefault="00EF3470" w:rsidP="0085434A">
            <w:pPr>
              <w:spacing w:after="0" w:line="240" w:lineRule="auto"/>
              <w:contextualSpacing/>
              <w:jc w:val="center"/>
              <w:rPr>
                <w:rFonts w:ascii="Times New Roman"/>
                <w:sz w:val="16"/>
                <w:szCs w:val="16"/>
              </w:rPr>
            </w:pPr>
            <w:r w:rsidRPr="00F24E56">
              <w:rPr>
                <w:rFonts w:ascii="Times New Roman"/>
                <w:sz w:val="16"/>
                <w:szCs w:val="16"/>
              </w:rPr>
              <w:t>CNGS</w:t>
            </w:r>
          </w:p>
        </w:tc>
        <w:tc>
          <w:tcPr>
            <w:tcW w:w="855" w:type="dxa"/>
            <w:tcBorders>
              <w:top w:val="nil"/>
              <w:left w:val="nil"/>
              <w:bottom w:val="single" w:sz="4" w:space="0" w:color="auto"/>
              <w:right w:val="single" w:sz="4" w:space="0" w:color="auto"/>
            </w:tcBorders>
            <w:shd w:val="clear" w:color="auto" w:fill="auto"/>
            <w:noWrap/>
            <w:vAlign w:val="center"/>
            <w:hideMark/>
          </w:tcPr>
          <w:p w14:paraId="3FFAB33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.3228</w:t>
            </w:r>
          </w:p>
        </w:tc>
        <w:tc>
          <w:tcPr>
            <w:tcW w:w="855" w:type="dxa"/>
            <w:tcBorders>
              <w:top w:val="nil"/>
              <w:left w:val="nil"/>
              <w:bottom w:val="single" w:sz="4" w:space="0" w:color="auto"/>
              <w:right w:val="single" w:sz="4" w:space="0" w:color="auto"/>
            </w:tcBorders>
            <w:shd w:val="clear" w:color="auto" w:fill="auto"/>
            <w:noWrap/>
            <w:vAlign w:val="center"/>
            <w:hideMark/>
          </w:tcPr>
          <w:p w14:paraId="0FBAA9E4"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.8415</w:t>
            </w:r>
          </w:p>
        </w:tc>
        <w:tc>
          <w:tcPr>
            <w:tcW w:w="855" w:type="dxa"/>
            <w:tcBorders>
              <w:top w:val="nil"/>
              <w:left w:val="nil"/>
              <w:bottom w:val="single" w:sz="4" w:space="0" w:color="auto"/>
              <w:right w:val="single" w:sz="4" w:space="0" w:color="auto"/>
            </w:tcBorders>
            <w:shd w:val="clear" w:color="auto" w:fill="auto"/>
            <w:noWrap/>
            <w:vAlign w:val="center"/>
            <w:hideMark/>
          </w:tcPr>
          <w:p w14:paraId="07143FF0"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1.1643</w:t>
            </w:r>
          </w:p>
        </w:tc>
        <w:tc>
          <w:tcPr>
            <w:tcW w:w="929" w:type="dxa"/>
            <w:tcBorders>
              <w:top w:val="nil"/>
              <w:left w:val="nil"/>
              <w:bottom w:val="single" w:sz="4" w:space="0" w:color="auto"/>
              <w:right w:val="single" w:sz="4" w:space="0" w:color="auto"/>
            </w:tcBorders>
            <w:shd w:val="clear" w:color="auto" w:fill="auto"/>
            <w:noWrap/>
            <w:vAlign w:val="center"/>
            <w:hideMark/>
          </w:tcPr>
          <w:p w14:paraId="2EE57ED4"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.5187</w:t>
            </w:r>
          </w:p>
        </w:tc>
        <w:tc>
          <w:tcPr>
            <w:tcW w:w="1020" w:type="dxa"/>
            <w:tcBorders>
              <w:top w:val="nil"/>
              <w:left w:val="nil"/>
              <w:bottom w:val="single" w:sz="4" w:space="0" w:color="auto"/>
              <w:right w:val="single" w:sz="4" w:space="0" w:color="auto"/>
            </w:tcBorders>
            <w:shd w:val="clear" w:color="auto" w:fill="auto"/>
            <w:noWrap/>
            <w:vAlign w:val="center"/>
            <w:hideMark/>
          </w:tcPr>
          <w:p w14:paraId="353F5E0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.1449</w:t>
            </w:r>
          </w:p>
        </w:tc>
      </w:tr>
      <w:tr w:rsidR="00EF3470" w:rsidRPr="00F24E56" w14:paraId="541F4A8D" w14:textId="77777777" w:rsidTr="0085434A">
        <w:trPr>
          <w:trHeight w:val="113"/>
          <w:jc w:val="center"/>
        </w:trPr>
        <w:tc>
          <w:tcPr>
            <w:tcW w:w="806" w:type="dxa"/>
            <w:tcBorders>
              <w:top w:val="nil"/>
              <w:left w:val="single" w:sz="4" w:space="0" w:color="auto"/>
              <w:bottom w:val="single" w:sz="4" w:space="0" w:color="auto"/>
              <w:right w:val="single" w:sz="4" w:space="0" w:color="auto"/>
            </w:tcBorders>
            <w:vAlign w:val="center"/>
          </w:tcPr>
          <w:p w14:paraId="456DC7C6" w14:textId="77777777" w:rsidR="00EF3470" w:rsidRPr="00F24E56" w:rsidRDefault="00EF3470" w:rsidP="0085434A">
            <w:pPr>
              <w:spacing w:after="0" w:line="240" w:lineRule="auto"/>
              <w:contextualSpacing/>
              <w:jc w:val="center"/>
              <w:rPr>
                <w:rFonts w:ascii="Times New Roman"/>
                <w:sz w:val="16"/>
                <w:szCs w:val="16"/>
              </w:rPr>
            </w:pPr>
            <w:r w:rsidRPr="00F24E56">
              <w:rPr>
                <w:rFonts w:ascii="Times New Roman"/>
                <w:sz w:val="16"/>
                <w:szCs w:val="16"/>
              </w:rPr>
              <w:t>STGY</w:t>
            </w:r>
          </w:p>
        </w:tc>
        <w:tc>
          <w:tcPr>
            <w:tcW w:w="855" w:type="dxa"/>
            <w:tcBorders>
              <w:top w:val="nil"/>
              <w:left w:val="nil"/>
              <w:bottom w:val="single" w:sz="4" w:space="0" w:color="auto"/>
              <w:right w:val="single" w:sz="4" w:space="0" w:color="auto"/>
            </w:tcBorders>
            <w:shd w:val="clear" w:color="auto" w:fill="auto"/>
            <w:noWrap/>
            <w:vAlign w:val="center"/>
            <w:hideMark/>
          </w:tcPr>
          <w:p w14:paraId="1F95C96E"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1.5065</w:t>
            </w:r>
          </w:p>
        </w:tc>
        <w:tc>
          <w:tcPr>
            <w:tcW w:w="855" w:type="dxa"/>
            <w:tcBorders>
              <w:top w:val="nil"/>
              <w:left w:val="nil"/>
              <w:bottom w:val="single" w:sz="4" w:space="0" w:color="auto"/>
              <w:right w:val="single" w:sz="4" w:space="0" w:color="auto"/>
            </w:tcBorders>
            <w:shd w:val="clear" w:color="auto" w:fill="auto"/>
            <w:noWrap/>
            <w:vAlign w:val="center"/>
            <w:hideMark/>
          </w:tcPr>
          <w:p w14:paraId="505D33E9"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.5108</w:t>
            </w:r>
          </w:p>
        </w:tc>
        <w:tc>
          <w:tcPr>
            <w:tcW w:w="855" w:type="dxa"/>
            <w:tcBorders>
              <w:top w:val="nil"/>
              <w:left w:val="nil"/>
              <w:bottom w:val="single" w:sz="4" w:space="0" w:color="auto"/>
              <w:right w:val="single" w:sz="4" w:space="0" w:color="auto"/>
            </w:tcBorders>
            <w:shd w:val="clear" w:color="auto" w:fill="auto"/>
            <w:noWrap/>
            <w:vAlign w:val="center"/>
            <w:hideMark/>
          </w:tcPr>
          <w:p w14:paraId="229D5F44"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2.0173</w:t>
            </w:r>
          </w:p>
        </w:tc>
        <w:tc>
          <w:tcPr>
            <w:tcW w:w="929" w:type="dxa"/>
            <w:tcBorders>
              <w:top w:val="nil"/>
              <w:left w:val="nil"/>
              <w:bottom w:val="single" w:sz="4" w:space="0" w:color="auto"/>
              <w:right w:val="single" w:sz="4" w:space="0" w:color="auto"/>
            </w:tcBorders>
            <w:shd w:val="clear" w:color="auto" w:fill="auto"/>
            <w:noWrap/>
            <w:vAlign w:val="center"/>
            <w:hideMark/>
          </w:tcPr>
          <w:p w14:paraId="0A5C8395"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-.9957</w:t>
            </w:r>
          </w:p>
        </w:tc>
        <w:tc>
          <w:tcPr>
            <w:tcW w:w="1020" w:type="dxa"/>
            <w:tcBorders>
              <w:top w:val="nil"/>
              <w:left w:val="nil"/>
              <w:bottom w:val="single" w:sz="4" w:space="0" w:color="auto"/>
              <w:right w:val="single" w:sz="4" w:space="0" w:color="auto"/>
            </w:tcBorders>
            <w:shd w:val="clear" w:color="auto" w:fill="auto"/>
            <w:noWrap/>
            <w:vAlign w:val="center"/>
            <w:hideMark/>
          </w:tcPr>
          <w:p w14:paraId="1A30905F"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.2557</w:t>
            </w:r>
          </w:p>
        </w:tc>
      </w:tr>
      <w:tr w:rsidR="00EF3470" w:rsidRPr="00F24E56" w14:paraId="4061BE51" w14:textId="77777777" w:rsidTr="0085434A">
        <w:trPr>
          <w:trHeight w:val="113"/>
          <w:jc w:val="center"/>
        </w:trPr>
        <w:tc>
          <w:tcPr>
            <w:tcW w:w="806" w:type="dxa"/>
            <w:tcBorders>
              <w:top w:val="nil"/>
              <w:left w:val="single" w:sz="4" w:space="0" w:color="auto"/>
              <w:bottom w:val="single" w:sz="4" w:space="0" w:color="auto"/>
              <w:right w:val="single" w:sz="4" w:space="0" w:color="auto"/>
            </w:tcBorders>
            <w:vAlign w:val="center"/>
          </w:tcPr>
          <w:p w14:paraId="4F7BEC59" w14:textId="77777777" w:rsidR="00EF3470" w:rsidRPr="00F24E56" w:rsidRDefault="00EF3470" w:rsidP="0085434A">
            <w:pPr>
              <w:spacing w:after="0" w:line="240" w:lineRule="auto"/>
              <w:contextualSpacing/>
              <w:jc w:val="center"/>
              <w:rPr>
                <w:rFonts w:ascii="Times New Roman"/>
                <w:sz w:val="16"/>
                <w:szCs w:val="16"/>
              </w:rPr>
            </w:pPr>
            <w:r w:rsidRPr="00F24E56">
              <w:rPr>
                <w:rFonts w:ascii="Times New Roman"/>
                <w:sz w:val="16"/>
                <w:szCs w:val="16"/>
              </w:rPr>
              <w:t>PTMS</w:t>
            </w:r>
          </w:p>
        </w:tc>
        <w:tc>
          <w:tcPr>
            <w:tcW w:w="855" w:type="dxa"/>
            <w:tcBorders>
              <w:top w:val="nil"/>
              <w:left w:val="nil"/>
              <w:bottom w:val="single" w:sz="4" w:space="0" w:color="auto"/>
              <w:right w:val="single" w:sz="4" w:space="0" w:color="auto"/>
            </w:tcBorders>
            <w:shd w:val="clear" w:color="auto" w:fill="auto"/>
            <w:noWrap/>
            <w:vAlign w:val="center"/>
            <w:hideMark/>
          </w:tcPr>
          <w:p w14:paraId="6026E61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1.1604</w:t>
            </w:r>
          </w:p>
        </w:tc>
        <w:tc>
          <w:tcPr>
            <w:tcW w:w="855" w:type="dxa"/>
            <w:tcBorders>
              <w:top w:val="nil"/>
              <w:left w:val="nil"/>
              <w:bottom w:val="single" w:sz="4" w:space="0" w:color="auto"/>
              <w:right w:val="single" w:sz="4" w:space="0" w:color="auto"/>
            </w:tcBorders>
            <w:shd w:val="clear" w:color="auto" w:fill="auto"/>
            <w:noWrap/>
            <w:vAlign w:val="center"/>
            <w:hideMark/>
          </w:tcPr>
          <w:p w14:paraId="4F565022"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.5262</w:t>
            </w:r>
          </w:p>
        </w:tc>
        <w:tc>
          <w:tcPr>
            <w:tcW w:w="855" w:type="dxa"/>
            <w:tcBorders>
              <w:top w:val="nil"/>
              <w:left w:val="nil"/>
              <w:bottom w:val="single" w:sz="4" w:space="0" w:color="auto"/>
              <w:right w:val="single" w:sz="4" w:space="0" w:color="auto"/>
            </w:tcBorders>
            <w:shd w:val="clear" w:color="auto" w:fill="auto"/>
            <w:noWrap/>
            <w:vAlign w:val="center"/>
            <w:hideMark/>
          </w:tcPr>
          <w:p w14:paraId="3D4CF647"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1.6866</w:t>
            </w:r>
          </w:p>
        </w:tc>
        <w:tc>
          <w:tcPr>
            <w:tcW w:w="929" w:type="dxa"/>
            <w:tcBorders>
              <w:top w:val="nil"/>
              <w:left w:val="nil"/>
              <w:bottom w:val="single" w:sz="4" w:space="0" w:color="auto"/>
              <w:right w:val="single" w:sz="4" w:space="0" w:color="auto"/>
            </w:tcBorders>
            <w:shd w:val="clear" w:color="auto" w:fill="auto"/>
            <w:noWrap/>
            <w:vAlign w:val="center"/>
            <w:hideMark/>
          </w:tcPr>
          <w:p w14:paraId="4C90D809"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-.6342</w:t>
            </w:r>
          </w:p>
        </w:tc>
        <w:tc>
          <w:tcPr>
            <w:tcW w:w="1020" w:type="dxa"/>
            <w:tcBorders>
              <w:top w:val="nil"/>
              <w:left w:val="nil"/>
              <w:bottom w:val="single" w:sz="4" w:space="0" w:color="auto"/>
              <w:right w:val="single" w:sz="4" w:space="0" w:color="auto"/>
            </w:tcBorders>
            <w:shd w:val="clear" w:color="auto" w:fill="auto"/>
            <w:noWrap/>
            <w:vAlign w:val="center"/>
            <w:hideMark/>
          </w:tcPr>
          <w:p w14:paraId="6BBCADB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.2048</w:t>
            </w:r>
          </w:p>
        </w:tc>
      </w:tr>
      <w:tr w:rsidR="00EF3470" w:rsidRPr="00F24E56" w14:paraId="13B50E4B" w14:textId="77777777" w:rsidTr="0085434A">
        <w:trPr>
          <w:trHeight w:val="113"/>
          <w:jc w:val="center"/>
        </w:trPr>
        <w:tc>
          <w:tcPr>
            <w:tcW w:w="806" w:type="dxa"/>
            <w:tcBorders>
              <w:top w:val="nil"/>
              <w:left w:val="single" w:sz="4" w:space="0" w:color="auto"/>
              <w:bottom w:val="single" w:sz="4" w:space="0" w:color="auto"/>
              <w:right w:val="single" w:sz="4" w:space="0" w:color="auto"/>
            </w:tcBorders>
            <w:vAlign w:val="center"/>
          </w:tcPr>
          <w:p w14:paraId="00CF0C1C" w14:textId="77777777" w:rsidR="00EF3470" w:rsidRPr="00F24E56" w:rsidRDefault="00EF3470" w:rsidP="0085434A">
            <w:pPr>
              <w:spacing w:after="0" w:line="240" w:lineRule="auto"/>
              <w:contextualSpacing/>
              <w:jc w:val="center"/>
              <w:rPr>
                <w:rFonts w:ascii="Times New Roman"/>
                <w:sz w:val="16"/>
                <w:szCs w:val="16"/>
              </w:rPr>
            </w:pPr>
            <w:r w:rsidRPr="00F24E56">
              <w:rPr>
                <w:rFonts w:ascii="Times New Roman"/>
                <w:sz w:val="16"/>
                <w:szCs w:val="16"/>
              </w:rPr>
              <w:t>LWTT</w:t>
            </w:r>
          </w:p>
        </w:tc>
        <w:tc>
          <w:tcPr>
            <w:tcW w:w="855" w:type="dxa"/>
            <w:tcBorders>
              <w:top w:val="nil"/>
              <w:left w:val="nil"/>
              <w:bottom w:val="single" w:sz="4" w:space="0" w:color="auto"/>
              <w:right w:val="single" w:sz="4" w:space="0" w:color="auto"/>
            </w:tcBorders>
            <w:shd w:val="clear" w:color="auto" w:fill="auto"/>
            <w:noWrap/>
            <w:vAlign w:val="center"/>
            <w:hideMark/>
          </w:tcPr>
          <w:p w14:paraId="22104A1E"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.3249</w:t>
            </w:r>
          </w:p>
        </w:tc>
        <w:tc>
          <w:tcPr>
            <w:tcW w:w="855" w:type="dxa"/>
            <w:tcBorders>
              <w:top w:val="nil"/>
              <w:left w:val="nil"/>
              <w:bottom w:val="single" w:sz="4" w:space="0" w:color="auto"/>
              <w:right w:val="single" w:sz="4" w:space="0" w:color="auto"/>
            </w:tcBorders>
            <w:shd w:val="clear" w:color="auto" w:fill="auto"/>
            <w:noWrap/>
            <w:vAlign w:val="center"/>
            <w:hideMark/>
          </w:tcPr>
          <w:p w14:paraId="65F8205D"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.7211</w:t>
            </w:r>
          </w:p>
        </w:tc>
        <w:tc>
          <w:tcPr>
            <w:tcW w:w="855" w:type="dxa"/>
            <w:tcBorders>
              <w:top w:val="nil"/>
              <w:left w:val="nil"/>
              <w:bottom w:val="single" w:sz="4" w:space="0" w:color="auto"/>
              <w:right w:val="single" w:sz="4" w:space="0" w:color="auto"/>
            </w:tcBorders>
            <w:shd w:val="clear" w:color="auto" w:fill="auto"/>
            <w:noWrap/>
            <w:vAlign w:val="center"/>
            <w:hideMark/>
          </w:tcPr>
          <w:p w14:paraId="7AFE6F5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1.0460</w:t>
            </w:r>
          </w:p>
        </w:tc>
        <w:tc>
          <w:tcPr>
            <w:tcW w:w="929" w:type="dxa"/>
            <w:tcBorders>
              <w:top w:val="nil"/>
              <w:left w:val="nil"/>
              <w:bottom w:val="single" w:sz="4" w:space="0" w:color="auto"/>
              <w:right w:val="single" w:sz="4" w:space="0" w:color="auto"/>
            </w:tcBorders>
            <w:shd w:val="clear" w:color="auto" w:fill="auto"/>
            <w:noWrap/>
            <w:vAlign w:val="center"/>
            <w:hideMark/>
          </w:tcPr>
          <w:p w14:paraId="0E02D6DF"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.3962</w:t>
            </w:r>
          </w:p>
        </w:tc>
        <w:tc>
          <w:tcPr>
            <w:tcW w:w="1020" w:type="dxa"/>
            <w:tcBorders>
              <w:top w:val="nil"/>
              <w:left w:val="nil"/>
              <w:bottom w:val="single" w:sz="4" w:space="0" w:color="auto"/>
              <w:right w:val="single" w:sz="4" w:space="0" w:color="auto"/>
            </w:tcBorders>
            <w:shd w:val="clear" w:color="auto" w:fill="auto"/>
            <w:noWrap/>
            <w:vAlign w:val="center"/>
            <w:hideMark/>
          </w:tcPr>
          <w:p w14:paraId="1DF9D034"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.1271</w:t>
            </w:r>
          </w:p>
        </w:tc>
      </w:tr>
      <w:tr w:rsidR="00EF3470" w:rsidRPr="00F24E56" w14:paraId="4929B032" w14:textId="77777777" w:rsidTr="0085434A">
        <w:trPr>
          <w:trHeight w:val="113"/>
          <w:jc w:val="center"/>
        </w:trPr>
        <w:tc>
          <w:tcPr>
            <w:tcW w:w="806" w:type="dxa"/>
            <w:tcBorders>
              <w:top w:val="nil"/>
              <w:left w:val="single" w:sz="4" w:space="0" w:color="auto"/>
              <w:bottom w:val="single" w:sz="4" w:space="0" w:color="auto"/>
              <w:right w:val="single" w:sz="4" w:space="0" w:color="auto"/>
            </w:tcBorders>
            <w:vAlign w:val="center"/>
          </w:tcPr>
          <w:p w14:paraId="23F21DF4" w14:textId="77777777" w:rsidR="00EF3470" w:rsidRPr="00F24E56" w:rsidRDefault="00EF3470" w:rsidP="0085434A">
            <w:pPr>
              <w:spacing w:after="0" w:line="240" w:lineRule="auto"/>
              <w:contextualSpacing/>
              <w:jc w:val="center"/>
              <w:rPr>
                <w:rFonts w:ascii="Times New Roman"/>
                <w:sz w:val="16"/>
                <w:szCs w:val="16"/>
              </w:rPr>
            </w:pPr>
            <w:r w:rsidRPr="00F24E56">
              <w:rPr>
                <w:rFonts w:ascii="Times New Roman"/>
                <w:sz w:val="16"/>
                <w:szCs w:val="16"/>
              </w:rPr>
              <w:t>FTPG</w:t>
            </w:r>
          </w:p>
        </w:tc>
        <w:tc>
          <w:tcPr>
            <w:tcW w:w="855" w:type="dxa"/>
            <w:tcBorders>
              <w:top w:val="nil"/>
              <w:left w:val="nil"/>
              <w:bottom w:val="single" w:sz="4" w:space="0" w:color="auto"/>
              <w:right w:val="single" w:sz="4" w:space="0" w:color="auto"/>
            </w:tcBorders>
            <w:shd w:val="clear" w:color="auto" w:fill="auto"/>
            <w:noWrap/>
            <w:vAlign w:val="center"/>
            <w:hideMark/>
          </w:tcPr>
          <w:p w14:paraId="1A73D0C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.2808</w:t>
            </w:r>
          </w:p>
        </w:tc>
        <w:tc>
          <w:tcPr>
            <w:tcW w:w="855" w:type="dxa"/>
            <w:tcBorders>
              <w:top w:val="nil"/>
              <w:left w:val="nil"/>
              <w:bottom w:val="single" w:sz="4" w:space="0" w:color="auto"/>
              <w:right w:val="single" w:sz="4" w:space="0" w:color="auto"/>
            </w:tcBorders>
            <w:shd w:val="clear" w:color="auto" w:fill="auto"/>
            <w:noWrap/>
            <w:vAlign w:val="center"/>
            <w:hideMark/>
          </w:tcPr>
          <w:p w14:paraId="681DA33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.7306</w:t>
            </w:r>
          </w:p>
        </w:tc>
        <w:tc>
          <w:tcPr>
            <w:tcW w:w="855" w:type="dxa"/>
            <w:tcBorders>
              <w:top w:val="nil"/>
              <w:left w:val="nil"/>
              <w:bottom w:val="single" w:sz="4" w:space="0" w:color="auto"/>
              <w:right w:val="single" w:sz="4" w:space="0" w:color="auto"/>
            </w:tcBorders>
            <w:shd w:val="clear" w:color="auto" w:fill="auto"/>
            <w:noWrap/>
            <w:vAlign w:val="center"/>
            <w:hideMark/>
          </w:tcPr>
          <w:p w14:paraId="540C0412"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1.0115</w:t>
            </w:r>
          </w:p>
        </w:tc>
        <w:tc>
          <w:tcPr>
            <w:tcW w:w="929" w:type="dxa"/>
            <w:tcBorders>
              <w:top w:val="nil"/>
              <w:left w:val="nil"/>
              <w:bottom w:val="single" w:sz="4" w:space="0" w:color="auto"/>
              <w:right w:val="single" w:sz="4" w:space="0" w:color="auto"/>
            </w:tcBorders>
            <w:shd w:val="clear" w:color="auto" w:fill="auto"/>
            <w:noWrap/>
            <w:vAlign w:val="center"/>
            <w:hideMark/>
          </w:tcPr>
          <w:p w14:paraId="6C05071F"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.4498</w:t>
            </w:r>
          </w:p>
        </w:tc>
        <w:tc>
          <w:tcPr>
            <w:tcW w:w="1020" w:type="dxa"/>
            <w:tcBorders>
              <w:top w:val="nil"/>
              <w:left w:val="nil"/>
              <w:bottom w:val="single" w:sz="4" w:space="0" w:color="auto"/>
              <w:right w:val="single" w:sz="4" w:space="0" w:color="auto"/>
            </w:tcBorders>
            <w:shd w:val="clear" w:color="auto" w:fill="auto"/>
            <w:noWrap/>
            <w:vAlign w:val="center"/>
            <w:hideMark/>
          </w:tcPr>
          <w:p w14:paraId="17EF0F46"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.1258</w:t>
            </w:r>
          </w:p>
        </w:tc>
      </w:tr>
      <w:tr w:rsidR="00EF3470" w:rsidRPr="00F24E56" w14:paraId="65F9FED3" w14:textId="77777777" w:rsidTr="0085434A">
        <w:trPr>
          <w:trHeight w:val="113"/>
          <w:jc w:val="center"/>
        </w:trPr>
        <w:tc>
          <w:tcPr>
            <w:tcW w:w="806" w:type="dxa"/>
            <w:tcBorders>
              <w:top w:val="nil"/>
              <w:left w:val="single" w:sz="4" w:space="0" w:color="auto"/>
              <w:bottom w:val="single" w:sz="4" w:space="0" w:color="auto"/>
              <w:right w:val="single" w:sz="4" w:space="0" w:color="auto"/>
            </w:tcBorders>
            <w:vAlign w:val="center"/>
          </w:tcPr>
          <w:p w14:paraId="5F5937BE" w14:textId="77777777" w:rsidR="00EF3470" w:rsidRPr="00F24E56" w:rsidRDefault="00EF3470" w:rsidP="0085434A">
            <w:pPr>
              <w:spacing w:after="0" w:line="240" w:lineRule="auto"/>
              <w:contextualSpacing/>
              <w:jc w:val="center"/>
              <w:rPr>
                <w:rFonts w:ascii="Times New Roman"/>
                <w:sz w:val="16"/>
                <w:szCs w:val="16"/>
              </w:rPr>
            </w:pPr>
            <w:r w:rsidRPr="00F24E56">
              <w:rPr>
                <w:rFonts w:ascii="Times New Roman"/>
                <w:sz w:val="16"/>
                <w:szCs w:val="16"/>
              </w:rPr>
              <w:t>FBXT</w:t>
            </w:r>
          </w:p>
        </w:tc>
        <w:tc>
          <w:tcPr>
            <w:tcW w:w="855" w:type="dxa"/>
            <w:tcBorders>
              <w:top w:val="nil"/>
              <w:left w:val="nil"/>
              <w:bottom w:val="single" w:sz="4" w:space="0" w:color="auto"/>
              <w:right w:val="single" w:sz="4" w:space="0" w:color="auto"/>
            </w:tcBorders>
            <w:shd w:val="clear" w:color="auto" w:fill="auto"/>
            <w:noWrap/>
            <w:vAlign w:val="center"/>
            <w:hideMark/>
          </w:tcPr>
          <w:p w14:paraId="7CBC5C18"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.4758</w:t>
            </w:r>
          </w:p>
        </w:tc>
        <w:tc>
          <w:tcPr>
            <w:tcW w:w="855" w:type="dxa"/>
            <w:tcBorders>
              <w:top w:val="nil"/>
              <w:left w:val="nil"/>
              <w:bottom w:val="single" w:sz="4" w:space="0" w:color="auto"/>
              <w:right w:val="single" w:sz="4" w:space="0" w:color="auto"/>
            </w:tcBorders>
            <w:shd w:val="clear" w:color="auto" w:fill="auto"/>
            <w:noWrap/>
            <w:vAlign w:val="center"/>
            <w:hideMark/>
          </w:tcPr>
          <w:p w14:paraId="61261062"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.7411</w:t>
            </w:r>
          </w:p>
        </w:tc>
        <w:tc>
          <w:tcPr>
            <w:tcW w:w="855" w:type="dxa"/>
            <w:tcBorders>
              <w:top w:val="nil"/>
              <w:left w:val="nil"/>
              <w:bottom w:val="single" w:sz="4" w:space="0" w:color="auto"/>
              <w:right w:val="single" w:sz="4" w:space="0" w:color="auto"/>
            </w:tcBorders>
            <w:shd w:val="clear" w:color="auto" w:fill="auto"/>
            <w:noWrap/>
            <w:vAlign w:val="center"/>
            <w:hideMark/>
          </w:tcPr>
          <w:p w14:paraId="0C4F6F9F"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1.2169</w:t>
            </w:r>
          </w:p>
        </w:tc>
        <w:tc>
          <w:tcPr>
            <w:tcW w:w="929" w:type="dxa"/>
            <w:tcBorders>
              <w:top w:val="nil"/>
              <w:left w:val="nil"/>
              <w:bottom w:val="single" w:sz="4" w:space="0" w:color="auto"/>
              <w:right w:val="single" w:sz="4" w:space="0" w:color="auto"/>
            </w:tcBorders>
            <w:shd w:val="clear" w:color="auto" w:fill="auto"/>
            <w:noWrap/>
            <w:vAlign w:val="center"/>
            <w:hideMark/>
          </w:tcPr>
          <w:p w14:paraId="5E79EF71"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.2652</w:t>
            </w:r>
          </w:p>
        </w:tc>
        <w:tc>
          <w:tcPr>
            <w:tcW w:w="1020" w:type="dxa"/>
            <w:tcBorders>
              <w:top w:val="nil"/>
              <w:left w:val="nil"/>
              <w:bottom w:val="single" w:sz="4" w:space="0" w:color="auto"/>
              <w:right w:val="single" w:sz="4" w:space="0" w:color="auto"/>
            </w:tcBorders>
            <w:shd w:val="clear" w:color="auto" w:fill="auto"/>
            <w:noWrap/>
            <w:vAlign w:val="center"/>
            <w:hideMark/>
          </w:tcPr>
          <w:p w14:paraId="06E3A33D"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.1416</w:t>
            </w:r>
          </w:p>
        </w:tc>
      </w:tr>
    </w:tbl>
    <w:p w14:paraId="42B1D02D" w14:textId="77777777" w:rsidR="00EF3470" w:rsidRPr="001813BC" w:rsidRDefault="00EF3470" w:rsidP="00EF3470">
      <w:pPr>
        <w:spacing w:before="120" w:after="120" w:line="240" w:lineRule="auto"/>
        <w:jc w:val="both"/>
        <w:rPr>
          <w:rFonts w:ascii="Times New Roman"/>
          <w:sz w:val="20"/>
          <w:szCs w:val="20"/>
        </w:rPr>
      </w:pPr>
      <w:r w:rsidRPr="00F24E56">
        <w:rPr>
          <w:rFonts w:ascii="Times New Roman"/>
          <w:sz w:val="20"/>
          <w:szCs w:val="20"/>
        </w:rPr>
        <w:t>The efficiency</w:t>
      </w:r>
      <w:r w:rsidRPr="00EF64B3">
        <w:rPr>
          <w:rFonts w:ascii="Times New Roman"/>
          <w:sz w:val="20"/>
          <w:szCs w:val="20"/>
        </w:rPr>
        <w:t xml:space="preserve"> of energy storage is identified as the key issue, given its highest weight of 0.2557. Additionally, optimizing the energy distribution process is also crucial, with a weight of 0.2048. In comparison, low-cost battery solutions and footprint reduction in energy management are less significant than the other factors.</w:t>
      </w:r>
    </w:p>
    <w:p w14:paraId="3A8C1AED" w14:textId="77CA5C07" w:rsidR="00EF3470" w:rsidRPr="001813BC" w:rsidRDefault="00EF3470" w:rsidP="00F24E56">
      <w:pPr>
        <w:spacing w:after="120"/>
        <w:jc w:val="both"/>
        <w:rPr>
          <w:rFonts w:ascii="Times New Roman"/>
          <w:sz w:val="20"/>
          <w:szCs w:val="20"/>
        </w:rPr>
      </w:pPr>
      <w:r w:rsidRPr="001813BC">
        <w:rPr>
          <w:rFonts w:ascii="Times New Roman"/>
          <w:b/>
          <w:bCs/>
          <w:i/>
          <w:iCs/>
          <w:sz w:val="20"/>
          <w:szCs w:val="20"/>
        </w:rPr>
        <w:t>Ranking Technical Requirements for Battery Integration to Microgrids</w:t>
      </w:r>
    </w:p>
    <w:p w14:paraId="2BF1C200" w14:textId="77777777" w:rsidR="00EF3470" w:rsidRPr="001813BC" w:rsidRDefault="00EF3470" w:rsidP="00EF3470">
      <w:pPr>
        <w:jc w:val="both"/>
        <w:rPr>
          <w:rFonts w:ascii="Times New Roman"/>
          <w:b/>
          <w:bCs/>
          <w:sz w:val="20"/>
          <w:szCs w:val="20"/>
        </w:rPr>
      </w:pPr>
      <w:r w:rsidRPr="001813BC">
        <w:rPr>
          <w:rFonts w:ascii="Times New Roman"/>
          <w:sz w:val="20"/>
          <w:szCs w:val="20"/>
        </w:rPr>
        <w:t>The evaluations for the technical requirements are also provided from the experts. The evaluations are generated based on 7 different scales. Table 6 explains the details of these evaluations.</w:t>
      </w:r>
    </w:p>
    <w:p w14:paraId="74AC53E9" w14:textId="77777777" w:rsidR="00EF3470" w:rsidRPr="00F24E56" w:rsidRDefault="00EF3470" w:rsidP="00EF3470">
      <w:pPr>
        <w:jc w:val="center"/>
        <w:rPr>
          <w:rFonts w:ascii="Times New Roman"/>
          <w:b/>
          <w:bCs/>
          <w:sz w:val="20"/>
          <w:szCs w:val="20"/>
        </w:rPr>
      </w:pPr>
      <w:r w:rsidRPr="00F24E56">
        <w:rPr>
          <w:rFonts w:ascii="Times New Roman"/>
          <w:b/>
          <w:bCs/>
          <w:sz w:val="20"/>
          <w:szCs w:val="20"/>
        </w:rPr>
        <w:t>Table 6: Expert Evaluations related to the Technical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10"/>
        <w:gridCol w:w="1490"/>
        <w:gridCol w:w="1464"/>
        <w:gridCol w:w="1490"/>
        <w:gridCol w:w="1584"/>
        <w:gridCol w:w="1441"/>
        <w:gridCol w:w="1441"/>
      </w:tblGrid>
      <w:tr w:rsidR="00EF3470" w:rsidRPr="00F24E56" w14:paraId="7AA5DCDE" w14:textId="77777777" w:rsidTr="0085434A">
        <w:trPr>
          <w:trHeight w:val="57"/>
          <w:jc w:val="center"/>
        </w:trPr>
        <w:tc>
          <w:tcPr>
            <w:tcW w:w="765" w:type="pct"/>
            <w:shd w:val="clear" w:color="auto" w:fill="auto"/>
            <w:noWrap/>
            <w:vAlign w:val="center"/>
            <w:hideMark/>
          </w:tcPr>
          <w:p w14:paraId="121C10A7"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color w:val="000000"/>
                <w:sz w:val="16"/>
                <w:szCs w:val="16"/>
                <w:lang w:eastAsia="tr-TR"/>
              </w:rPr>
              <w:t> </w:t>
            </w:r>
          </w:p>
        </w:tc>
        <w:tc>
          <w:tcPr>
            <w:tcW w:w="708" w:type="pct"/>
            <w:shd w:val="clear" w:color="auto" w:fill="auto"/>
            <w:noWrap/>
            <w:vAlign w:val="center"/>
            <w:hideMark/>
          </w:tcPr>
          <w:p w14:paraId="59B785A6"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sz w:val="16"/>
                <w:szCs w:val="16"/>
              </w:rPr>
              <w:t>CNGS</w:t>
            </w:r>
          </w:p>
        </w:tc>
        <w:tc>
          <w:tcPr>
            <w:tcW w:w="696" w:type="pct"/>
            <w:shd w:val="clear" w:color="auto" w:fill="auto"/>
            <w:noWrap/>
            <w:vAlign w:val="center"/>
            <w:hideMark/>
          </w:tcPr>
          <w:p w14:paraId="708F06DF"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sz w:val="16"/>
                <w:szCs w:val="16"/>
              </w:rPr>
              <w:t>STGY</w:t>
            </w:r>
          </w:p>
        </w:tc>
        <w:tc>
          <w:tcPr>
            <w:tcW w:w="708" w:type="pct"/>
            <w:shd w:val="clear" w:color="auto" w:fill="auto"/>
            <w:noWrap/>
            <w:vAlign w:val="center"/>
            <w:hideMark/>
          </w:tcPr>
          <w:p w14:paraId="3A07837C"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sz w:val="16"/>
                <w:szCs w:val="16"/>
              </w:rPr>
              <w:t>PTMS</w:t>
            </w:r>
          </w:p>
        </w:tc>
        <w:tc>
          <w:tcPr>
            <w:tcW w:w="753" w:type="pct"/>
            <w:shd w:val="clear" w:color="auto" w:fill="auto"/>
            <w:noWrap/>
            <w:vAlign w:val="center"/>
            <w:hideMark/>
          </w:tcPr>
          <w:p w14:paraId="4D4C0A3B"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sz w:val="16"/>
                <w:szCs w:val="16"/>
              </w:rPr>
              <w:t>LWTT</w:t>
            </w:r>
          </w:p>
        </w:tc>
        <w:tc>
          <w:tcPr>
            <w:tcW w:w="685" w:type="pct"/>
            <w:shd w:val="clear" w:color="auto" w:fill="auto"/>
            <w:noWrap/>
            <w:vAlign w:val="center"/>
            <w:hideMark/>
          </w:tcPr>
          <w:p w14:paraId="79315FA2"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sz w:val="16"/>
                <w:szCs w:val="16"/>
              </w:rPr>
              <w:t>FTPG</w:t>
            </w:r>
          </w:p>
        </w:tc>
        <w:tc>
          <w:tcPr>
            <w:tcW w:w="685" w:type="pct"/>
            <w:shd w:val="clear" w:color="auto" w:fill="auto"/>
            <w:noWrap/>
            <w:vAlign w:val="center"/>
            <w:hideMark/>
          </w:tcPr>
          <w:p w14:paraId="762EC0C3" w14:textId="77777777" w:rsidR="00EF3470" w:rsidRPr="00F24E56" w:rsidRDefault="00EF3470" w:rsidP="0085434A">
            <w:pPr>
              <w:spacing w:after="0" w:line="240" w:lineRule="auto"/>
              <w:jc w:val="center"/>
              <w:rPr>
                <w:rFonts w:ascii="Times New Roman"/>
                <w:b/>
                <w:bCs/>
                <w:color w:val="000000"/>
                <w:sz w:val="16"/>
                <w:szCs w:val="16"/>
                <w:lang w:eastAsia="tr-TR"/>
              </w:rPr>
            </w:pPr>
            <w:r w:rsidRPr="00F24E56">
              <w:rPr>
                <w:rFonts w:ascii="Times New Roman"/>
                <w:b/>
                <w:bCs/>
                <w:sz w:val="16"/>
                <w:szCs w:val="16"/>
              </w:rPr>
              <w:t>FBXT</w:t>
            </w:r>
          </w:p>
        </w:tc>
      </w:tr>
      <w:tr w:rsidR="00EF3470" w:rsidRPr="00F24E56" w14:paraId="02139571" w14:textId="77777777" w:rsidTr="0085434A">
        <w:trPr>
          <w:trHeight w:val="57"/>
          <w:jc w:val="center"/>
        </w:trPr>
        <w:tc>
          <w:tcPr>
            <w:tcW w:w="765" w:type="pct"/>
            <w:shd w:val="clear" w:color="auto" w:fill="auto"/>
            <w:noWrap/>
            <w:vAlign w:val="center"/>
            <w:hideMark/>
          </w:tcPr>
          <w:p w14:paraId="48171D5F"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sz w:val="16"/>
                <w:szCs w:val="16"/>
              </w:rPr>
              <w:t>SCPC</w:t>
            </w:r>
          </w:p>
        </w:tc>
        <w:tc>
          <w:tcPr>
            <w:tcW w:w="708" w:type="pct"/>
            <w:shd w:val="clear" w:color="auto" w:fill="auto"/>
            <w:noWrap/>
            <w:vAlign w:val="center"/>
            <w:hideMark/>
          </w:tcPr>
          <w:p w14:paraId="39CE8E91"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MH; MH; MH</w:t>
            </w:r>
          </w:p>
        </w:tc>
        <w:tc>
          <w:tcPr>
            <w:tcW w:w="696" w:type="pct"/>
            <w:shd w:val="clear" w:color="auto" w:fill="auto"/>
            <w:noWrap/>
            <w:vAlign w:val="center"/>
            <w:hideMark/>
          </w:tcPr>
          <w:p w14:paraId="44402E56"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H; MH; MH</w:t>
            </w:r>
          </w:p>
        </w:tc>
        <w:tc>
          <w:tcPr>
            <w:tcW w:w="708" w:type="pct"/>
            <w:shd w:val="clear" w:color="auto" w:fill="auto"/>
            <w:noWrap/>
            <w:vAlign w:val="center"/>
            <w:hideMark/>
          </w:tcPr>
          <w:p w14:paraId="6D3E7507"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 xml:space="preserve">MH; H; M </w:t>
            </w:r>
          </w:p>
        </w:tc>
        <w:tc>
          <w:tcPr>
            <w:tcW w:w="753" w:type="pct"/>
            <w:shd w:val="clear" w:color="auto" w:fill="auto"/>
            <w:noWrap/>
            <w:vAlign w:val="center"/>
            <w:hideMark/>
          </w:tcPr>
          <w:p w14:paraId="101C7AF1"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 xml:space="preserve">H; M ; M </w:t>
            </w:r>
          </w:p>
        </w:tc>
        <w:tc>
          <w:tcPr>
            <w:tcW w:w="685" w:type="pct"/>
            <w:shd w:val="clear" w:color="auto" w:fill="auto"/>
            <w:noWrap/>
            <w:vAlign w:val="center"/>
            <w:hideMark/>
          </w:tcPr>
          <w:p w14:paraId="2FA52A85"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H; MH; MH</w:t>
            </w:r>
          </w:p>
        </w:tc>
        <w:tc>
          <w:tcPr>
            <w:tcW w:w="685" w:type="pct"/>
            <w:shd w:val="clear" w:color="auto" w:fill="auto"/>
            <w:noWrap/>
            <w:vAlign w:val="center"/>
            <w:hideMark/>
          </w:tcPr>
          <w:p w14:paraId="6E5D0848"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 xml:space="preserve">MH; MH; M </w:t>
            </w:r>
          </w:p>
        </w:tc>
      </w:tr>
      <w:tr w:rsidR="00EF3470" w:rsidRPr="00F24E56" w14:paraId="6289DB65" w14:textId="77777777" w:rsidTr="0085434A">
        <w:trPr>
          <w:trHeight w:val="57"/>
          <w:jc w:val="center"/>
        </w:trPr>
        <w:tc>
          <w:tcPr>
            <w:tcW w:w="765" w:type="pct"/>
            <w:shd w:val="clear" w:color="auto" w:fill="auto"/>
            <w:noWrap/>
            <w:vAlign w:val="center"/>
            <w:hideMark/>
          </w:tcPr>
          <w:p w14:paraId="4458B717"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sz w:val="16"/>
                <w:szCs w:val="16"/>
              </w:rPr>
              <w:t>LLBT</w:t>
            </w:r>
          </w:p>
        </w:tc>
        <w:tc>
          <w:tcPr>
            <w:tcW w:w="708" w:type="pct"/>
            <w:shd w:val="clear" w:color="auto" w:fill="auto"/>
            <w:noWrap/>
            <w:vAlign w:val="center"/>
            <w:hideMark/>
          </w:tcPr>
          <w:p w14:paraId="1A74B930"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ML; L</w:t>
            </w:r>
          </w:p>
        </w:tc>
        <w:tc>
          <w:tcPr>
            <w:tcW w:w="696" w:type="pct"/>
            <w:shd w:val="clear" w:color="auto" w:fill="auto"/>
            <w:noWrap/>
            <w:vAlign w:val="center"/>
            <w:hideMark/>
          </w:tcPr>
          <w:p w14:paraId="0AF12A07"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 ; ML; ML</w:t>
            </w:r>
          </w:p>
        </w:tc>
        <w:tc>
          <w:tcPr>
            <w:tcW w:w="708" w:type="pct"/>
            <w:shd w:val="clear" w:color="auto" w:fill="auto"/>
            <w:noWrap/>
            <w:vAlign w:val="center"/>
            <w:hideMark/>
          </w:tcPr>
          <w:p w14:paraId="60E5FBDF"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 ; M ; ML</w:t>
            </w:r>
          </w:p>
        </w:tc>
        <w:tc>
          <w:tcPr>
            <w:tcW w:w="753" w:type="pct"/>
            <w:shd w:val="clear" w:color="auto" w:fill="auto"/>
            <w:noWrap/>
            <w:vAlign w:val="center"/>
            <w:hideMark/>
          </w:tcPr>
          <w:p w14:paraId="71FC9617"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VL; L</w:t>
            </w:r>
          </w:p>
        </w:tc>
        <w:tc>
          <w:tcPr>
            <w:tcW w:w="685" w:type="pct"/>
            <w:shd w:val="clear" w:color="auto" w:fill="auto"/>
            <w:noWrap/>
            <w:vAlign w:val="center"/>
            <w:hideMark/>
          </w:tcPr>
          <w:p w14:paraId="0216E8C5"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 ; L; ML</w:t>
            </w:r>
          </w:p>
        </w:tc>
        <w:tc>
          <w:tcPr>
            <w:tcW w:w="685" w:type="pct"/>
            <w:shd w:val="clear" w:color="auto" w:fill="auto"/>
            <w:noWrap/>
            <w:vAlign w:val="center"/>
            <w:hideMark/>
          </w:tcPr>
          <w:p w14:paraId="43EC7D25"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L; L; ML</w:t>
            </w:r>
          </w:p>
        </w:tc>
      </w:tr>
      <w:tr w:rsidR="00EF3470" w:rsidRPr="00F24E56" w14:paraId="4717B5B8" w14:textId="77777777" w:rsidTr="0085434A">
        <w:trPr>
          <w:trHeight w:val="57"/>
          <w:jc w:val="center"/>
        </w:trPr>
        <w:tc>
          <w:tcPr>
            <w:tcW w:w="765" w:type="pct"/>
            <w:shd w:val="clear" w:color="auto" w:fill="auto"/>
            <w:noWrap/>
            <w:vAlign w:val="center"/>
            <w:hideMark/>
          </w:tcPr>
          <w:p w14:paraId="5DB29233"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sz w:val="16"/>
                <w:szCs w:val="16"/>
              </w:rPr>
              <w:t>STBC</w:t>
            </w:r>
          </w:p>
        </w:tc>
        <w:tc>
          <w:tcPr>
            <w:tcW w:w="708" w:type="pct"/>
            <w:shd w:val="clear" w:color="auto" w:fill="auto"/>
            <w:noWrap/>
            <w:vAlign w:val="center"/>
            <w:hideMark/>
          </w:tcPr>
          <w:p w14:paraId="269F8692"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VH; VH; H</w:t>
            </w:r>
          </w:p>
        </w:tc>
        <w:tc>
          <w:tcPr>
            <w:tcW w:w="696" w:type="pct"/>
            <w:shd w:val="clear" w:color="auto" w:fill="auto"/>
            <w:noWrap/>
            <w:vAlign w:val="center"/>
            <w:hideMark/>
          </w:tcPr>
          <w:p w14:paraId="50FA52EC"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H; VH; H</w:t>
            </w:r>
          </w:p>
        </w:tc>
        <w:tc>
          <w:tcPr>
            <w:tcW w:w="708" w:type="pct"/>
            <w:shd w:val="clear" w:color="auto" w:fill="auto"/>
            <w:noWrap/>
            <w:vAlign w:val="center"/>
            <w:hideMark/>
          </w:tcPr>
          <w:p w14:paraId="2E4C174E"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VH; H; VH</w:t>
            </w:r>
          </w:p>
        </w:tc>
        <w:tc>
          <w:tcPr>
            <w:tcW w:w="753" w:type="pct"/>
            <w:shd w:val="clear" w:color="auto" w:fill="auto"/>
            <w:noWrap/>
            <w:vAlign w:val="center"/>
            <w:hideMark/>
          </w:tcPr>
          <w:p w14:paraId="3826D092"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VH; VH; VH</w:t>
            </w:r>
          </w:p>
        </w:tc>
        <w:tc>
          <w:tcPr>
            <w:tcW w:w="685" w:type="pct"/>
            <w:shd w:val="clear" w:color="auto" w:fill="auto"/>
            <w:noWrap/>
            <w:vAlign w:val="center"/>
            <w:hideMark/>
          </w:tcPr>
          <w:p w14:paraId="441C4496"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H; VH; VH</w:t>
            </w:r>
          </w:p>
        </w:tc>
        <w:tc>
          <w:tcPr>
            <w:tcW w:w="685" w:type="pct"/>
            <w:shd w:val="clear" w:color="auto" w:fill="auto"/>
            <w:noWrap/>
            <w:vAlign w:val="center"/>
            <w:hideMark/>
          </w:tcPr>
          <w:p w14:paraId="0B7FF647"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VH; VH; VH</w:t>
            </w:r>
          </w:p>
        </w:tc>
      </w:tr>
      <w:tr w:rsidR="00EF3470" w:rsidRPr="00F24E56" w14:paraId="661502BB" w14:textId="77777777" w:rsidTr="0085434A">
        <w:trPr>
          <w:trHeight w:val="57"/>
          <w:jc w:val="center"/>
        </w:trPr>
        <w:tc>
          <w:tcPr>
            <w:tcW w:w="765" w:type="pct"/>
            <w:shd w:val="clear" w:color="auto" w:fill="auto"/>
            <w:noWrap/>
            <w:vAlign w:val="center"/>
            <w:hideMark/>
          </w:tcPr>
          <w:p w14:paraId="73A328F6"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sz w:val="16"/>
                <w:szCs w:val="16"/>
              </w:rPr>
              <w:t>CSCR</w:t>
            </w:r>
          </w:p>
        </w:tc>
        <w:tc>
          <w:tcPr>
            <w:tcW w:w="708" w:type="pct"/>
            <w:shd w:val="clear" w:color="auto" w:fill="auto"/>
            <w:noWrap/>
            <w:vAlign w:val="center"/>
            <w:hideMark/>
          </w:tcPr>
          <w:p w14:paraId="55674C65"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VL; L</w:t>
            </w:r>
          </w:p>
        </w:tc>
        <w:tc>
          <w:tcPr>
            <w:tcW w:w="696" w:type="pct"/>
            <w:shd w:val="clear" w:color="auto" w:fill="auto"/>
            <w:noWrap/>
            <w:vAlign w:val="center"/>
            <w:hideMark/>
          </w:tcPr>
          <w:p w14:paraId="76EA8F3C"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 ; VL; L</w:t>
            </w:r>
          </w:p>
        </w:tc>
        <w:tc>
          <w:tcPr>
            <w:tcW w:w="708" w:type="pct"/>
            <w:shd w:val="clear" w:color="auto" w:fill="auto"/>
            <w:noWrap/>
            <w:vAlign w:val="center"/>
            <w:hideMark/>
          </w:tcPr>
          <w:p w14:paraId="1F85FB1E"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ML; ML</w:t>
            </w:r>
          </w:p>
        </w:tc>
        <w:tc>
          <w:tcPr>
            <w:tcW w:w="753" w:type="pct"/>
            <w:shd w:val="clear" w:color="auto" w:fill="auto"/>
            <w:noWrap/>
            <w:vAlign w:val="center"/>
            <w:hideMark/>
          </w:tcPr>
          <w:p w14:paraId="71FF6D5C"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L; ML; L</w:t>
            </w:r>
          </w:p>
        </w:tc>
        <w:tc>
          <w:tcPr>
            <w:tcW w:w="685" w:type="pct"/>
            <w:shd w:val="clear" w:color="auto" w:fill="auto"/>
            <w:noWrap/>
            <w:vAlign w:val="center"/>
            <w:hideMark/>
          </w:tcPr>
          <w:p w14:paraId="6F135CDA"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L; ML</w:t>
            </w:r>
          </w:p>
        </w:tc>
        <w:tc>
          <w:tcPr>
            <w:tcW w:w="685" w:type="pct"/>
            <w:shd w:val="clear" w:color="auto" w:fill="auto"/>
            <w:noWrap/>
            <w:vAlign w:val="center"/>
            <w:hideMark/>
          </w:tcPr>
          <w:p w14:paraId="54DE0FE7"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 xml:space="preserve">L; L; M </w:t>
            </w:r>
          </w:p>
        </w:tc>
      </w:tr>
      <w:tr w:rsidR="00EF3470" w:rsidRPr="00F24E56" w14:paraId="56D757BC" w14:textId="77777777" w:rsidTr="0085434A">
        <w:trPr>
          <w:trHeight w:val="57"/>
          <w:jc w:val="center"/>
        </w:trPr>
        <w:tc>
          <w:tcPr>
            <w:tcW w:w="765" w:type="pct"/>
            <w:shd w:val="clear" w:color="auto" w:fill="auto"/>
            <w:noWrap/>
            <w:vAlign w:val="center"/>
            <w:hideMark/>
          </w:tcPr>
          <w:p w14:paraId="4F16BCC3"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sz w:val="16"/>
                <w:szCs w:val="16"/>
              </w:rPr>
              <w:t>MDGG</w:t>
            </w:r>
          </w:p>
        </w:tc>
        <w:tc>
          <w:tcPr>
            <w:tcW w:w="708" w:type="pct"/>
            <w:shd w:val="clear" w:color="auto" w:fill="auto"/>
            <w:noWrap/>
            <w:vAlign w:val="center"/>
            <w:hideMark/>
          </w:tcPr>
          <w:p w14:paraId="36547635"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 xml:space="preserve">M ; L; M </w:t>
            </w:r>
          </w:p>
        </w:tc>
        <w:tc>
          <w:tcPr>
            <w:tcW w:w="696" w:type="pct"/>
            <w:shd w:val="clear" w:color="auto" w:fill="auto"/>
            <w:noWrap/>
            <w:vAlign w:val="center"/>
            <w:hideMark/>
          </w:tcPr>
          <w:p w14:paraId="6147A246"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M ; ML</w:t>
            </w:r>
          </w:p>
        </w:tc>
        <w:tc>
          <w:tcPr>
            <w:tcW w:w="708" w:type="pct"/>
            <w:shd w:val="clear" w:color="auto" w:fill="auto"/>
            <w:noWrap/>
            <w:vAlign w:val="center"/>
            <w:hideMark/>
          </w:tcPr>
          <w:p w14:paraId="14293B2A"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ML; L</w:t>
            </w:r>
          </w:p>
        </w:tc>
        <w:tc>
          <w:tcPr>
            <w:tcW w:w="753" w:type="pct"/>
            <w:shd w:val="clear" w:color="auto" w:fill="auto"/>
            <w:noWrap/>
            <w:vAlign w:val="center"/>
            <w:hideMark/>
          </w:tcPr>
          <w:p w14:paraId="0CCF64AC"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 ; ML; ML</w:t>
            </w:r>
          </w:p>
        </w:tc>
        <w:tc>
          <w:tcPr>
            <w:tcW w:w="685" w:type="pct"/>
            <w:shd w:val="clear" w:color="auto" w:fill="auto"/>
            <w:noWrap/>
            <w:vAlign w:val="center"/>
            <w:hideMark/>
          </w:tcPr>
          <w:p w14:paraId="0B55C69F"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 ; L; L</w:t>
            </w:r>
          </w:p>
        </w:tc>
        <w:tc>
          <w:tcPr>
            <w:tcW w:w="685" w:type="pct"/>
            <w:shd w:val="clear" w:color="auto" w:fill="auto"/>
            <w:noWrap/>
            <w:vAlign w:val="center"/>
            <w:hideMark/>
          </w:tcPr>
          <w:p w14:paraId="74B174B6"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VL; ML; ML</w:t>
            </w:r>
          </w:p>
        </w:tc>
      </w:tr>
      <w:tr w:rsidR="00EF3470" w:rsidRPr="00F24E56" w14:paraId="51162AD1" w14:textId="77777777" w:rsidTr="0085434A">
        <w:trPr>
          <w:trHeight w:val="57"/>
          <w:jc w:val="center"/>
        </w:trPr>
        <w:tc>
          <w:tcPr>
            <w:tcW w:w="765" w:type="pct"/>
            <w:shd w:val="clear" w:color="auto" w:fill="auto"/>
            <w:noWrap/>
            <w:vAlign w:val="center"/>
            <w:hideMark/>
          </w:tcPr>
          <w:p w14:paraId="1E4DBD9C"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sz w:val="16"/>
                <w:szCs w:val="16"/>
              </w:rPr>
              <w:t>SBYL</w:t>
            </w:r>
          </w:p>
        </w:tc>
        <w:tc>
          <w:tcPr>
            <w:tcW w:w="708" w:type="pct"/>
            <w:shd w:val="clear" w:color="auto" w:fill="auto"/>
            <w:noWrap/>
            <w:vAlign w:val="center"/>
            <w:hideMark/>
          </w:tcPr>
          <w:p w14:paraId="276FDC3F"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 xml:space="preserve">VL; L; M </w:t>
            </w:r>
          </w:p>
        </w:tc>
        <w:tc>
          <w:tcPr>
            <w:tcW w:w="696" w:type="pct"/>
            <w:shd w:val="clear" w:color="auto" w:fill="auto"/>
            <w:noWrap/>
            <w:vAlign w:val="center"/>
            <w:hideMark/>
          </w:tcPr>
          <w:p w14:paraId="096116CF"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L; L; MH</w:t>
            </w:r>
          </w:p>
        </w:tc>
        <w:tc>
          <w:tcPr>
            <w:tcW w:w="708" w:type="pct"/>
            <w:shd w:val="clear" w:color="auto" w:fill="auto"/>
            <w:noWrap/>
            <w:vAlign w:val="center"/>
            <w:hideMark/>
          </w:tcPr>
          <w:p w14:paraId="6CB4C655"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ML; M ; VL</w:t>
            </w:r>
          </w:p>
        </w:tc>
        <w:tc>
          <w:tcPr>
            <w:tcW w:w="753" w:type="pct"/>
            <w:shd w:val="clear" w:color="auto" w:fill="auto"/>
            <w:noWrap/>
            <w:vAlign w:val="center"/>
            <w:hideMark/>
          </w:tcPr>
          <w:p w14:paraId="6E29A17D"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VL; M ; VL</w:t>
            </w:r>
          </w:p>
        </w:tc>
        <w:tc>
          <w:tcPr>
            <w:tcW w:w="685" w:type="pct"/>
            <w:shd w:val="clear" w:color="auto" w:fill="auto"/>
            <w:noWrap/>
            <w:vAlign w:val="center"/>
            <w:hideMark/>
          </w:tcPr>
          <w:p w14:paraId="4E2526EE"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L; ML; MH</w:t>
            </w:r>
          </w:p>
        </w:tc>
        <w:tc>
          <w:tcPr>
            <w:tcW w:w="685" w:type="pct"/>
            <w:shd w:val="clear" w:color="auto" w:fill="auto"/>
            <w:noWrap/>
            <w:vAlign w:val="center"/>
            <w:hideMark/>
          </w:tcPr>
          <w:p w14:paraId="02534F4F" w14:textId="77777777" w:rsidR="00EF3470" w:rsidRPr="00F24E56" w:rsidRDefault="00EF3470" w:rsidP="0085434A">
            <w:pPr>
              <w:spacing w:after="0" w:line="240" w:lineRule="auto"/>
              <w:jc w:val="center"/>
              <w:rPr>
                <w:rFonts w:ascii="Times New Roman"/>
                <w:color w:val="000000"/>
                <w:sz w:val="16"/>
                <w:szCs w:val="16"/>
                <w:lang w:eastAsia="tr-TR"/>
              </w:rPr>
            </w:pPr>
            <w:r w:rsidRPr="00F24E56">
              <w:rPr>
                <w:rFonts w:ascii="Times New Roman"/>
                <w:color w:val="000000"/>
                <w:sz w:val="16"/>
                <w:szCs w:val="16"/>
              </w:rPr>
              <w:t>L; ML; ML</w:t>
            </w:r>
          </w:p>
        </w:tc>
      </w:tr>
    </w:tbl>
    <w:p w14:paraId="5A7578B5" w14:textId="73BCD6CE" w:rsidR="00EF3470" w:rsidRDefault="00EF3470" w:rsidP="00EF3470">
      <w:pPr>
        <w:spacing w:before="120" w:after="120" w:line="240" w:lineRule="auto"/>
        <w:jc w:val="both"/>
        <w:rPr>
          <w:rFonts w:ascii="Times New Roman"/>
          <w:sz w:val="20"/>
          <w:szCs w:val="20"/>
        </w:rPr>
      </w:pPr>
      <w:r w:rsidRPr="001813BC">
        <w:rPr>
          <w:rFonts w:ascii="Times New Roman"/>
          <w:sz w:val="20"/>
          <w:szCs w:val="20"/>
        </w:rPr>
        <w:t xml:space="preserve">Expert opinions are converted into STPYFs and the average value is computed by Equation (2). Then, the matrix is </w:t>
      </w:r>
      <w:proofErr w:type="spellStart"/>
      <w:r w:rsidRPr="001813BC">
        <w:rPr>
          <w:rFonts w:ascii="Times New Roman"/>
          <w:sz w:val="20"/>
          <w:szCs w:val="20"/>
        </w:rPr>
        <w:t>defuzzified</w:t>
      </w:r>
      <w:proofErr w:type="spellEnd"/>
      <w:r w:rsidRPr="001813BC">
        <w:rPr>
          <w:rFonts w:ascii="Times New Roman"/>
          <w:sz w:val="20"/>
          <w:szCs w:val="20"/>
        </w:rPr>
        <w:t xml:space="preserve"> by Equation (3).  Equation (11) is considered to determine the optimal values. Then, N matrix is obtained with Equation (13). Using the weights in Table 5, the Z matrix is obtained with the help of Equation (15). The result</w:t>
      </w:r>
      <w:r w:rsidR="00F24E56">
        <w:rPr>
          <w:rFonts w:ascii="Times New Roman"/>
          <w:sz w:val="20"/>
          <w:szCs w:val="20"/>
        </w:rPr>
        <w:t xml:space="preserve"> </w:t>
      </w:r>
      <w:r w:rsidRPr="001813BC">
        <w:rPr>
          <w:rFonts w:ascii="Times New Roman"/>
          <w:sz w:val="20"/>
          <w:szCs w:val="20"/>
        </w:rPr>
        <w:t>is denoted in Table 7.</w:t>
      </w:r>
    </w:p>
    <w:p w14:paraId="323EF164" w14:textId="77777777" w:rsidR="00F24E56" w:rsidRPr="001813BC" w:rsidRDefault="00F24E56" w:rsidP="00F24E56">
      <w:pPr>
        <w:spacing w:before="120" w:after="120" w:line="240" w:lineRule="auto"/>
        <w:jc w:val="both"/>
      </w:pPr>
      <w:r w:rsidRPr="00EF64B3">
        <w:rPr>
          <w:rFonts w:ascii="Times New Roman"/>
          <w:sz w:val="20"/>
          <w:szCs w:val="20"/>
        </w:rPr>
        <w:t>Alternatives are ranked using Equation (16), where the highest G value indicates the most significant alternative. Table 8 reveals that smart battery control systems are the most crucial for improving battery integration into microgrids. Storage capacity is also a key issue, while long-lasting battery selection and safety compatibility rank lower.</w:t>
      </w:r>
    </w:p>
    <w:p w14:paraId="7176EDA6" w14:textId="77777777" w:rsidR="00F24E56" w:rsidRPr="001813BC" w:rsidRDefault="00F24E56" w:rsidP="00EF3470">
      <w:pPr>
        <w:spacing w:before="120" w:after="120" w:line="240" w:lineRule="auto"/>
        <w:jc w:val="both"/>
        <w:rPr>
          <w:rFonts w:ascii="Times New Roman"/>
          <w:b/>
          <w:bCs/>
          <w:sz w:val="20"/>
          <w:szCs w:val="20"/>
        </w:rPr>
      </w:pPr>
    </w:p>
    <w:p w14:paraId="67A48DFF" w14:textId="77777777" w:rsidR="00EF3470" w:rsidRPr="001813BC" w:rsidRDefault="00EF3470" w:rsidP="00EF3470">
      <w:pPr>
        <w:spacing w:before="120" w:after="120" w:line="240" w:lineRule="auto"/>
        <w:jc w:val="center"/>
        <w:rPr>
          <w:rFonts w:ascii="Times New Roman"/>
          <w:b/>
          <w:bCs/>
          <w:sz w:val="20"/>
          <w:szCs w:val="20"/>
        </w:rPr>
      </w:pPr>
      <w:r w:rsidRPr="001813BC">
        <w:rPr>
          <w:rFonts w:ascii="Times New Roman"/>
          <w:b/>
          <w:bCs/>
          <w:sz w:val="20"/>
          <w:szCs w:val="20"/>
        </w:rPr>
        <w:lastRenderedPageBreak/>
        <w:t>Table 7: Z Matrix</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F3470" w:rsidRPr="00F24E56" w14:paraId="5D6238D0" w14:textId="77777777" w:rsidTr="0085434A">
        <w:trPr>
          <w:trHeight w:val="2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4C19" w14:textId="77777777" w:rsidR="00EF3470" w:rsidRPr="00F24E56" w:rsidRDefault="00EF3470" w:rsidP="0085434A">
            <w:pPr>
              <w:spacing w:after="0" w:line="240" w:lineRule="auto"/>
              <w:contextualSpacing/>
              <w:jc w:val="center"/>
              <w:rPr>
                <w:rFonts w:ascii="Times New Roman"/>
                <w:color w:val="000000"/>
                <w:sz w:val="16"/>
                <w:szCs w:val="16"/>
                <w:lang w:eastAsia="tr-TR"/>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0BC3A78"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b/>
                <w:bCs/>
                <w:sz w:val="16"/>
                <w:szCs w:val="16"/>
              </w:rPr>
              <w:t>CNGS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01BC9D5"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b/>
                <w:bCs/>
                <w:sz w:val="16"/>
                <w:szCs w:val="16"/>
              </w:rPr>
              <w:t>STGY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51AF214"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b/>
                <w:bCs/>
                <w:sz w:val="16"/>
                <w:szCs w:val="16"/>
              </w:rPr>
              <w:t>PTMS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5C5D34B"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b/>
                <w:bCs/>
                <w:sz w:val="16"/>
                <w:szCs w:val="16"/>
              </w:rPr>
              <w:t>LWTT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147989F"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b/>
                <w:bCs/>
                <w:sz w:val="16"/>
                <w:szCs w:val="16"/>
              </w:rPr>
              <w:t>FTPG</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B6E454" w14:textId="77777777" w:rsidR="00EF3470" w:rsidRPr="00F24E56" w:rsidRDefault="00EF3470" w:rsidP="0085434A">
            <w:pPr>
              <w:spacing w:after="0" w:line="240" w:lineRule="auto"/>
              <w:contextualSpacing/>
              <w:jc w:val="center"/>
              <w:rPr>
                <w:rFonts w:ascii="Times New Roman"/>
                <w:b/>
                <w:bCs/>
                <w:color w:val="000000"/>
                <w:sz w:val="16"/>
                <w:szCs w:val="16"/>
                <w:lang w:eastAsia="tr-TR"/>
              </w:rPr>
            </w:pPr>
            <w:r w:rsidRPr="00F24E56">
              <w:rPr>
                <w:rFonts w:ascii="Times New Roman"/>
                <w:b/>
                <w:bCs/>
                <w:sz w:val="16"/>
                <w:szCs w:val="16"/>
              </w:rPr>
              <w:t>FBXT</w:t>
            </w:r>
          </w:p>
        </w:tc>
      </w:tr>
      <w:tr w:rsidR="00EF3470" w:rsidRPr="00F24E56" w14:paraId="33482CA9" w14:textId="77777777" w:rsidTr="0085434A">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2A7CA6"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sz w:val="16"/>
                <w:szCs w:val="16"/>
              </w:rPr>
              <w:t>SCPC</w:t>
            </w:r>
          </w:p>
        </w:tc>
        <w:tc>
          <w:tcPr>
            <w:tcW w:w="960" w:type="dxa"/>
            <w:tcBorders>
              <w:top w:val="nil"/>
              <w:left w:val="nil"/>
              <w:bottom w:val="single" w:sz="4" w:space="0" w:color="auto"/>
              <w:right w:val="single" w:sz="4" w:space="0" w:color="auto"/>
            </w:tcBorders>
            <w:shd w:val="clear" w:color="auto" w:fill="auto"/>
            <w:noWrap/>
            <w:vAlign w:val="center"/>
            <w:hideMark/>
          </w:tcPr>
          <w:p w14:paraId="24FCB42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1.1132</w:t>
            </w:r>
          </w:p>
        </w:tc>
        <w:tc>
          <w:tcPr>
            <w:tcW w:w="960" w:type="dxa"/>
            <w:tcBorders>
              <w:top w:val="nil"/>
              <w:left w:val="nil"/>
              <w:bottom w:val="single" w:sz="4" w:space="0" w:color="auto"/>
              <w:right w:val="single" w:sz="4" w:space="0" w:color="auto"/>
            </w:tcBorders>
            <w:shd w:val="clear" w:color="auto" w:fill="auto"/>
            <w:noWrap/>
            <w:vAlign w:val="center"/>
            <w:hideMark/>
          </w:tcPr>
          <w:p w14:paraId="0D986A28"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1.2217</w:t>
            </w:r>
          </w:p>
        </w:tc>
        <w:tc>
          <w:tcPr>
            <w:tcW w:w="960" w:type="dxa"/>
            <w:tcBorders>
              <w:top w:val="nil"/>
              <w:left w:val="nil"/>
              <w:bottom w:val="single" w:sz="4" w:space="0" w:color="auto"/>
              <w:right w:val="single" w:sz="4" w:space="0" w:color="auto"/>
            </w:tcBorders>
            <w:shd w:val="clear" w:color="auto" w:fill="auto"/>
            <w:noWrap/>
            <w:vAlign w:val="center"/>
            <w:hideMark/>
          </w:tcPr>
          <w:p w14:paraId="2B2D2B2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1.1605</w:t>
            </w:r>
          </w:p>
        </w:tc>
        <w:tc>
          <w:tcPr>
            <w:tcW w:w="960" w:type="dxa"/>
            <w:tcBorders>
              <w:top w:val="nil"/>
              <w:left w:val="nil"/>
              <w:bottom w:val="single" w:sz="4" w:space="0" w:color="auto"/>
              <w:right w:val="single" w:sz="4" w:space="0" w:color="auto"/>
            </w:tcBorders>
            <w:shd w:val="clear" w:color="auto" w:fill="auto"/>
            <w:noWrap/>
            <w:vAlign w:val="center"/>
            <w:hideMark/>
          </w:tcPr>
          <w:p w14:paraId="7EDDD1A8"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1.0890</w:t>
            </w:r>
          </w:p>
        </w:tc>
        <w:tc>
          <w:tcPr>
            <w:tcW w:w="960" w:type="dxa"/>
            <w:tcBorders>
              <w:top w:val="nil"/>
              <w:left w:val="nil"/>
              <w:bottom w:val="single" w:sz="4" w:space="0" w:color="auto"/>
              <w:right w:val="single" w:sz="4" w:space="0" w:color="auto"/>
            </w:tcBorders>
            <w:shd w:val="clear" w:color="auto" w:fill="auto"/>
            <w:noWrap/>
            <w:vAlign w:val="center"/>
            <w:hideMark/>
          </w:tcPr>
          <w:p w14:paraId="1EC10D59"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1.1056</w:t>
            </w:r>
          </w:p>
        </w:tc>
        <w:tc>
          <w:tcPr>
            <w:tcW w:w="960" w:type="dxa"/>
            <w:tcBorders>
              <w:top w:val="nil"/>
              <w:left w:val="nil"/>
              <w:bottom w:val="single" w:sz="4" w:space="0" w:color="auto"/>
              <w:right w:val="single" w:sz="4" w:space="0" w:color="auto"/>
            </w:tcBorders>
            <w:shd w:val="clear" w:color="auto" w:fill="auto"/>
            <w:noWrap/>
            <w:vAlign w:val="center"/>
            <w:hideMark/>
          </w:tcPr>
          <w:p w14:paraId="6F29D7C9"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1.0987</w:t>
            </w:r>
          </w:p>
        </w:tc>
      </w:tr>
      <w:tr w:rsidR="00EF3470" w:rsidRPr="00F24E56" w14:paraId="29765EFA" w14:textId="77777777" w:rsidTr="0085434A">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E625EF"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sz w:val="16"/>
                <w:szCs w:val="16"/>
              </w:rPr>
              <w:t>LLBT</w:t>
            </w:r>
          </w:p>
        </w:tc>
        <w:tc>
          <w:tcPr>
            <w:tcW w:w="960" w:type="dxa"/>
            <w:tcBorders>
              <w:top w:val="nil"/>
              <w:left w:val="nil"/>
              <w:bottom w:val="single" w:sz="4" w:space="0" w:color="auto"/>
              <w:right w:val="single" w:sz="4" w:space="0" w:color="auto"/>
            </w:tcBorders>
            <w:shd w:val="clear" w:color="auto" w:fill="auto"/>
            <w:noWrap/>
            <w:vAlign w:val="center"/>
            <w:hideMark/>
          </w:tcPr>
          <w:p w14:paraId="024A3A2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1.0227</w:t>
            </w:r>
          </w:p>
        </w:tc>
        <w:tc>
          <w:tcPr>
            <w:tcW w:w="960" w:type="dxa"/>
            <w:tcBorders>
              <w:top w:val="nil"/>
              <w:left w:val="nil"/>
              <w:bottom w:val="single" w:sz="4" w:space="0" w:color="auto"/>
              <w:right w:val="single" w:sz="4" w:space="0" w:color="auto"/>
            </w:tcBorders>
            <w:shd w:val="clear" w:color="auto" w:fill="auto"/>
            <w:noWrap/>
            <w:vAlign w:val="center"/>
            <w:hideMark/>
          </w:tcPr>
          <w:p w14:paraId="74A605F1"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1.0907</w:t>
            </w:r>
          </w:p>
        </w:tc>
        <w:tc>
          <w:tcPr>
            <w:tcW w:w="960" w:type="dxa"/>
            <w:tcBorders>
              <w:top w:val="nil"/>
              <w:left w:val="nil"/>
              <w:bottom w:val="single" w:sz="4" w:space="0" w:color="auto"/>
              <w:right w:val="single" w:sz="4" w:space="0" w:color="auto"/>
            </w:tcBorders>
            <w:shd w:val="clear" w:color="auto" w:fill="auto"/>
            <w:noWrap/>
            <w:vAlign w:val="center"/>
            <w:hideMark/>
          </w:tcPr>
          <w:p w14:paraId="203EE099"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1.0908</w:t>
            </w:r>
          </w:p>
        </w:tc>
        <w:tc>
          <w:tcPr>
            <w:tcW w:w="960" w:type="dxa"/>
            <w:tcBorders>
              <w:top w:val="nil"/>
              <w:left w:val="nil"/>
              <w:bottom w:val="single" w:sz="4" w:space="0" w:color="auto"/>
              <w:right w:val="single" w:sz="4" w:space="0" w:color="auto"/>
            </w:tcBorders>
            <w:shd w:val="clear" w:color="auto" w:fill="auto"/>
            <w:noWrap/>
            <w:vAlign w:val="center"/>
            <w:hideMark/>
          </w:tcPr>
          <w:p w14:paraId="273B034F"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1.0035</w:t>
            </w:r>
          </w:p>
        </w:tc>
        <w:tc>
          <w:tcPr>
            <w:tcW w:w="960" w:type="dxa"/>
            <w:tcBorders>
              <w:top w:val="nil"/>
              <w:left w:val="nil"/>
              <w:bottom w:val="single" w:sz="4" w:space="0" w:color="auto"/>
              <w:right w:val="single" w:sz="4" w:space="0" w:color="auto"/>
            </w:tcBorders>
            <w:shd w:val="clear" w:color="auto" w:fill="auto"/>
            <w:noWrap/>
            <w:vAlign w:val="center"/>
            <w:hideMark/>
          </w:tcPr>
          <w:p w14:paraId="1DFAAA3E"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1.0370</w:t>
            </w:r>
          </w:p>
        </w:tc>
        <w:tc>
          <w:tcPr>
            <w:tcW w:w="960" w:type="dxa"/>
            <w:tcBorders>
              <w:top w:val="nil"/>
              <w:left w:val="nil"/>
              <w:bottom w:val="single" w:sz="4" w:space="0" w:color="auto"/>
              <w:right w:val="single" w:sz="4" w:space="0" w:color="auto"/>
            </w:tcBorders>
            <w:shd w:val="clear" w:color="auto" w:fill="auto"/>
            <w:noWrap/>
            <w:vAlign w:val="center"/>
            <w:hideMark/>
          </w:tcPr>
          <w:p w14:paraId="3461DD5F"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1.0121</w:t>
            </w:r>
          </w:p>
        </w:tc>
      </w:tr>
      <w:tr w:rsidR="00EF3470" w:rsidRPr="00F24E56" w14:paraId="7624DB1E" w14:textId="77777777" w:rsidTr="0085434A">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267204"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sz w:val="16"/>
                <w:szCs w:val="16"/>
              </w:rPr>
              <w:t>STBC</w:t>
            </w:r>
          </w:p>
        </w:tc>
        <w:tc>
          <w:tcPr>
            <w:tcW w:w="960" w:type="dxa"/>
            <w:tcBorders>
              <w:top w:val="nil"/>
              <w:left w:val="nil"/>
              <w:bottom w:val="single" w:sz="4" w:space="0" w:color="auto"/>
              <w:right w:val="single" w:sz="4" w:space="0" w:color="auto"/>
            </w:tcBorders>
            <w:shd w:val="clear" w:color="auto" w:fill="auto"/>
            <w:noWrap/>
            <w:vAlign w:val="center"/>
            <w:hideMark/>
          </w:tcPr>
          <w:p w14:paraId="06F0CB17"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1.1449</w:t>
            </w:r>
          </w:p>
        </w:tc>
        <w:tc>
          <w:tcPr>
            <w:tcW w:w="960" w:type="dxa"/>
            <w:tcBorders>
              <w:top w:val="nil"/>
              <w:left w:val="nil"/>
              <w:bottom w:val="single" w:sz="4" w:space="0" w:color="auto"/>
              <w:right w:val="single" w:sz="4" w:space="0" w:color="auto"/>
            </w:tcBorders>
            <w:shd w:val="clear" w:color="auto" w:fill="auto"/>
            <w:noWrap/>
            <w:vAlign w:val="center"/>
            <w:hideMark/>
          </w:tcPr>
          <w:p w14:paraId="5EABD758"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1.2557</w:t>
            </w:r>
          </w:p>
        </w:tc>
        <w:tc>
          <w:tcPr>
            <w:tcW w:w="960" w:type="dxa"/>
            <w:tcBorders>
              <w:top w:val="nil"/>
              <w:left w:val="nil"/>
              <w:bottom w:val="single" w:sz="4" w:space="0" w:color="auto"/>
              <w:right w:val="single" w:sz="4" w:space="0" w:color="auto"/>
            </w:tcBorders>
            <w:shd w:val="clear" w:color="auto" w:fill="auto"/>
            <w:noWrap/>
            <w:vAlign w:val="center"/>
            <w:hideMark/>
          </w:tcPr>
          <w:p w14:paraId="01712855"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1.2048</w:t>
            </w:r>
          </w:p>
        </w:tc>
        <w:tc>
          <w:tcPr>
            <w:tcW w:w="960" w:type="dxa"/>
            <w:tcBorders>
              <w:top w:val="nil"/>
              <w:left w:val="nil"/>
              <w:bottom w:val="single" w:sz="4" w:space="0" w:color="auto"/>
              <w:right w:val="single" w:sz="4" w:space="0" w:color="auto"/>
            </w:tcBorders>
            <w:shd w:val="clear" w:color="auto" w:fill="auto"/>
            <w:noWrap/>
            <w:vAlign w:val="center"/>
            <w:hideMark/>
          </w:tcPr>
          <w:p w14:paraId="6D2504CA"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1.1271</w:t>
            </w:r>
          </w:p>
        </w:tc>
        <w:tc>
          <w:tcPr>
            <w:tcW w:w="960" w:type="dxa"/>
            <w:tcBorders>
              <w:top w:val="nil"/>
              <w:left w:val="nil"/>
              <w:bottom w:val="single" w:sz="4" w:space="0" w:color="auto"/>
              <w:right w:val="single" w:sz="4" w:space="0" w:color="auto"/>
            </w:tcBorders>
            <w:shd w:val="clear" w:color="auto" w:fill="auto"/>
            <w:noWrap/>
            <w:vAlign w:val="center"/>
            <w:hideMark/>
          </w:tcPr>
          <w:p w14:paraId="4035B744"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1.1258</w:t>
            </w:r>
          </w:p>
        </w:tc>
        <w:tc>
          <w:tcPr>
            <w:tcW w:w="960" w:type="dxa"/>
            <w:tcBorders>
              <w:top w:val="nil"/>
              <w:left w:val="nil"/>
              <w:bottom w:val="single" w:sz="4" w:space="0" w:color="auto"/>
              <w:right w:val="single" w:sz="4" w:space="0" w:color="auto"/>
            </w:tcBorders>
            <w:shd w:val="clear" w:color="auto" w:fill="auto"/>
            <w:noWrap/>
            <w:vAlign w:val="center"/>
            <w:hideMark/>
          </w:tcPr>
          <w:p w14:paraId="67C470B6"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1.1416</w:t>
            </w:r>
          </w:p>
        </w:tc>
      </w:tr>
      <w:tr w:rsidR="00EF3470" w:rsidRPr="00F24E56" w14:paraId="33620872" w14:textId="77777777" w:rsidTr="0085434A">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F70867"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sz w:val="16"/>
                <w:szCs w:val="16"/>
              </w:rPr>
              <w:t>CSCR</w:t>
            </w:r>
          </w:p>
        </w:tc>
        <w:tc>
          <w:tcPr>
            <w:tcW w:w="960" w:type="dxa"/>
            <w:tcBorders>
              <w:top w:val="nil"/>
              <w:left w:val="nil"/>
              <w:bottom w:val="single" w:sz="4" w:space="0" w:color="auto"/>
              <w:right w:val="single" w:sz="4" w:space="0" w:color="auto"/>
            </w:tcBorders>
            <w:shd w:val="clear" w:color="auto" w:fill="auto"/>
            <w:noWrap/>
            <w:vAlign w:val="center"/>
            <w:hideMark/>
          </w:tcPr>
          <w:p w14:paraId="660A5705"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1.0041</w:t>
            </w:r>
          </w:p>
        </w:tc>
        <w:tc>
          <w:tcPr>
            <w:tcW w:w="960" w:type="dxa"/>
            <w:tcBorders>
              <w:top w:val="nil"/>
              <w:left w:val="nil"/>
              <w:bottom w:val="single" w:sz="4" w:space="0" w:color="auto"/>
              <w:right w:val="single" w:sz="4" w:space="0" w:color="auto"/>
            </w:tcBorders>
            <w:shd w:val="clear" w:color="auto" w:fill="auto"/>
            <w:noWrap/>
            <w:vAlign w:val="center"/>
            <w:hideMark/>
          </w:tcPr>
          <w:p w14:paraId="35B9418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1.0518</w:t>
            </w:r>
          </w:p>
        </w:tc>
        <w:tc>
          <w:tcPr>
            <w:tcW w:w="960" w:type="dxa"/>
            <w:tcBorders>
              <w:top w:val="nil"/>
              <w:left w:val="nil"/>
              <w:bottom w:val="single" w:sz="4" w:space="0" w:color="auto"/>
              <w:right w:val="single" w:sz="4" w:space="0" w:color="auto"/>
            </w:tcBorders>
            <w:shd w:val="clear" w:color="auto" w:fill="auto"/>
            <w:noWrap/>
            <w:vAlign w:val="center"/>
            <w:hideMark/>
          </w:tcPr>
          <w:p w14:paraId="1F144C76"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1.0449</w:t>
            </w:r>
          </w:p>
        </w:tc>
        <w:tc>
          <w:tcPr>
            <w:tcW w:w="960" w:type="dxa"/>
            <w:tcBorders>
              <w:top w:val="nil"/>
              <w:left w:val="nil"/>
              <w:bottom w:val="single" w:sz="4" w:space="0" w:color="auto"/>
              <w:right w:val="single" w:sz="4" w:space="0" w:color="auto"/>
            </w:tcBorders>
            <w:shd w:val="clear" w:color="auto" w:fill="auto"/>
            <w:noWrap/>
            <w:vAlign w:val="center"/>
            <w:hideMark/>
          </w:tcPr>
          <w:p w14:paraId="68C611F9"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1.0108</w:t>
            </w:r>
          </w:p>
        </w:tc>
        <w:tc>
          <w:tcPr>
            <w:tcW w:w="960" w:type="dxa"/>
            <w:tcBorders>
              <w:top w:val="nil"/>
              <w:left w:val="nil"/>
              <w:bottom w:val="single" w:sz="4" w:space="0" w:color="auto"/>
              <w:right w:val="single" w:sz="4" w:space="0" w:color="auto"/>
            </w:tcBorders>
            <w:shd w:val="clear" w:color="auto" w:fill="auto"/>
            <w:noWrap/>
            <w:vAlign w:val="center"/>
            <w:hideMark/>
          </w:tcPr>
          <w:p w14:paraId="11AC65C3"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1.0198</w:t>
            </w:r>
          </w:p>
        </w:tc>
        <w:tc>
          <w:tcPr>
            <w:tcW w:w="960" w:type="dxa"/>
            <w:tcBorders>
              <w:top w:val="nil"/>
              <w:left w:val="nil"/>
              <w:bottom w:val="single" w:sz="4" w:space="0" w:color="auto"/>
              <w:right w:val="single" w:sz="4" w:space="0" w:color="auto"/>
            </w:tcBorders>
            <w:shd w:val="clear" w:color="auto" w:fill="auto"/>
            <w:noWrap/>
            <w:vAlign w:val="center"/>
            <w:hideMark/>
          </w:tcPr>
          <w:p w14:paraId="1DC89753"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1.0331</w:t>
            </w:r>
          </w:p>
        </w:tc>
      </w:tr>
      <w:tr w:rsidR="00EF3470" w:rsidRPr="00F24E56" w14:paraId="093D657B" w14:textId="77777777" w:rsidTr="0085434A">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EAC738"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sz w:val="16"/>
                <w:szCs w:val="16"/>
              </w:rPr>
              <w:t>MDGG</w:t>
            </w:r>
          </w:p>
        </w:tc>
        <w:tc>
          <w:tcPr>
            <w:tcW w:w="960" w:type="dxa"/>
            <w:tcBorders>
              <w:top w:val="nil"/>
              <w:left w:val="nil"/>
              <w:bottom w:val="single" w:sz="4" w:space="0" w:color="auto"/>
              <w:right w:val="single" w:sz="4" w:space="0" w:color="auto"/>
            </w:tcBorders>
            <w:shd w:val="clear" w:color="auto" w:fill="auto"/>
            <w:noWrap/>
            <w:vAlign w:val="center"/>
            <w:hideMark/>
          </w:tcPr>
          <w:p w14:paraId="13E985F7"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1.0584</w:t>
            </w:r>
          </w:p>
        </w:tc>
        <w:tc>
          <w:tcPr>
            <w:tcW w:w="960" w:type="dxa"/>
            <w:tcBorders>
              <w:top w:val="nil"/>
              <w:left w:val="nil"/>
              <w:bottom w:val="single" w:sz="4" w:space="0" w:color="auto"/>
              <w:right w:val="single" w:sz="4" w:space="0" w:color="auto"/>
            </w:tcBorders>
            <w:shd w:val="clear" w:color="auto" w:fill="auto"/>
            <w:noWrap/>
            <w:vAlign w:val="center"/>
            <w:hideMark/>
          </w:tcPr>
          <w:p w14:paraId="00C50750"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1.0907</w:t>
            </w:r>
          </w:p>
        </w:tc>
        <w:tc>
          <w:tcPr>
            <w:tcW w:w="960" w:type="dxa"/>
            <w:tcBorders>
              <w:top w:val="nil"/>
              <w:left w:val="nil"/>
              <w:bottom w:val="single" w:sz="4" w:space="0" w:color="auto"/>
              <w:right w:val="single" w:sz="4" w:space="0" w:color="auto"/>
            </w:tcBorders>
            <w:shd w:val="clear" w:color="auto" w:fill="auto"/>
            <w:noWrap/>
            <w:vAlign w:val="center"/>
            <w:hideMark/>
          </w:tcPr>
          <w:p w14:paraId="21B62C7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1.0322</w:t>
            </w:r>
          </w:p>
        </w:tc>
        <w:tc>
          <w:tcPr>
            <w:tcW w:w="960" w:type="dxa"/>
            <w:tcBorders>
              <w:top w:val="nil"/>
              <w:left w:val="nil"/>
              <w:bottom w:val="single" w:sz="4" w:space="0" w:color="auto"/>
              <w:right w:val="single" w:sz="4" w:space="0" w:color="auto"/>
            </w:tcBorders>
            <w:shd w:val="clear" w:color="auto" w:fill="auto"/>
            <w:noWrap/>
            <w:vAlign w:val="center"/>
            <w:hideMark/>
          </w:tcPr>
          <w:p w14:paraId="64D528CC"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1.0427</w:t>
            </w:r>
          </w:p>
        </w:tc>
        <w:tc>
          <w:tcPr>
            <w:tcW w:w="960" w:type="dxa"/>
            <w:tcBorders>
              <w:top w:val="nil"/>
              <w:left w:val="nil"/>
              <w:bottom w:val="single" w:sz="4" w:space="0" w:color="auto"/>
              <w:right w:val="single" w:sz="4" w:space="0" w:color="auto"/>
            </w:tcBorders>
            <w:shd w:val="clear" w:color="auto" w:fill="auto"/>
            <w:noWrap/>
            <w:vAlign w:val="center"/>
            <w:hideMark/>
          </w:tcPr>
          <w:p w14:paraId="608B15B4"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1.0301</w:t>
            </w:r>
          </w:p>
        </w:tc>
        <w:tc>
          <w:tcPr>
            <w:tcW w:w="960" w:type="dxa"/>
            <w:tcBorders>
              <w:top w:val="nil"/>
              <w:left w:val="nil"/>
              <w:bottom w:val="single" w:sz="4" w:space="0" w:color="auto"/>
              <w:right w:val="single" w:sz="4" w:space="0" w:color="auto"/>
            </w:tcBorders>
            <w:shd w:val="clear" w:color="auto" w:fill="auto"/>
            <w:noWrap/>
            <w:vAlign w:val="center"/>
            <w:hideMark/>
          </w:tcPr>
          <w:p w14:paraId="52CC78A6"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1.0146</w:t>
            </w:r>
          </w:p>
        </w:tc>
      </w:tr>
      <w:tr w:rsidR="00EF3470" w:rsidRPr="00F24E56" w14:paraId="06EB6BC9" w14:textId="77777777" w:rsidTr="0085434A">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6AC5C0" w14:textId="77777777" w:rsidR="00EF3470" w:rsidRPr="00F24E56" w:rsidRDefault="00EF3470" w:rsidP="0085434A">
            <w:pPr>
              <w:spacing w:after="0" w:line="240" w:lineRule="auto"/>
              <w:contextualSpacing/>
              <w:jc w:val="center"/>
              <w:rPr>
                <w:rFonts w:ascii="Times New Roman"/>
                <w:color w:val="000000"/>
                <w:sz w:val="16"/>
                <w:szCs w:val="16"/>
                <w:lang w:eastAsia="tr-TR"/>
              </w:rPr>
            </w:pPr>
            <w:r w:rsidRPr="00F24E56">
              <w:rPr>
                <w:rFonts w:ascii="Times New Roman"/>
                <w:sz w:val="16"/>
                <w:szCs w:val="16"/>
              </w:rPr>
              <w:t>SBYL</w:t>
            </w:r>
          </w:p>
        </w:tc>
        <w:tc>
          <w:tcPr>
            <w:tcW w:w="960" w:type="dxa"/>
            <w:tcBorders>
              <w:top w:val="nil"/>
              <w:left w:val="nil"/>
              <w:bottom w:val="single" w:sz="4" w:space="0" w:color="auto"/>
              <w:right w:val="single" w:sz="4" w:space="0" w:color="auto"/>
            </w:tcBorders>
            <w:shd w:val="clear" w:color="auto" w:fill="auto"/>
            <w:noWrap/>
            <w:vAlign w:val="center"/>
            <w:hideMark/>
          </w:tcPr>
          <w:p w14:paraId="023114B8"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1.0284</w:t>
            </w:r>
          </w:p>
        </w:tc>
        <w:tc>
          <w:tcPr>
            <w:tcW w:w="960" w:type="dxa"/>
            <w:tcBorders>
              <w:top w:val="nil"/>
              <w:left w:val="nil"/>
              <w:bottom w:val="single" w:sz="4" w:space="0" w:color="auto"/>
              <w:right w:val="single" w:sz="4" w:space="0" w:color="auto"/>
            </w:tcBorders>
            <w:shd w:val="clear" w:color="auto" w:fill="auto"/>
            <w:noWrap/>
            <w:vAlign w:val="center"/>
            <w:hideMark/>
          </w:tcPr>
          <w:p w14:paraId="2FF492A3"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1.1061</w:t>
            </w:r>
          </w:p>
        </w:tc>
        <w:tc>
          <w:tcPr>
            <w:tcW w:w="960" w:type="dxa"/>
            <w:tcBorders>
              <w:top w:val="nil"/>
              <w:left w:val="nil"/>
              <w:bottom w:val="single" w:sz="4" w:space="0" w:color="auto"/>
              <w:right w:val="single" w:sz="4" w:space="0" w:color="auto"/>
            </w:tcBorders>
            <w:shd w:val="clear" w:color="auto" w:fill="auto"/>
            <w:noWrap/>
            <w:vAlign w:val="center"/>
            <w:hideMark/>
          </w:tcPr>
          <w:p w14:paraId="54AA4F1B"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1.0522</w:t>
            </w:r>
          </w:p>
        </w:tc>
        <w:tc>
          <w:tcPr>
            <w:tcW w:w="960" w:type="dxa"/>
            <w:tcBorders>
              <w:top w:val="nil"/>
              <w:left w:val="nil"/>
              <w:bottom w:val="single" w:sz="4" w:space="0" w:color="auto"/>
              <w:right w:val="single" w:sz="4" w:space="0" w:color="auto"/>
            </w:tcBorders>
            <w:shd w:val="clear" w:color="auto" w:fill="auto"/>
            <w:noWrap/>
            <w:vAlign w:val="center"/>
            <w:hideMark/>
          </w:tcPr>
          <w:p w14:paraId="24A9B220"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1.0183</w:t>
            </w:r>
          </w:p>
        </w:tc>
        <w:tc>
          <w:tcPr>
            <w:tcW w:w="960" w:type="dxa"/>
            <w:tcBorders>
              <w:top w:val="nil"/>
              <w:left w:val="nil"/>
              <w:bottom w:val="single" w:sz="4" w:space="0" w:color="auto"/>
              <w:right w:val="single" w:sz="4" w:space="0" w:color="auto"/>
            </w:tcBorders>
            <w:shd w:val="clear" w:color="auto" w:fill="auto"/>
            <w:noWrap/>
            <w:vAlign w:val="center"/>
            <w:hideMark/>
          </w:tcPr>
          <w:p w14:paraId="1D233E02"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1.0559</w:t>
            </w:r>
          </w:p>
        </w:tc>
        <w:tc>
          <w:tcPr>
            <w:tcW w:w="960" w:type="dxa"/>
            <w:tcBorders>
              <w:top w:val="nil"/>
              <w:left w:val="nil"/>
              <w:bottom w:val="single" w:sz="4" w:space="0" w:color="auto"/>
              <w:right w:val="single" w:sz="4" w:space="0" w:color="auto"/>
            </w:tcBorders>
            <w:shd w:val="clear" w:color="auto" w:fill="auto"/>
            <w:noWrap/>
            <w:vAlign w:val="center"/>
            <w:hideMark/>
          </w:tcPr>
          <w:p w14:paraId="6C0E9808" w14:textId="77777777" w:rsidR="00EF3470" w:rsidRPr="00F24E56" w:rsidRDefault="00EF3470" w:rsidP="0085434A">
            <w:pPr>
              <w:contextualSpacing/>
              <w:jc w:val="center"/>
              <w:rPr>
                <w:rFonts w:ascii="Times New Roman"/>
                <w:sz w:val="16"/>
                <w:szCs w:val="16"/>
              </w:rPr>
            </w:pPr>
            <w:r w:rsidRPr="00F24E56">
              <w:rPr>
                <w:rFonts w:ascii="Times New Roman"/>
                <w:sz w:val="16"/>
                <w:szCs w:val="16"/>
              </w:rPr>
              <w:t>1.0217</w:t>
            </w:r>
          </w:p>
        </w:tc>
      </w:tr>
    </w:tbl>
    <w:p w14:paraId="691D0ADF" w14:textId="4824479B" w:rsidR="00EF3470" w:rsidRPr="001813BC" w:rsidRDefault="00EF3470" w:rsidP="00EF3470">
      <w:pPr>
        <w:spacing w:before="120" w:after="120" w:line="240" w:lineRule="auto"/>
        <w:jc w:val="both"/>
        <w:rPr>
          <w:rFonts w:ascii="Times New Roman"/>
          <w:b/>
          <w:bCs/>
          <w:i/>
          <w:iCs/>
          <w:sz w:val="20"/>
          <w:szCs w:val="20"/>
        </w:rPr>
      </w:pPr>
      <w:bookmarkStart w:id="5" w:name="_Hlk172216654"/>
      <w:r w:rsidRPr="001813BC">
        <w:rPr>
          <w:rFonts w:ascii="Times New Roman"/>
          <w:b/>
          <w:bCs/>
          <w:i/>
          <w:iCs/>
          <w:sz w:val="20"/>
          <w:szCs w:val="20"/>
        </w:rPr>
        <w:t>Sensitivity Analysis</w:t>
      </w:r>
    </w:p>
    <w:p w14:paraId="1A3704F9" w14:textId="77777777" w:rsidR="00EF3470" w:rsidRDefault="00EF3470" w:rsidP="00EF3470">
      <w:pPr>
        <w:spacing w:before="120" w:after="120" w:line="240" w:lineRule="auto"/>
        <w:jc w:val="both"/>
        <w:rPr>
          <w:rFonts w:ascii="Times New Roman"/>
          <w:sz w:val="20"/>
          <w:szCs w:val="20"/>
        </w:rPr>
      </w:pPr>
      <w:r w:rsidRPr="00EF64B3">
        <w:rPr>
          <w:rFonts w:ascii="Times New Roman"/>
          <w:sz w:val="20"/>
          <w:szCs w:val="20"/>
        </w:rPr>
        <w:t>A sensitivity analysis is conducted to validate the results for ranking technical requirements for battery integration into microgrids. This analysis involves calculating weights for ten different scenarios obtained through simulation. The findings from the study serve as the input for the simulation modeling, which generates new weights used to rank the alternatives. By considering various weights, the process ensures the coherence of the findings. The alternatives are then re-ranked based on these weights, and the results are compared. The sensitivity analysis is detailed in Table 8, and the results confirm the rankings derived from the SFPFY RATGOS analysis.</w:t>
      </w:r>
    </w:p>
    <w:p w14:paraId="691DFF5E" w14:textId="77777777" w:rsidR="00EF3470" w:rsidRPr="001813BC" w:rsidRDefault="00EF3470" w:rsidP="00EF3470">
      <w:pPr>
        <w:spacing w:before="120" w:after="120" w:line="240" w:lineRule="auto"/>
        <w:jc w:val="center"/>
        <w:rPr>
          <w:rFonts w:ascii="Times New Roman"/>
          <w:b/>
          <w:bCs/>
          <w:sz w:val="20"/>
          <w:szCs w:val="20"/>
        </w:rPr>
      </w:pPr>
      <w:r w:rsidRPr="001813BC">
        <w:rPr>
          <w:rFonts w:ascii="Times New Roman"/>
          <w:b/>
          <w:bCs/>
          <w:sz w:val="20"/>
          <w:szCs w:val="20"/>
        </w:rPr>
        <w:t>Table 8: Results of Sensitivity Analysis</w:t>
      </w:r>
      <w:r>
        <w:rPr>
          <w:rFonts w:ascii="Times New Roman"/>
          <w:b/>
          <w:bCs/>
          <w:sz w:val="20"/>
          <w:szCs w:val="20"/>
        </w:rPr>
        <w:t xml:space="preserve"> </w:t>
      </w:r>
      <w:r w:rsidRPr="001813BC">
        <w:rPr>
          <w:rFonts w:ascii="Times New Roman"/>
          <w:b/>
          <w:bCs/>
          <w:sz w:val="20"/>
          <w:szCs w:val="20"/>
        </w:rPr>
        <w:t>with Simulation Modeling</w:t>
      </w:r>
    </w:p>
    <w:tbl>
      <w:tblPr>
        <w:tblW w:w="5000" w:type="pct"/>
        <w:tblCellMar>
          <w:left w:w="70" w:type="dxa"/>
          <w:right w:w="70" w:type="dxa"/>
        </w:tblCellMar>
        <w:tblLook w:val="04A0" w:firstRow="1" w:lastRow="0" w:firstColumn="1" w:lastColumn="0" w:noHBand="0" w:noVBand="1"/>
      </w:tblPr>
      <w:tblGrid>
        <w:gridCol w:w="657"/>
        <w:gridCol w:w="979"/>
        <w:gridCol w:w="979"/>
        <w:gridCol w:w="979"/>
        <w:gridCol w:w="978"/>
        <w:gridCol w:w="978"/>
        <w:gridCol w:w="978"/>
        <w:gridCol w:w="978"/>
        <w:gridCol w:w="978"/>
        <w:gridCol w:w="978"/>
        <w:gridCol w:w="1058"/>
      </w:tblGrid>
      <w:tr w:rsidR="00EF3470" w:rsidRPr="00EF3470" w14:paraId="59082CF1" w14:textId="77777777" w:rsidTr="0085434A">
        <w:trPr>
          <w:trHeight w:val="57"/>
        </w:trPr>
        <w:tc>
          <w:tcPr>
            <w:tcW w:w="312"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DAAF03" w14:textId="77777777" w:rsidR="00EF3470" w:rsidRPr="00EF3470" w:rsidRDefault="00EF3470" w:rsidP="0085434A">
            <w:pPr>
              <w:spacing w:after="0" w:line="240" w:lineRule="auto"/>
              <w:jc w:val="center"/>
              <w:rPr>
                <w:rFonts w:ascii="Times New Roman"/>
                <w:b/>
                <w:bCs/>
                <w:color w:val="000000"/>
                <w:sz w:val="16"/>
                <w:szCs w:val="16"/>
                <w:lang w:eastAsia="tr-TR"/>
              </w:rPr>
            </w:pPr>
          </w:p>
        </w:tc>
        <w:tc>
          <w:tcPr>
            <w:tcW w:w="465" w:type="pct"/>
            <w:tcBorders>
              <w:top w:val="single" w:sz="4" w:space="0" w:color="000000"/>
              <w:left w:val="nil"/>
              <w:bottom w:val="single" w:sz="4" w:space="0" w:color="000000"/>
              <w:right w:val="single" w:sz="4" w:space="0" w:color="000000"/>
            </w:tcBorders>
            <w:shd w:val="clear" w:color="auto" w:fill="auto"/>
            <w:noWrap/>
            <w:vAlign w:val="center"/>
            <w:hideMark/>
          </w:tcPr>
          <w:p w14:paraId="6678D536"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Sim_1</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449871A0"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Sim_2</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274BEE61"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Sim_3</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2704BE41"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Sim_4</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7C03943C"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Sim_5</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305AACB9"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Sim_6</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21A0F07A"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Sim_7</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363645CC"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Sim_8</w:t>
            </w:r>
          </w:p>
        </w:tc>
        <w:tc>
          <w:tcPr>
            <w:tcW w:w="465" w:type="pct"/>
            <w:tcBorders>
              <w:top w:val="single" w:sz="4" w:space="0" w:color="000000"/>
              <w:left w:val="nil"/>
              <w:bottom w:val="single" w:sz="4" w:space="0" w:color="000000"/>
              <w:right w:val="single" w:sz="4" w:space="0" w:color="000000"/>
            </w:tcBorders>
            <w:shd w:val="clear" w:color="auto" w:fill="auto"/>
            <w:noWrap/>
            <w:vAlign w:val="center"/>
          </w:tcPr>
          <w:p w14:paraId="5B2075E7"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Sim_9</w:t>
            </w:r>
          </w:p>
        </w:tc>
        <w:tc>
          <w:tcPr>
            <w:tcW w:w="503" w:type="pct"/>
            <w:tcBorders>
              <w:top w:val="single" w:sz="4" w:space="0" w:color="000000"/>
              <w:left w:val="nil"/>
              <w:bottom w:val="single" w:sz="4" w:space="0" w:color="000000"/>
              <w:right w:val="single" w:sz="4" w:space="0" w:color="000000"/>
            </w:tcBorders>
            <w:shd w:val="clear" w:color="auto" w:fill="auto"/>
            <w:noWrap/>
            <w:vAlign w:val="center"/>
          </w:tcPr>
          <w:p w14:paraId="0758141C"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Sim_10</w:t>
            </w:r>
          </w:p>
        </w:tc>
      </w:tr>
      <w:tr w:rsidR="00EF3470" w:rsidRPr="00EF3470" w14:paraId="6D11FA98" w14:textId="77777777" w:rsidTr="0085434A">
        <w:trPr>
          <w:trHeight w:val="57"/>
        </w:trPr>
        <w:tc>
          <w:tcPr>
            <w:tcW w:w="312" w:type="pct"/>
            <w:tcBorders>
              <w:top w:val="nil"/>
              <w:left w:val="single" w:sz="4" w:space="0" w:color="000000"/>
              <w:bottom w:val="single" w:sz="4" w:space="0" w:color="000000"/>
              <w:right w:val="single" w:sz="4" w:space="0" w:color="000000"/>
            </w:tcBorders>
            <w:shd w:val="clear" w:color="auto" w:fill="auto"/>
            <w:noWrap/>
            <w:vAlign w:val="center"/>
            <w:hideMark/>
          </w:tcPr>
          <w:p w14:paraId="29B1114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SCPC</w:t>
            </w:r>
          </w:p>
        </w:tc>
        <w:tc>
          <w:tcPr>
            <w:tcW w:w="465" w:type="pct"/>
            <w:tcBorders>
              <w:top w:val="nil"/>
              <w:left w:val="nil"/>
              <w:bottom w:val="single" w:sz="4" w:space="0" w:color="000000"/>
              <w:right w:val="single" w:sz="4" w:space="0" w:color="000000"/>
            </w:tcBorders>
            <w:shd w:val="clear" w:color="auto" w:fill="auto"/>
            <w:noWrap/>
            <w:vAlign w:val="center"/>
            <w:hideMark/>
          </w:tcPr>
          <w:p w14:paraId="08F1016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20CF84C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54251D7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2EE7EB9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1245004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7C278AA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13FE84EE"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263E5FB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465" w:type="pct"/>
            <w:tcBorders>
              <w:top w:val="nil"/>
              <w:left w:val="nil"/>
              <w:bottom w:val="single" w:sz="4" w:space="0" w:color="000000"/>
              <w:right w:val="single" w:sz="4" w:space="0" w:color="000000"/>
            </w:tcBorders>
            <w:shd w:val="clear" w:color="auto" w:fill="auto"/>
            <w:noWrap/>
            <w:vAlign w:val="center"/>
            <w:hideMark/>
          </w:tcPr>
          <w:p w14:paraId="41EB1E1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c>
          <w:tcPr>
            <w:tcW w:w="503" w:type="pct"/>
            <w:tcBorders>
              <w:top w:val="nil"/>
              <w:left w:val="nil"/>
              <w:bottom w:val="single" w:sz="4" w:space="0" w:color="000000"/>
              <w:right w:val="single" w:sz="4" w:space="0" w:color="000000"/>
            </w:tcBorders>
            <w:shd w:val="clear" w:color="auto" w:fill="auto"/>
            <w:noWrap/>
            <w:vAlign w:val="center"/>
            <w:hideMark/>
          </w:tcPr>
          <w:p w14:paraId="73ED2E3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2</w:t>
            </w:r>
          </w:p>
        </w:tc>
      </w:tr>
      <w:tr w:rsidR="00EF3470" w:rsidRPr="00EF3470" w14:paraId="58CEEB5D" w14:textId="77777777" w:rsidTr="0085434A">
        <w:trPr>
          <w:trHeight w:val="57"/>
        </w:trPr>
        <w:tc>
          <w:tcPr>
            <w:tcW w:w="312" w:type="pct"/>
            <w:tcBorders>
              <w:top w:val="nil"/>
              <w:left w:val="single" w:sz="4" w:space="0" w:color="000000"/>
              <w:bottom w:val="single" w:sz="4" w:space="0" w:color="000000"/>
              <w:right w:val="single" w:sz="4" w:space="0" w:color="000000"/>
            </w:tcBorders>
            <w:shd w:val="clear" w:color="auto" w:fill="auto"/>
            <w:noWrap/>
            <w:vAlign w:val="center"/>
            <w:hideMark/>
          </w:tcPr>
          <w:p w14:paraId="65C78F8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LLBT</w:t>
            </w:r>
          </w:p>
        </w:tc>
        <w:tc>
          <w:tcPr>
            <w:tcW w:w="465" w:type="pct"/>
            <w:tcBorders>
              <w:top w:val="nil"/>
              <w:left w:val="nil"/>
              <w:bottom w:val="single" w:sz="4" w:space="0" w:color="000000"/>
              <w:right w:val="single" w:sz="4" w:space="0" w:color="000000"/>
            </w:tcBorders>
            <w:shd w:val="clear" w:color="auto" w:fill="auto"/>
            <w:noWrap/>
            <w:vAlign w:val="center"/>
            <w:hideMark/>
          </w:tcPr>
          <w:p w14:paraId="33DA270E"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531904F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01E0A9D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22E0475E"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111EA5B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5FC8095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181A25DF"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3E2B8D6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465" w:type="pct"/>
            <w:tcBorders>
              <w:top w:val="nil"/>
              <w:left w:val="nil"/>
              <w:bottom w:val="single" w:sz="4" w:space="0" w:color="000000"/>
              <w:right w:val="single" w:sz="4" w:space="0" w:color="000000"/>
            </w:tcBorders>
            <w:shd w:val="clear" w:color="auto" w:fill="auto"/>
            <w:noWrap/>
            <w:vAlign w:val="center"/>
            <w:hideMark/>
          </w:tcPr>
          <w:p w14:paraId="27DC03B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c>
          <w:tcPr>
            <w:tcW w:w="503" w:type="pct"/>
            <w:tcBorders>
              <w:top w:val="nil"/>
              <w:left w:val="nil"/>
              <w:bottom w:val="single" w:sz="4" w:space="0" w:color="000000"/>
              <w:right w:val="single" w:sz="4" w:space="0" w:color="000000"/>
            </w:tcBorders>
            <w:shd w:val="clear" w:color="auto" w:fill="auto"/>
            <w:noWrap/>
            <w:vAlign w:val="center"/>
            <w:hideMark/>
          </w:tcPr>
          <w:p w14:paraId="3E86EA1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5</w:t>
            </w:r>
          </w:p>
        </w:tc>
      </w:tr>
      <w:tr w:rsidR="00EF3470" w:rsidRPr="00EF3470" w14:paraId="3E66ABD4" w14:textId="77777777" w:rsidTr="0085434A">
        <w:trPr>
          <w:trHeight w:val="57"/>
        </w:trPr>
        <w:tc>
          <w:tcPr>
            <w:tcW w:w="312" w:type="pct"/>
            <w:tcBorders>
              <w:top w:val="nil"/>
              <w:left w:val="single" w:sz="4" w:space="0" w:color="000000"/>
              <w:bottom w:val="single" w:sz="4" w:space="0" w:color="000000"/>
              <w:right w:val="single" w:sz="4" w:space="0" w:color="000000"/>
            </w:tcBorders>
            <w:shd w:val="clear" w:color="auto" w:fill="auto"/>
            <w:noWrap/>
            <w:vAlign w:val="center"/>
            <w:hideMark/>
          </w:tcPr>
          <w:p w14:paraId="1528306B"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STBC</w:t>
            </w:r>
          </w:p>
        </w:tc>
        <w:tc>
          <w:tcPr>
            <w:tcW w:w="465" w:type="pct"/>
            <w:tcBorders>
              <w:top w:val="nil"/>
              <w:left w:val="nil"/>
              <w:bottom w:val="single" w:sz="4" w:space="0" w:color="000000"/>
              <w:right w:val="single" w:sz="4" w:space="0" w:color="000000"/>
            </w:tcBorders>
            <w:shd w:val="clear" w:color="auto" w:fill="auto"/>
            <w:noWrap/>
            <w:vAlign w:val="center"/>
            <w:hideMark/>
          </w:tcPr>
          <w:p w14:paraId="41D6465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5455972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72939BCF"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23CD57B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17AA3F7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7951EFCD"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57698C6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073CFC4E"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465" w:type="pct"/>
            <w:tcBorders>
              <w:top w:val="nil"/>
              <w:left w:val="nil"/>
              <w:bottom w:val="single" w:sz="4" w:space="0" w:color="000000"/>
              <w:right w:val="single" w:sz="4" w:space="0" w:color="000000"/>
            </w:tcBorders>
            <w:shd w:val="clear" w:color="auto" w:fill="auto"/>
            <w:noWrap/>
            <w:vAlign w:val="center"/>
            <w:hideMark/>
          </w:tcPr>
          <w:p w14:paraId="49A7F37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c>
          <w:tcPr>
            <w:tcW w:w="503" w:type="pct"/>
            <w:tcBorders>
              <w:top w:val="nil"/>
              <w:left w:val="nil"/>
              <w:bottom w:val="single" w:sz="4" w:space="0" w:color="000000"/>
              <w:right w:val="single" w:sz="4" w:space="0" w:color="000000"/>
            </w:tcBorders>
            <w:shd w:val="clear" w:color="auto" w:fill="auto"/>
            <w:noWrap/>
            <w:vAlign w:val="center"/>
            <w:hideMark/>
          </w:tcPr>
          <w:p w14:paraId="4B34A9E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w:t>
            </w:r>
          </w:p>
        </w:tc>
      </w:tr>
      <w:tr w:rsidR="00EF3470" w:rsidRPr="00EF3470" w14:paraId="20D9D15B" w14:textId="77777777" w:rsidTr="0085434A">
        <w:trPr>
          <w:trHeight w:val="57"/>
        </w:trPr>
        <w:tc>
          <w:tcPr>
            <w:tcW w:w="312" w:type="pct"/>
            <w:tcBorders>
              <w:top w:val="nil"/>
              <w:left w:val="single" w:sz="4" w:space="0" w:color="000000"/>
              <w:bottom w:val="single" w:sz="4" w:space="0" w:color="000000"/>
              <w:right w:val="single" w:sz="4" w:space="0" w:color="000000"/>
            </w:tcBorders>
            <w:shd w:val="clear" w:color="auto" w:fill="auto"/>
            <w:noWrap/>
            <w:vAlign w:val="center"/>
            <w:hideMark/>
          </w:tcPr>
          <w:p w14:paraId="03DAC49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CSCR</w:t>
            </w:r>
          </w:p>
        </w:tc>
        <w:tc>
          <w:tcPr>
            <w:tcW w:w="465" w:type="pct"/>
            <w:tcBorders>
              <w:top w:val="nil"/>
              <w:left w:val="nil"/>
              <w:bottom w:val="single" w:sz="4" w:space="0" w:color="000000"/>
              <w:right w:val="single" w:sz="4" w:space="0" w:color="000000"/>
            </w:tcBorders>
            <w:shd w:val="clear" w:color="auto" w:fill="auto"/>
            <w:noWrap/>
            <w:vAlign w:val="center"/>
            <w:hideMark/>
          </w:tcPr>
          <w:p w14:paraId="7AB5009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0CE486F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361B3B3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4DBB029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1A5E7C3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35D060BD"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161BF7D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49FEFFDE"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465" w:type="pct"/>
            <w:tcBorders>
              <w:top w:val="nil"/>
              <w:left w:val="nil"/>
              <w:bottom w:val="single" w:sz="4" w:space="0" w:color="000000"/>
              <w:right w:val="single" w:sz="4" w:space="0" w:color="000000"/>
            </w:tcBorders>
            <w:shd w:val="clear" w:color="auto" w:fill="auto"/>
            <w:noWrap/>
            <w:vAlign w:val="center"/>
            <w:hideMark/>
          </w:tcPr>
          <w:p w14:paraId="56AAB38D"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c>
          <w:tcPr>
            <w:tcW w:w="503" w:type="pct"/>
            <w:tcBorders>
              <w:top w:val="nil"/>
              <w:left w:val="nil"/>
              <w:bottom w:val="single" w:sz="4" w:space="0" w:color="000000"/>
              <w:right w:val="single" w:sz="4" w:space="0" w:color="000000"/>
            </w:tcBorders>
            <w:shd w:val="clear" w:color="auto" w:fill="auto"/>
            <w:noWrap/>
            <w:vAlign w:val="center"/>
            <w:hideMark/>
          </w:tcPr>
          <w:p w14:paraId="6DB7022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6</w:t>
            </w:r>
          </w:p>
        </w:tc>
      </w:tr>
      <w:tr w:rsidR="00EF3470" w:rsidRPr="00EF3470" w14:paraId="2FC95918" w14:textId="77777777" w:rsidTr="0085434A">
        <w:trPr>
          <w:trHeight w:val="57"/>
        </w:trPr>
        <w:tc>
          <w:tcPr>
            <w:tcW w:w="312" w:type="pct"/>
            <w:tcBorders>
              <w:top w:val="nil"/>
              <w:left w:val="single" w:sz="4" w:space="0" w:color="000000"/>
              <w:bottom w:val="single" w:sz="4" w:space="0" w:color="000000"/>
              <w:right w:val="single" w:sz="4" w:space="0" w:color="000000"/>
            </w:tcBorders>
            <w:shd w:val="clear" w:color="auto" w:fill="auto"/>
            <w:noWrap/>
            <w:vAlign w:val="center"/>
            <w:hideMark/>
          </w:tcPr>
          <w:p w14:paraId="5F41656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MDGG</w:t>
            </w:r>
          </w:p>
        </w:tc>
        <w:tc>
          <w:tcPr>
            <w:tcW w:w="465" w:type="pct"/>
            <w:tcBorders>
              <w:top w:val="nil"/>
              <w:left w:val="nil"/>
              <w:bottom w:val="single" w:sz="4" w:space="0" w:color="000000"/>
              <w:right w:val="single" w:sz="4" w:space="0" w:color="000000"/>
            </w:tcBorders>
            <w:shd w:val="clear" w:color="auto" w:fill="auto"/>
            <w:noWrap/>
            <w:vAlign w:val="center"/>
            <w:hideMark/>
          </w:tcPr>
          <w:p w14:paraId="6ADBF5F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1378AF0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17DF310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6867B33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6D52A27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162E86A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11F0276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452494DA"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465" w:type="pct"/>
            <w:tcBorders>
              <w:top w:val="nil"/>
              <w:left w:val="nil"/>
              <w:bottom w:val="single" w:sz="4" w:space="0" w:color="000000"/>
              <w:right w:val="single" w:sz="4" w:space="0" w:color="000000"/>
            </w:tcBorders>
            <w:shd w:val="clear" w:color="auto" w:fill="auto"/>
            <w:noWrap/>
            <w:vAlign w:val="center"/>
            <w:hideMark/>
          </w:tcPr>
          <w:p w14:paraId="276F416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c>
          <w:tcPr>
            <w:tcW w:w="503" w:type="pct"/>
            <w:tcBorders>
              <w:top w:val="nil"/>
              <w:left w:val="nil"/>
              <w:bottom w:val="single" w:sz="4" w:space="0" w:color="000000"/>
              <w:right w:val="single" w:sz="4" w:space="0" w:color="000000"/>
            </w:tcBorders>
            <w:shd w:val="clear" w:color="auto" w:fill="auto"/>
            <w:noWrap/>
            <w:vAlign w:val="center"/>
            <w:hideMark/>
          </w:tcPr>
          <w:p w14:paraId="722C7D2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4</w:t>
            </w:r>
          </w:p>
        </w:tc>
      </w:tr>
      <w:tr w:rsidR="00EF3470" w:rsidRPr="00EF3470" w14:paraId="7E1488AA" w14:textId="77777777" w:rsidTr="0085434A">
        <w:trPr>
          <w:trHeight w:val="57"/>
        </w:trPr>
        <w:tc>
          <w:tcPr>
            <w:tcW w:w="312" w:type="pct"/>
            <w:tcBorders>
              <w:top w:val="nil"/>
              <w:left w:val="single" w:sz="4" w:space="0" w:color="000000"/>
              <w:bottom w:val="single" w:sz="4" w:space="0" w:color="000000"/>
              <w:right w:val="single" w:sz="4" w:space="0" w:color="000000"/>
            </w:tcBorders>
            <w:shd w:val="clear" w:color="auto" w:fill="auto"/>
            <w:noWrap/>
            <w:vAlign w:val="center"/>
            <w:hideMark/>
          </w:tcPr>
          <w:p w14:paraId="5A6BBC2B"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sz w:val="16"/>
                <w:szCs w:val="16"/>
              </w:rPr>
              <w:t>SBYL</w:t>
            </w:r>
          </w:p>
        </w:tc>
        <w:tc>
          <w:tcPr>
            <w:tcW w:w="465" w:type="pct"/>
            <w:tcBorders>
              <w:top w:val="nil"/>
              <w:left w:val="nil"/>
              <w:bottom w:val="single" w:sz="4" w:space="0" w:color="000000"/>
              <w:right w:val="single" w:sz="4" w:space="0" w:color="000000"/>
            </w:tcBorders>
            <w:shd w:val="clear" w:color="auto" w:fill="auto"/>
            <w:noWrap/>
            <w:vAlign w:val="center"/>
            <w:hideMark/>
          </w:tcPr>
          <w:p w14:paraId="721E9E4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1BAAEFC6"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07BD3AA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017FC33B"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1D71688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22C2EDF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2B2EE3B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40E1FB2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465" w:type="pct"/>
            <w:tcBorders>
              <w:top w:val="nil"/>
              <w:left w:val="nil"/>
              <w:bottom w:val="single" w:sz="4" w:space="0" w:color="000000"/>
              <w:right w:val="single" w:sz="4" w:space="0" w:color="000000"/>
            </w:tcBorders>
            <w:shd w:val="clear" w:color="auto" w:fill="auto"/>
            <w:noWrap/>
            <w:vAlign w:val="center"/>
            <w:hideMark/>
          </w:tcPr>
          <w:p w14:paraId="386C839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c>
          <w:tcPr>
            <w:tcW w:w="503" w:type="pct"/>
            <w:tcBorders>
              <w:top w:val="nil"/>
              <w:left w:val="nil"/>
              <w:bottom w:val="single" w:sz="4" w:space="0" w:color="000000"/>
              <w:right w:val="single" w:sz="4" w:space="0" w:color="000000"/>
            </w:tcBorders>
            <w:shd w:val="clear" w:color="auto" w:fill="auto"/>
            <w:noWrap/>
            <w:vAlign w:val="center"/>
            <w:hideMark/>
          </w:tcPr>
          <w:p w14:paraId="3601CCA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3</w:t>
            </w:r>
          </w:p>
        </w:tc>
      </w:tr>
    </w:tbl>
    <w:p w14:paraId="74CBE0D5" w14:textId="7AC50CDA" w:rsidR="00EF3470" w:rsidRPr="001813BC" w:rsidRDefault="00EF3470" w:rsidP="00EF3470">
      <w:pPr>
        <w:spacing w:before="120" w:after="120" w:line="240" w:lineRule="auto"/>
        <w:jc w:val="both"/>
        <w:rPr>
          <w:rFonts w:ascii="Times New Roman"/>
          <w:b/>
          <w:bCs/>
          <w:i/>
          <w:iCs/>
          <w:sz w:val="20"/>
          <w:szCs w:val="20"/>
        </w:rPr>
      </w:pPr>
      <w:r w:rsidRPr="001813BC">
        <w:rPr>
          <w:rFonts w:ascii="Times New Roman"/>
          <w:b/>
          <w:bCs/>
          <w:i/>
          <w:iCs/>
          <w:sz w:val="20"/>
          <w:szCs w:val="20"/>
        </w:rPr>
        <w:t>Comparative Analysis using STPYF TOPSIS</w:t>
      </w:r>
    </w:p>
    <w:p w14:paraId="4C7D4DFA" w14:textId="77777777" w:rsidR="00EF3470" w:rsidRPr="001813BC" w:rsidRDefault="00EF3470" w:rsidP="00EF3470">
      <w:pPr>
        <w:spacing w:before="120" w:after="120" w:line="240" w:lineRule="auto"/>
        <w:jc w:val="both"/>
        <w:rPr>
          <w:rFonts w:ascii="Times New Roman"/>
          <w:sz w:val="20"/>
          <w:szCs w:val="20"/>
        </w:rPr>
      </w:pPr>
      <w:r w:rsidRPr="001813BC">
        <w:rPr>
          <w:rFonts w:ascii="Times New Roman"/>
          <w:sz w:val="20"/>
          <w:szCs w:val="20"/>
        </w:rPr>
        <w:t>The result of ranking of technical requirements for battery integration to microgrids is compared with a second ranking algorithm to demonstrate the robustness of the ranking results. The results of the RATGOS method are compared with the STPYF-TOPSIS method to demonstrate the reliability of the findings. The main results are denoted in Table 9.</w:t>
      </w:r>
    </w:p>
    <w:p w14:paraId="7E2560BC" w14:textId="77777777" w:rsidR="00EF3470" w:rsidRPr="001813BC" w:rsidRDefault="00EF3470" w:rsidP="00EF3470">
      <w:pPr>
        <w:jc w:val="center"/>
        <w:rPr>
          <w:rFonts w:ascii="Times New Roman"/>
          <w:b/>
          <w:bCs/>
          <w:sz w:val="20"/>
          <w:szCs w:val="20"/>
        </w:rPr>
      </w:pPr>
      <w:r w:rsidRPr="001813BC">
        <w:rPr>
          <w:rFonts w:ascii="Times New Roman"/>
          <w:b/>
          <w:bCs/>
          <w:sz w:val="20"/>
          <w:szCs w:val="20"/>
        </w:rPr>
        <w:t>Table 9: Result of Two Analysis</w:t>
      </w:r>
    </w:p>
    <w:tbl>
      <w:tblPr>
        <w:tblW w:w="2490" w:type="pct"/>
        <w:jc w:val="center"/>
        <w:tblCellMar>
          <w:left w:w="70" w:type="dxa"/>
          <w:right w:w="70" w:type="dxa"/>
        </w:tblCellMar>
        <w:tblLook w:val="04A0" w:firstRow="1" w:lastRow="0" w:firstColumn="1" w:lastColumn="0" w:noHBand="0" w:noVBand="1"/>
      </w:tblPr>
      <w:tblGrid>
        <w:gridCol w:w="924"/>
        <w:gridCol w:w="2242"/>
        <w:gridCol w:w="2073"/>
      </w:tblGrid>
      <w:tr w:rsidR="00EF3470" w:rsidRPr="00EF3470" w14:paraId="551B41F9" w14:textId="77777777" w:rsidTr="0085434A">
        <w:trPr>
          <w:trHeight w:val="20"/>
          <w:jc w:val="center"/>
        </w:trPr>
        <w:tc>
          <w:tcPr>
            <w:tcW w:w="8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D023B" w14:textId="77777777" w:rsidR="00EF3470" w:rsidRPr="00EF3470" w:rsidRDefault="00EF3470" w:rsidP="0085434A">
            <w:pPr>
              <w:spacing w:after="0" w:line="240" w:lineRule="auto"/>
              <w:jc w:val="center"/>
              <w:rPr>
                <w:rFonts w:ascii="Times New Roman"/>
                <w:b/>
                <w:bCs/>
                <w:color w:val="000000"/>
                <w:sz w:val="16"/>
                <w:szCs w:val="16"/>
                <w:lang w:eastAsia="tr-TR"/>
              </w:rPr>
            </w:pPr>
          </w:p>
        </w:tc>
        <w:tc>
          <w:tcPr>
            <w:tcW w:w="2140" w:type="pct"/>
            <w:tcBorders>
              <w:top w:val="single" w:sz="4" w:space="0" w:color="auto"/>
              <w:left w:val="nil"/>
              <w:bottom w:val="single" w:sz="4" w:space="0" w:color="auto"/>
              <w:right w:val="single" w:sz="4" w:space="0" w:color="auto"/>
            </w:tcBorders>
            <w:shd w:val="clear" w:color="auto" w:fill="auto"/>
            <w:noWrap/>
            <w:vAlign w:val="center"/>
            <w:hideMark/>
          </w:tcPr>
          <w:p w14:paraId="574B8E0A"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STPYF RATGOS</w:t>
            </w:r>
          </w:p>
        </w:tc>
        <w:tc>
          <w:tcPr>
            <w:tcW w:w="1978" w:type="pct"/>
            <w:tcBorders>
              <w:top w:val="single" w:sz="4" w:space="0" w:color="auto"/>
              <w:left w:val="nil"/>
              <w:bottom w:val="single" w:sz="4" w:space="0" w:color="auto"/>
              <w:right w:val="single" w:sz="4" w:space="0" w:color="auto"/>
            </w:tcBorders>
            <w:shd w:val="clear" w:color="auto" w:fill="auto"/>
            <w:noWrap/>
            <w:vAlign w:val="center"/>
            <w:hideMark/>
          </w:tcPr>
          <w:p w14:paraId="0894F22C" w14:textId="77777777" w:rsidR="00EF3470" w:rsidRPr="00EF3470" w:rsidRDefault="00EF3470" w:rsidP="0085434A">
            <w:pPr>
              <w:spacing w:after="0" w:line="240" w:lineRule="auto"/>
              <w:jc w:val="center"/>
              <w:rPr>
                <w:rFonts w:ascii="Times New Roman"/>
                <w:b/>
                <w:bCs/>
                <w:color w:val="000000"/>
                <w:sz w:val="16"/>
                <w:szCs w:val="16"/>
                <w:lang w:eastAsia="tr-TR"/>
              </w:rPr>
            </w:pPr>
            <w:r w:rsidRPr="00EF3470">
              <w:rPr>
                <w:rFonts w:ascii="Times New Roman"/>
                <w:b/>
                <w:bCs/>
                <w:color w:val="000000"/>
                <w:sz w:val="16"/>
                <w:szCs w:val="16"/>
                <w:lang w:eastAsia="tr-TR"/>
              </w:rPr>
              <w:t>STPYF TOPSIS</w:t>
            </w:r>
          </w:p>
        </w:tc>
      </w:tr>
      <w:tr w:rsidR="00EF3470" w:rsidRPr="00EF3470" w14:paraId="5AB9ECA8" w14:textId="77777777" w:rsidTr="0085434A">
        <w:trPr>
          <w:trHeight w:val="20"/>
          <w:jc w:val="center"/>
        </w:trPr>
        <w:tc>
          <w:tcPr>
            <w:tcW w:w="882" w:type="pct"/>
            <w:tcBorders>
              <w:top w:val="nil"/>
              <w:left w:val="single" w:sz="4" w:space="0" w:color="auto"/>
              <w:bottom w:val="single" w:sz="4" w:space="0" w:color="auto"/>
              <w:right w:val="single" w:sz="4" w:space="0" w:color="auto"/>
            </w:tcBorders>
            <w:shd w:val="clear" w:color="auto" w:fill="auto"/>
            <w:vAlign w:val="center"/>
            <w:hideMark/>
          </w:tcPr>
          <w:p w14:paraId="11BECBF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CNGS</w:t>
            </w:r>
          </w:p>
        </w:tc>
        <w:tc>
          <w:tcPr>
            <w:tcW w:w="2140" w:type="pct"/>
            <w:tcBorders>
              <w:top w:val="nil"/>
              <w:left w:val="nil"/>
              <w:bottom w:val="single" w:sz="4" w:space="0" w:color="auto"/>
              <w:right w:val="single" w:sz="4" w:space="0" w:color="auto"/>
            </w:tcBorders>
            <w:shd w:val="clear" w:color="auto" w:fill="auto"/>
            <w:noWrap/>
            <w:vAlign w:val="center"/>
            <w:hideMark/>
          </w:tcPr>
          <w:p w14:paraId="5FA2B843"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.1305</w:t>
            </w:r>
          </w:p>
        </w:tc>
        <w:tc>
          <w:tcPr>
            <w:tcW w:w="1978" w:type="pct"/>
            <w:tcBorders>
              <w:top w:val="nil"/>
              <w:left w:val="nil"/>
              <w:bottom w:val="single" w:sz="4" w:space="0" w:color="auto"/>
              <w:right w:val="single" w:sz="4" w:space="0" w:color="auto"/>
            </w:tcBorders>
            <w:shd w:val="clear" w:color="auto" w:fill="auto"/>
            <w:noWrap/>
            <w:vAlign w:val="center"/>
            <w:hideMark/>
          </w:tcPr>
          <w:p w14:paraId="0083C8C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.852</w:t>
            </w:r>
          </w:p>
        </w:tc>
      </w:tr>
      <w:tr w:rsidR="00EF3470" w:rsidRPr="00EF3470" w14:paraId="15F82526" w14:textId="77777777" w:rsidTr="0085434A">
        <w:trPr>
          <w:trHeight w:val="20"/>
          <w:jc w:val="center"/>
        </w:trPr>
        <w:tc>
          <w:tcPr>
            <w:tcW w:w="882" w:type="pct"/>
            <w:tcBorders>
              <w:top w:val="nil"/>
              <w:left w:val="single" w:sz="4" w:space="0" w:color="auto"/>
              <w:bottom w:val="single" w:sz="4" w:space="0" w:color="auto"/>
              <w:right w:val="single" w:sz="4" w:space="0" w:color="auto"/>
            </w:tcBorders>
            <w:shd w:val="clear" w:color="auto" w:fill="auto"/>
            <w:vAlign w:val="center"/>
            <w:hideMark/>
          </w:tcPr>
          <w:p w14:paraId="29B8C0A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STGY</w:t>
            </w:r>
          </w:p>
        </w:tc>
        <w:tc>
          <w:tcPr>
            <w:tcW w:w="2140" w:type="pct"/>
            <w:tcBorders>
              <w:top w:val="nil"/>
              <w:left w:val="nil"/>
              <w:bottom w:val="single" w:sz="4" w:space="0" w:color="auto"/>
              <w:right w:val="single" w:sz="4" w:space="0" w:color="auto"/>
            </w:tcBorders>
            <w:shd w:val="clear" w:color="auto" w:fill="auto"/>
            <w:noWrap/>
            <w:vAlign w:val="center"/>
            <w:hideMark/>
          </w:tcPr>
          <w:p w14:paraId="2FC2860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.0422</w:t>
            </w:r>
          </w:p>
        </w:tc>
        <w:tc>
          <w:tcPr>
            <w:tcW w:w="1978" w:type="pct"/>
            <w:tcBorders>
              <w:top w:val="nil"/>
              <w:left w:val="nil"/>
              <w:bottom w:val="single" w:sz="4" w:space="0" w:color="auto"/>
              <w:right w:val="single" w:sz="4" w:space="0" w:color="auto"/>
            </w:tcBorders>
            <w:shd w:val="clear" w:color="auto" w:fill="auto"/>
            <w:noWrap/>
            <w:vAlign w:val="center"/>
            <w:hideMark/>
          </w:tcPr>
          <w:p w14:paraId="549C947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.019</w:t>
            </w:r>
          </w:p>
        </w:tc>
      </w:tr>
      <w:tr w:rsidR="00EF3470" w:rsidRPr="00EF3470" w14:paraId="344E6E82" w14:textId="77777777" w:rsidTr="0085434A">
        <w:trPr>
          <w:trHeight w:val="20"/>
          <w:jc w:val="center"/>
        </w:trPr>
        <w:tc>
          <w:tcPr>
            <w:tcW w:w="882" w:type="pct"/>
            <w:tcBorders>
              <w:top w:val="nil"/>
              <w:left w:val="single" w:sz="4" w:space="0" w:color="auto"/>
              <w:bottom w:val="single" w:sz="4" w:space="0" w:color="auto"/>
              <w:right w:val="single" w:sz="4" w:space="0" w:color="auto"/>
            </w:tcBorders>
            <w:shd w:val="clear" w:color="auto" w:fill="auto"/>
            <w:vAlign w:val="center"/>
            <w:hideMark/>
          </w:tcPr>
          <w:p w14:paraId="6BB5D1B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PTMS</w:t>
            </w:r>
          </w:p>
        </w:tc>
        <w:tc>
          <w:tcPr>
            <w:tcW w:w="2140" w:type="pct"/>
            <w:tcBorders>
              <w:top w:val="nil"/>
              <w:left w:val="nil"/>
              <w:bottom w:val="single" w:sz="4" w:space="0" w:color="auto"/>
              <w:right w:val="single" w:sz="4" w:space="0" w:color="auto"/>
            </w:tcBorders>
            <w:shd w:val="clear" w:color="auto" w:fill="auto"/>
            <w:noWrap/>
            <w:vAlign w:val="center"/>
            <w:hideMark/>
          </w:tcPr>
          <w:p w14:paraId="393B01B8"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.1657</w:t>
            </w:r>
          </w:p>
        </w:tc>
        <w:tc>
          <w:tcPr>
            <w:tcW w:w="1978" w:type="pct"/>
            <w:tcBorders>
              <w:top w:val="nil"/>
              <w:left w:val="nil"/>
              <w:bottom w:val="single" w:sz="4" w:space="0" w:color="auto"/>
              <w:right w:val="single" w:sz="4" w:space="0" w:color="auto"/>
            </w:tcBorders>
            <w:shd w:val="clear" w:color="auto" w:fill="auto"/>
            <w:noWrap/>
            <w:vAlign w:val="center"/>
            <w:hideMark/>
          </w:tcPr>
          <w:p w14:paraId="27BDB827"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1.00</w:t>
            </w:r>
          </w:p>
        </w:tc>
      </w:tr>
      <w:tr w:rsidR="00EF3470" w:rsidRPr="00EF3470" w14:paraId="5EA507E8" w14:textId="77777777" w:rsidTr="0085434A">
        <w:trPr>
          <w:trHeight w:val="20"/>
          <w:jc w:val="center"/>
        </w:trPr>
        <w:tc>
          <w:tcPr>
            <w:tcW w:w="882" w:type="pct"/>
            <w:tcBorders>
              <w:top w:val="nil"/>
              <w:left w:val="single" w:sz="4" w:space="0" w:color="auto"/>
              <w:bottom w:val="single" w:sz="4" w:space="0" w:color="auto"/>
              <w:right w:val="single" w:sz="4" w:space="0" w:color="auto"/>
            </w:tcBorders>
            <w:shd w:val="clear" w:color="auto" w:fill="auto"/>
            <w:vAlign w:val="center"/>
            <w:hideMark/>
          </w:tcPr>
          <w:p w14:paraId="3FF24FDC"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LWTT</w:t>
            </w:r>
          </w:p>
        </w:tc>
        <w:tc>
          <w:tcPr>
            <w:tcW w:w="2140" w:type="pct"/>
            <w:tcBorders>
              <w:top w:val="nil"/>
              <w:left w:val="nil"/>
              <w:bottom w:val="single" w:sz="4" w:space="0" w:color="auto"/>
              <w:right w:val="single" w:sz="4" w:space="0" w:color="auto"/>
            </w:tcBorders>
            <w:shd w:val="clear" w:color="auto" w:fill="auto"/>
            <w:noWrap/>
            <w:vAlign w:val="center"/>
            <w:hideMark/>
          </w:tcPr>
          <w:p w14:paraId="4DEE949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.0273</w:t>
            </w:r>
          </w:p>
        </w:tc>
        <w:tc>
          <w:tcPr>
            <w:tcW w:w="1978" w:type="pct"/>
            <w:tcBorders>
              <w:top w:val="nil"/>
              <w:left w:val="nil"/>
              <w:bottom w:val="single" w:sz="4" w:space="0" w:color="auto"/>
              <w:right w:val="single" w:sz="4" w:space="0" w:color="auto"/>
            </w:tcBorders>
            <w:shd w:val="clear" w:color="auto" w:fill="auto"/>
            <w:noWrap/>
            <w:vAlign w:val="center"/>
            <w:hideMark/>
          </w:tcPr>
          <w:p w14:paraId="54C68339"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.004</w:t>
            </w:r>
          </w:p>
        </w:tc>
      </w:tr>
      <w:tr w:rsidR="00EF3470" w:rsidRPr="00EF3470" w14:paraId="636B8FB2" w14:textId="77777777" w:rsidTr="0085434A">
        <w:trPr>
          <w:trHeight w:val="20"/>
          <w:jc w:val="center"/>
        </w:trPr>
        <w:tc>
          <w:tcPr>
            <w:tcW w:w="882" w:type="pct"/>
            <w:tcBorders>
              <w:top w:val="nil"/>
              <w:left w:val="single" w:sz="4" w:space="0" w:color="auto"/>
              <w:bottom w:val="single" w:sz="4" w:space="0" w:color="auto"/>
              <w:right w:val="single" w:sz="4" w:space="0" w:color="auto"/>
            </w:tcBorders>
            <w:shd w:val="clear" w:color="auto" w:fill="auto"/>
            <w:vAlign w:val="center"/>
            <w:hideMark/>
          </w:tcPr>
          <w:p w14:paraId="7C2D4630"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FTPG</w:t>
            </w:r>
          </w:p>
        </w:tc>
        <w:tc>
          <w:tcPr>
            <w:tcW w:w="2140" w:type="pct"/>
            <w:tcBorders>
              <w:top w:val="nil"/>
              <w:left w:val="nil"/>
              <w:bottom w:val="single" w:sz="4" w:space="0" w:color="auto"/>
              <w:right w:val="single" w:sz="4" w:space="0" w:color="auto"/>
            </w:tcBorders>
            <w:shd w:val="clear" w:color="auto" w:fill="auto"/>
            <w:noWrap/>
            <w:vAlign w:val="center"/>
            <w:hideMark/>
          </w:tcPr>
          <w:p w14:paraId="6FEAA9C1"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.0445</w:t>
            </w:r>
          </w:p>
        </w:tc>
        <w:tc>
          <w:tcPr>
            <w:tcW w:w="1978" w:type="pct"/>
            <w:tcBorders>
              <w:top w:val="nil"/>
              <w:left w:val="nil"/>
              <w:bottom w:val="single" w:sz="4" w:space="0" w:color="auto"/>
              <w:right w:val="single" w:sz="4" w:space="0" w:color="auto"/>
            </w:tcBorders>
            <w:shd w:val="clear" w:color="auto" w:fill="auto"/>
            <w:noWrap/>
            <w:vAlign w:val="center"/>
            <w:hideMark/>
          </w:tcPr>
          <w:p w14:paraId="187F36F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.046</w:t>
            </w:r>
          </w:p>
        </w:tc>
      </w:tr>
      <w:tr w:rsidR="00EF3470" w:rsidRPr="00EF3470" w14:paraId="5B04914B" w14:textId="77777777" w:rsidTr="00F24E56">
        <w:trPr>
          <w:trHeight w:val="20"/>
          <w:jc w:val="center"/>
        </w:trPr>
        <w:tc>
          <w:tcPr>
            <w:tcW w:w="882" w:type="pct"/>
            <w:tcBorders>
              <w:top w:val="nil"/>
              <w:left w:val="single" w:sz="4" w:space="0" w:color="auto"/>
              <w:bottom w:val="nil"/>
              <w:right w:val="single" w:sz="4" w:space="0" w:color="auto"/>
            </w:tcBorders>
            <w:shd w:val="clear" w:color="auto" w:fill="auto"/>
            <w:vAlign w:val="center"/>
            <w:hideMark/>
          </w:tcPr>
          <w:p w14:paraId="307478D4"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FBXT</w:t>
            </w:r>
          </w:p>
        </w:tc>
        <w:tc>
          <w:tcPr>
            <w:tcW w:w="2140" w:type="pct"/>
            <w:tcBorders>
              <w:top w:val="nil"/>
              <w:left w:val="nil"/>
              <w:bottom w:val="nil"/>
              <w:right w:val="single" w:sz="4" w:space="0" w:color="auto"/>
            </w:tcBorders>
            <w:shd w:val="clear" w:color="auto" w:fill="auto"/>
            <w:noWrap/>
            <w:vAlign w:val="center"/>
            <w:hideMark/>
          </w:tcPr>
          <w:p w14:paraId="7F4C3CB2"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.0467</w:t>
            </w:r>
          </w:p>
        </w:tc>
        <w:tc>
          <w:tcPr>
            <w:tcW w:w="1978" w:type="pct"/>
            <w:tcBorders>
              <w:top w:val="nil"/>
              <w:left w:val="nil"/>
              <w:bottom w:val="nil"/>
              <w:right w:val="single" w:sz="4" w:space="0" w:color="auto"/>
            </w:tcBorders>
            <w:shd w:val="clear" w:color="auto" w:fill="auto"/>
            <w:noWrap/>
            <w:vAlign w:val="center"/>
            <w:hideMark/>
          </w:tcPr>
          <w:p w14:paraId="2AC17725" w14:textId="77777777" w:rsidR="00EF3470" w:rsidRPr="00EF3470" w:rsidRDefault="00EF3470" w:rsidP="0085434A">
            <w:pPr>
              <w:spacing w:after="0" w:line="240" w:lineRule="auto"/>
              <w:jc w:val="center"/>
              <w:rPr>
                <w:rFonts w:ascii="Times New Roman"/>
                <w:color w:val="000000"/>
                <w:sz w:val="16"/>
                <w:szCs w:val="16"/>
                <w:lang w:eastAsia="tr-TR"/>
              </w:rPr>
            </w:pPr>
            <w:r w:rsidRPr="00EF3470">
              <w:rPr>
                <w:rFonts w:ascii="Times New Roman"/>
                <w:color w:val="000000"/>
                <w:sz w:val="16"/>
                <w:szCs w:val="16"/>
                <w:lang w:eastAsia="tr-TR"/>
              </w:rPr>
              <w:t>.038</w:t>
            </w:r>
          </w:p>
        </w:tc>
      </w:tr>
      <w:tr w:rsidR="00F24E56" w:rsidRPr="00EF3470" w14:paraId="3577B467" w14:textId="77777777" w:rsidTr="0085434A">
        <w:trPr>
          <w:trHeight w:val="20"/>
          <w:jc w:val="center"/>
        </w:trPr>
        <w:tc>
          <w:tcPr>
            <w:tcW w:w="882" w:type="pct"/>
            <w:tcBorders>
              <w:top w:val="nil"/>
              <w:left w:val="single" w:sz="4" w:space="0" w:color="auto"/>
              <w:bottom w:val="single" w:sz="4" w:space="0" w:color="auto"/>
              <w:right w:val="single" w:sz="4" w:space="0" w:color="auto"/>
            </w:tcBorders>
            <w:shd w:val="clear" w:color="auto" w:fill="auto"/>
            <w:vAlign w:val="center"/>
          </w:tcPr>
          <w:p w14:paraId="109864D4" w14:textId="77777777" w:rsidR="00F24E56" w:rsidRPr="00EF3470" w:rsidRDefault="00F24E56" w:rsidP="0085434A">
            <w:pPr>
              <w:spacing w:after="0" w:line="240" w:lineRule="auto"/>
              <w:jc w:val="center"/>
              <w:rPr>
                <w:rFonts w:ascii="Times New Roman"/>
                <w:color w:val="000000"/>
                <w:sz w:val="16"/>
                <w:szCs w:val="16"/>
                <w:lang w:eastAsia="tr-TR"/>
              </w:rPr>
            </w:pPr>
          </w:p>
        </w:tc>
        <w:tc>
          <w:tcPr>
            <w:tcW w:w="2140" w:type="pct"/>
            <w:tcBorders>
              <w:top w:val="nil"/>
              <w:left w:val="nil"/>
              <w:bottom w:val="single" w:sz="4" w:space="0" w:color="auto"/>
              <w:right w:val="single" w:sz="4" w:space="0" w:color="auto"/>
            </w:tcBorders>
            <w:shd w:val="clear" w:color="auto" w:fill="auto"/>
            <w:noWrap/>
            <w:vAlign w:val="center"/>
          </w:tcPr>
          <w:p w14:paraId="4160D2EF" w14:textId="77777777" w:rsidR="00F24E56" w:rsidRPr="00EF3470" w:rsidRDefault="00F24E56" w:rsidP="0085434A">
            <w:pPr>
              <w:spacing w:after="0" w:line="240" w:lineRule="auto"/>
              <w:jc w:val="center"/>
              <w:rPr>
                <w:rFonts w:ascii="Times New Roman"/>
                <w:color w:val="000000"/>
                <w:sz w:val="16"/>
                <w:szCs w:val="16"/>
                <w:lang w:eastAsia="tr-TR"/>
              </w:rPr>
            </w:pPr>
          </w:p>
        </w:tc>
        <w:tc>
          <w:tcPr>
            <w:tcW w:w="1978" w:type="pct"/>
            <w:tcBorders>
              <w:top w:val="nil"/>
              <w:left w:val="nil"/>
              <w:bottom w:val="single" w:sz="4" w:space="0" w:color="auto"/>
              <w:right w:val="single" w:sz="4" w:space="0" w:color="auto"/>
            </w:tcBorders>
            <w:shd w:val="clear" w:color="auto" w:fill="auto"/>
            <w:noWrap/>
            <w:vAlign w:val="center"/>
          </w:tcPr>
          <w:p w14:paraId="3A890453" w14:textId="77777777" w:rsidR="00F24E56" w:rsidRPr="00EF3470" w:rsidRDefault="00F24E56" w:rsidP="0085434A">
            <w:pPr>
              <w:spacing w:after="0" w:line="240" w:lineRule="auto"/>
              <w:jc w:val="center"/>
              <w:rPr>
                <w:rFonts w:ascii="Times New Roman"/>
                <w:color w:val="000000"/>
                <w:sz w:val="16"/>
                <w:szCs w:val="16"/>
                <w:lang w:eastAsia="tr-TR"/>
              </w:rPr>
            </w:pPr>
          </w:p>
        </w:tc>
      </w:tr>
    </w:tbl>
    <w:p w14:paraId="5946D5B1" w14:textId="77777777" w:rsidR="00EF3470" w:rsidRDefault="00EF3470" w:rsidP="00EF3470">
      <w:pPr>
        <w:spacing w:before="120" w:after="120" w:line="240" w:lineRule="auto"/>
        <w:jc w:val="both"/>
        <w:rPr>
          <w:rFonts w:ascii="Times New Roman"/>
          <w:sz w:val="20"/>
          <w:szCs w:val="20"/>
        </w:rPr>
      </w:pPr>
      <w:r w:rsidRPr="001813BC">
        <w:rPr>
          <w:rFonts w:ascii="Times New Roman"/>
          <w:sz w:val="20"/>
          <w:szCs w:val="20"/>
        </w:rPr>
        <w:t>According to the results of the two methods used to rank the alternatives, the ranking is depicted in Figure 2.</w:t>
      </w:r>
    </w:p>
    <w:p w14:paraId="4B6A4D4C" w14:textId="77777777" w:rsidR="00F24E56" w:rsidRPr="001813BC" w:rsidRDefault="00F24E56" w:rsidP="00EF3470">
      <w:pPr>
        <w:spacing w:before="120" w:after="120" w:line="240" w:lineRule="auto"/>
        <w:jc w:val="both"/>
        <w:rPr>
          <w:rFonts w:ascii="Times New Roman"/>
          <w:sz w:val="20"/>
          <w:szCs w:val="20"/>
        </w:rPr>
      </w:pPr>
    </w:p>
    <w:p w14:paraId="0D80D347" w14:textId="77777777" w:rsidR="00EF3470" w:rsidRPr="001813BC" w:rsidRDefault="00EF3470" w:rsidP="00EF3470">
      <w:pPr>
        <w:spacing w:before="120" w:after="120" w:line="240" w:lineRule="auto"/>
        <w:jc w:val="center"/>
        <w:rPr>
          <w:rFonts w:ascii="Times New Roman"/>
          <w:sz w:val="20"/>
          <w:szCs w:val="20"/>
        </w:rPr>
      </w:pPr>
      <w:r w:rsidRPr="001813BC">
        <w:rPr>
          <w:noProof/>
          <w:lang w:val="en-IN" w:eastAsia="en-IN"/>
        </w:rPr>
        <w:drawing>
          <wp:inline distT="0" distB="0" distL="0" distR="0" wp14:anchorId="2F64F260" wp14:editId="46719D99">
            <wp:extent cx="4267200" cy="1685925"/>
            <wp:effectExtent l="0" t="0" r="0" b="9525"/>
            <wp:docPr id="659657184" name="Grafik 1">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E349912-CF3A-80CD-D2C8-A9B2C9D3B7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35F475" w14:textId="77777777" w:rsidR="00EF3470" w:rsidRPr="001813BC" w:rsidRDefault="00EF3470" w:rsidP="00EF3470">
      <w:pPr>
        <w:spacing w:before="120" w:after="120" w:line="240" w:lineRule="auto"/>
        <w:jc w:val="center"/>
        <w:rPr>
          <w:rFonts w:ascii="Times New Roman"/>
          <w:b/>
          <w:bCs/>
          <w:sz w:val="20"/>
          <w:szCs w:val="20"/>
        </w:rPr>
      </w:pPr>
      <w:r w:rsidRPr="001813BC">
        <w:rPr>
          <w:rFonts w:ascii="Times New Roman"/>
          <w:b/>
          <w:bCs/>
          <w:sz w:val="20"/>
          <w:szCs w:val="20"/>
        </w:rPr>
        <w:t>Figure 2: Ranking Results of Alternatives</w:t>
      </w:r>
    </w:p>
    <w:p w14:paraId="0AEFDFAF" w14:textId="77777777" w:rsidR="00EF3470" w:rsidRPr="001813BC" w:rsidRDefault="00EF3470" w:rsidP="00EF3470">
      <w:pPr>
        <w:jc w:val="both"/>
        <w:rPr>
          <w:rFonts w:ascii="Times New Roman"/>
          <w:sz w:val="20"/>
          <w:szCs w:val="20"/>
        </w:rPr>
      </w:pPr>
      <w:r w:rsidRPr="001813BC">
        <w:rPr>
          <w:rFonts w:ascii="Times New Roman"/>
          <w:sz w:val="20"/>
          <w:szCs w:val="20"/>
        </w:rPr>
        <w:t xml:space="preserve">Figure 2 identifies that the findings are similar for RATGOS and TOPSIS. It is concluded that the proposed model generate coherent solutions. </w:t>
      </w:r>
    </w:p>
    <w:bookmarkEnd w:id="5"/>
    <w:p w14:paraId="78E1AB9F" w14:textId="6E935C89" w:rsidR="00F24E56" w:rsidRPr="001813BC" w:rsidRDefault="00F24E56" w:rsidP="00F24E56">
      <w:pPr>
        <w:jc w:val="center"/>
        <w:rPr>
          <w:rFonts w:ascii="Times New Roman"/>
          <w:b/>
          <w:bCs/>
          <w:sz w:val="20"/>
          <w:szCs w:val="20"/>
        </w:rPr>
      </w:pPr>
      <w:r>
        <w:rPr>
          <w:rFonts w:ascii="Times New Roman"/>
          <w:b/>
          <w:bCs/>
          <w:sz w:val="20"/>
          <w:szCs w:val="20"/>
        </w:rPr>
        <w:lastRenderedPageBreak/>
        <w:t xml:space="preserve">V </w:t>
      </w:r>
      <w:r w:rsidRPr="001813BC">
        <w:rPr>
          <w:rFonts w:ascii="Times New Roman"/>
          <w:b/>
          <w:bCs/>
          <w:sz w:val="20"/>
          <w:szCs w:val="20"/>
        </w:rPr>
        <w:t>Conclusion</w:t>
      </w:r>
    </w:p>
    <w:p w14:paraId="0481F691" w14:textId="77777777" w:rsidR="00F24E56" w:rsidRPr="00CD05DB" w:rsidRDefault="00F24E56" w:rsidP="00F24E56">
      <w:pPr>
        <w:spacing w:after="0"/>
        <w:jc w:val="both"/>
        <w:rPr>
          <w:rFonts w:ascii="Times New Roman"/>
          <w:sz w:val="20"/>
          <w:szCs w:val="20"/>
        </w:rPr>
      </w:pPr>
      <w:r w:rsidRPr="00EF64B3">
        <w:rPr>
          <w:rFonts w:ascii="Times New Roman"/>
          <w:sz w:val="20"/>
          <w:szCs w:val="20"/>
        </w:rPr>
        <w:t>This study evaluates the significance of microgrids and the role of battery integration in meeting customer and technical requirements using the House of Quality (</w:t>
      </w:r>
      <w:proofErr w:type="spellStart"/>
      <w:r w:rsidRPr="00EF64B3">
        <w:rPr>
          <w:rFonts w:ascii="Times New Roman"/>
          <w:sz w:val="20"/>
          <w:szCs w:val="20"/>
        </w:rPr>
        <w:t>HoQ</w:t>
      </w:r>
      <w:proofErr w:type="spellEnd"/>
      <w:r w:rsidRPr="00EF64B3">
        <w:rPr>
          <w:rFonts w:ascii="Times New Roman"/>
          <w:sz w:val="20"/>
          <w:szCs w:val="20"/>
        </w:rPr>
        <w:t>). Six customer expectations and technical requirements were identified through a literature review and weighted using STPYF DEMATEL. Technical requirements were ranked using STPYF RATGOS. The study finds that energy storage efficiency is the top customer expectation, while smart battery control systems are the most critical technical requirement for i</w:t>
      </w:r>
      <w:r>
        <w:rPr>
          <w:rFonts w:ascii="Times New Roman"/>
          <w:sz w:val="20"/>
          <w:szCs w:val="20"/>
        </w:rPr>
        <w:t xml:space="preserve">mproving microgrid performance. </w:t>
      </w:r>
      <w:r w:rsidRPr="00EF64B3">
        <w:rPr>
          <w:rFonts w:ascii="Times New Roman"/>
          <w:sz w:val="20"/>
          <w:szCs w:val="20"/>
        </w:rPr>
        <w:t>Smart battery control systems are essential for optimizing energy processes, enabling real-time data analysis, and improving energy storage efficiency. These systems enhance battery management by providing accurate charging and discharging information and detecting issues early. Information security is crucial to protect against cyber-attacks that could disrupt energy produc</w:t>
      </w:r>
      <w:r>
        <w:rPr>
          <w:rFonts w:ascii="Times New Roman"/>
          <w:sz w:val="20"/>
          <w:szCs w:val="20"/>
        </w:rPr>
        <w:t xml:space="preserve">tion or manipulate system data. </w:t>
      </w:r>
      <w:r w:rsidRPr="00EF64B3">
        <w:rPr>
          <w:rFonts w:ascii="Times New Roman"/>
          <w:sz w:val="20"/>
          <w:szCs w:val="20"/>
        </w:rPr>
        <w:t>The study's main contribution is its prioritization analysis for improving battery integration in microgrids and the introduction of the RATGOS ranking technique, which adds methodological originality. However, the study does not consider country-specific evaluations, which could impact performance due to varying climatic conditions. Future research should explore country-specific performance, improve the model by incorporating varying expert qualifications, and evaluate emerging battery technologies or optimization techniques.</w:t>
      </w:r>
    </w:p>
    <w:p w14:paraId="1A4F41CA" w14:textId="77777777" w:rsidR="00D17811" w:rsidRPr="00A516D0" w:rsidRDefault="00D17811" w:rsidP="007F7C27">
      <w:pPr>
        <w:spacing w:after="0" w:line="240" w:lineRule="auto"/>
        <w:jc w:val="both"/>
        <w:rPr>
          <w:rFonts w:ascii="Times New Roman"/>
          <w:sz w:val="20"/>
          <w:szCs w:val="20"/>
        </w:rPr>
      </w:pPr>
    </w:p>
    <w:p w14:paraId="6D9BA18B" w14:textId="7CB1F42A"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14:paraId="3ED318ED" w14:textId="61B8317C" w:rsidR="00F24E56" w:rsidRPr="00895324" w:rsidRDefault="00F24E56" w:rsidP="00F24E56">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lang w:val="es-ES"/>
        </w:rPr>
        <w:t xml:space="preserve">[1] </w:t>
      </w:r>
      <w:r w:rsidRPr="00895324">
        <w:rPr>
          <w:rFonts w:ascii="Times New Roman"/>
          <w:color w:val="222222"/>
          <w:sz w:val="16"/>
          <w:szCs w:val="16"/>
          <w:shd w:val="clear" w:color="auto" w:fill="FFFFFF"/>
          <w:lang w:val="es-ES"/>
        </w:rPr>
        <w:tab/>
      </w:r>
      <w:proofErr w:type="spellStart"/>
      <w:r w:rsidRPr="00895324">
        <w:rPr>
          <w:rFonts w:ascii="Times New Roman"/>
          <w:color w:val="222222"/>
          <w:sz w:val="16"/>
          <w:szCs w:val="16"/>
          <w:shd w:val="clear" w:color="auto" w:fill="FFFFFF"/>
          <w:lang w:val="es-ES"/>
        </w:rPr>
        <w:t>Abdelghany</w:t>
      </w:r>
      <w:proofErr w:type="spellEnd"/>
      <w:r w:rsidRPr="00895324">
        <w:rPr>
          <w:rFonts w:ascii="Times New Roman"/>
          <w:color w:val="222222"/>
          <w:sz w:val="16"/>
          <w:szCs w:val="16"/>
          <w:shd w:val="clear" w:color="auto" w:fill="FFFFFF"/>
          <w:lang w:val="es-ES"/>
        </w:rPr>
        <w:t>, M. B., Al-</w:t>
      </w:r>
      <w:proofErr w:type="spellStart"/>
      <w:r w:rsidRPr="00895324">
        <w:rPr>
          <w:rFonts w:ascii="Times New Roman"/>
          <w:color w:val="222222"/>
          <w:sz w:val="16"/>
          <w:szCs w:val="16"/>
          <w:shd w:val="clear" w:color="auto" w:fill="FFFFFF"/>
          <w:lang w:val="es-ES"/>
        </w:rPr>
        <w:t>Durra</w:t>
      </w:r>
      <w:proofErr w:type="spellEnd"/>
      <w:r w:rsidRPr="00895324">
        <w:rPr>
          <w:rFonts w:ascii="Times New Roman"/>
          <w:color w:val="222222"/>
          <w:sz w:val="16"/>
          <w:szCs w:val="16"/>
          <w:shd w:val="clear" w:color="auto" w:fill="FFFFFF"/>
          <w:lang w:val="es-ES"/>
        </w:rPr>
        <w:t xml:space="preserve">, A., &amp; Gao, F. (2023). </w:t>
      </w:r>
      <w:r w:rsidRPr="00895324">
        <w:rPr>
          <w:rFonts w:ascii="Times New Roman"/>
          <w:color w:val="222222"/>
          <w:sz w:val="16"/>
          <w:szCs w:val="16"/>
          <w:shd w:val="clear" w:color="auto" w:fill="FFFFFF"/>
        </w:rPr>
        <w:t>A coordinated optimal operation of a grid-connected wind-solar microgrid incorporating hybrid energy storage management systems. </w:t>
      </w:r>
      <w:r w:rsidRPr="00895324">
        <w:rPr>
          <w:rFonts w:ascii="Times New Roman"/>
          <w:i/>
          <w:iCs/>
          <w:color w:val="222222"/>
          <w:sz w:val="16"/>
          <w:szCs w:val="16"/>
          <w:shd w:val="clear" w:color="auto" w:fill="FFFFFF"/>
        </w:rPr>
        <w:t>IEEE Transactions on Sustainable Energy</w:t>
      </w:r>
      <w:r w:rsidRPr="00895324">
        <w:rPr>
          <w:rFonts w:ascii="Times New Roman"/>
          <w:color w:val="222222"/>
          <w:sz w:val="16"/>
          <w:szCs w:val="16"/>
          <w:shd w:val="clear" w:color="auto" w:fill="FFFFFF"/>
        </w:rPr>
        <w:t>.</w:t>
      </w:r>
    </w:p>
    <w:p w14:paraId="437009A6" w14:textId="6A9B6E04" w:rsidR="00F24E56" w:rsidRPr="00895324" w:rsidRDefault="00F24E56" w:rsidP="00F24E56">
      <w:pPr>
        <w:tabs>
          <w:tab w:val="left" w:pos="360"/>
        </w:tabs>
        <w:adjustRightInd w:val="0"/>
        <w:snapToGrid w:val="0"/>
        <w:spacing w:after="0" w:line="240" w:lineRule="auto"/>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[2] </w:t>
      </w:r>
      <w:r w:rsidRPr="00895324">
        <w:rPr>
          <w:rFonts w:ascii="Times New Roman"/>
          <w:color w:val="222222"/>
          <w:sz w:val="16"/>
          <w:szCs w:val="16"/>
          <w:shd w:val="clear" w:color="auto" w:fill="FFFFFF"/>
        </w:rPr>
        <w:tab/>
        <w:t xml:space="preserve">Adak, S., </w:t>
      </w:r>
      <w:proofErr w:type="spellStart"/>
      <w:r w:rsidRPr="00895324">
        <w:rPr>
          <w:rFonts w:ascii="Times New Roman"/>
          <w:color w:val="222222"/>
          <w:sz w:val="16"/>
          <w:szCs w:val="16"/>
          <w:shd w:val="clear" w:color="auto" w:fill="FFFFFF"/>
        </w:rPr>
        <w:t>Cangi</w:t>
      </w:r>
      <w:proofErr w:type="spellEnd"/>
      <w:r w:rsidRPr="00895324">
        <w:rPr>
          <w:rFonts w:ascii="Times New Roman"/>
          <w:color w:val="222222"/>
          <w:sz w:val="16"/>
          <w:szCs w:val="16"/>
          <w:shd w:val="clear" w:color="auto" w:fill="FFFFFF"/>
        </w:rPr>
        <w:t>, H., Kaya, R., &amp; Yılmaz, A. S. (2022). Effects of electric vehicles and charging stations on microgrid power quality. </w:t>
      </w:r>
      <w:r w:rsidRPr="00895324">
        <w:rPr>
          <w:rFonts w:ascii="Times New Roman"/>
          <w:i/>
          <w:iCs/>
          <w:color w:val="222222"/>
          <w:sz w:val="16"/>
          <w:szCs w:val="16"/>
          <w:shd w:val="clear" w:color="auto" w:fill="FFFFFF"/>
        </w:rPr>
        <w:t>Gazi University Journal of Science Part A: Engineering and Innovation</w:t>
      </w:r>
      <w:r w:rsidRPr="00895324">
        <w:rPr>
          <w:rFonts w:ascii="Times New Roman"/>
          <w:color w:val="222222"/>
          <w:sz w:val="16"/>
          <w:szCs w:val="16"/>
          <w:shd w:val="clear" w:color="auto" w:fill="FFFFFF"/>
        </w:rPr>
        <w:t>, </w:t>
      </w:r>
      <w:r w:rsidRPr="00895324">
        <w:rPr>
          <w:rFonts w:ascii="Times New Roman"/>
          <w:i/>
          <w:iCs/>
          <w:color w:val="222222"/>
          <w:sz w:val="16"/>
          <w:szCs w:val="16"/>
          <w:shd w:val="clear" w:color="auto" w:fill="FFFFFF"/>
        </w:rPr>
        <w:t>9</w:t>
      </w:r>
      <w:r w:rsidRPr="00895324">
        <w:rPr>
          <w:rFonts w:ascii="Times New Roman"/>
          <w:color w:val="222222"/>
          <w:sz w:val="16"/>
          <w:szCs w:val="16"/>
          <w:shd w:val="clear" w:color="auto" w:fill="FFFFFF"/>
        </w:rPr>
        <w:t>(3), 276-286.</w:t>
      </w:r>
    </w:p>
    <w:p w14:paraId="3C2EFF12" w14:textId="43391B93" w:rsidR="00F24E56" w:rsidRPr="00895324" w:rsidRDefault="00F24E56" w:rsidP="00895324">
      <w:pPr>
        <w:tabs>
          <w:tab w:val="left" w:pos="360"/>
        </w:tabs>
        <w:adjustRightInd w:val="0"/>
        <w:snapToGrid w:val="0"/>
        <w:spacing w:after="0" w:line="240" w:lineRule="auto"/>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[3] </w:t>
      </w:r>
      <w:r w:rsidR="00895324" w:rsidRPr="00895324">
        <w:rPr>
          <w:rFonts w:ascii="Times New Roman"/>
          <w:color w:val="222222"/>
          <w:sz w:val="16"/>
          <w:szCs w:val="16"/>
          <w:shd w:val="clear" w:color="auto" w:fill="FFFFFF"/>
        </w:rPr>
        <w:tab/>
      </w:r>
      <w:r w:rsidRPr="00895324">
        <w:rPr>
          <w:rFonts w:ascii="Times New Roman"/>
          <w:color w:val="222222"/>
          <w:sz w:val="16"/>
          <w:szCs w:val="16"/>
          <w:shd w:val="clear" w:color="auto" w:fill="FFFFFF"/>
        </w:rPr>
        <w:t>Ali, I., Charles, V., Modibbo, U. M., Gherman, T., &amp; Gupta, S. (2024). Navigating COVID-19: unraveling supply chain disruptions through best-worst method and fuzzy TOPSIS. </w:t>
      </w:r>
      <w:r w:rsidRPr="00895324">
        <w:rPr>
          <w:rFonts w:ascii="Times New Roman"/>
          <w:i/>
          <w:iCs/>
          <w:color w:val="222222"/>
          <w:sz w:val="16"/>
          <w:szCs w:val="16"/>
          <w:shd w:val="clear" w:color="auto" w:fill="FFFFFF"/>
        </w:rPr>
        <w:t>Benchmarking: An International Journal</w:t>
      </w:r>
      <w:r w:rsidRPr="00895324">
        <w:rPr>
          <w:rFonts w:ascii="Times New Roman"/>
          <w:color w:val="222222"/>
          <w:sz w:val="16"/>
          <w:szCs w:val="16"/>
          <w:shd w:val="clear" w:color="auto" w:fill="FFFFFF"/>
        </w:rPr>
        <w:t>, </w:t>
      </w:r>
      <w:r w:rsidRPr="00895324">
        <w:rPr>
          <w:rFonts w:ascii="Times New Roman"/>
          <w:i/>
          <w:iCs/>
          <w:color w:val="222222"/>
          <w:sz w:val="16"/>
          <w:szCs w:val="16"/>
          <w:shd w:val="clear" w:color="auto" w:fill="FFFFFF"/>
        </w:rPr>
        <w:t>31</w:t>
      </w:r>
      <w:r w:rsidRPr="00895324">
        <w:rPr>
          <w:rFonts w:ascii="Times New Roman"/>
          <w:color w:val="222222"/>
          <w:sz w:val="16"/>
          <w:szCs w:val="16"/>
          <w:shd w:val="clear" w:color="auto" w:fill="FFFFFF"/>
        </w:rPr>
        <w:t>(5), 1548-1589.</w:t>
      </w:r>
    </w:p>
    <w:p w14:paraId="71FC203D" w14:textId="00E3B198" w:rsidR="00F24E56" w:rsidRPr="00895324" w:rsidRDefault="00F24E56"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[4] </w:t>
      </w:r>
      <w:r w:rsidR="00895324" w:rsidRPr="00895324">
        <w:rPr>
          <w:rFonts w:ascii="Times New Roman"/>
          <w:color w:val="222222"/>
          <w:sz w:val="16"/>
          <w:szCs w:val="16"/>
          <w:shd w:val="clear" w:color="auto" w:fill="FFFFFF"/>
        </w:rPr>
        <w:tab/>
      </w:r>
      <w:r w:rsidRPr="00895324">
        <w:rPr>
          <w:rFonts w:ascii="Times New Roman"/>
          <w:color w:val="222222"/>
          <w:sz w:val="16"/>
          <w:szCs w:val="16"/>
          <w:shd w:val="clear" w:color="auto" w:fill="FFFFFF"/>
        </w:rPr>
        <w:t xml:space="preserve">Arman, H., </w:t>
      </w:r>
      <w:proofErr w:type="spellStart"/>
      <w:r w:rsidRPr="00895324">
        <w:rPr>
          <w:rFonts w:ascii="Times New Roman"/>
          <w:color w:val="222222"/>
          <w:sz w:val="16"/>
          <w:szCs w:val="16"/>
          <w:shd w:val="clear" w:color="auto" w:fill="FFFFFF"/>
        </w:rPr>
        <w:t>Hadi-Vencheh</w:t>
      </w:r>
      <w:proofErr w:type="spellEnd"/>
      <w:r w:rsidRPr="00895324">
        <w:rPr>
          <w:rFonts w:ascii="Times New Roman"/>
          <w:color w:val="222222"/>
          <w:sz w:val="16"/>
          <w:szCs w:val="16"/>
          <w:shd w:val="clear" w:color="auto" w:fill="FFFFFF"/>
        </w:rPr>
        <w:t xml:space="preserve">, A., Kiani Mavi, R., </w:t>
      </w:r>
      <w:proofErr w:type="spellStart"/>
      <w:r w:rsidRPr="00895324">
        <w:rPr>
          <w:rFonts w:ascii="Times New Roman"/>
          <w:color w:val="222222"/>
          <w:sz w:val="16"/>
          <w:szCs w:val="16"/>
          <w:shd w:val="clear" w:color="auto" w:fill="FFFFFF"/>
        </w:rPr>
        <w:t>Khodadadipour</w:t>
      </w:r>
      <w:proofErr w:type="spellEnd"/>
      <w:r w:rsidRPr="00895324">
        <w:rPr>
          <w:rFonts w:ascii="Times New Roman"/>
          <w:color w:val="222222"/>
          <w:sz w:val="16"/>
          <w:szCs w:val="16"/>
          <w:shd w:val="clear" w:color="auto" w:fill="FFFFFF"/>
        </w:rPr>
        <w:t>, M., &amp; Jamshidi, A. (2022). Revisiting the Interval and Fuzzy TOPSIS Methods: Is Euclidean Distance a Suitable Tool to Measure the Differences between Fuzzy Numbers</w:t>
      </w:r>
      <w:proofErr w:type="gramStart"/>
      <w:r w:rsidRPr="00895324">
        <w:rPr>
          <w:rFonts w:ascii="Times New Roman"/>
          <w:color w:val="222222"/>
          <w:sz w:val="16"/>
          <w:szCs w:val="16"/>
          <w:shd w:val="clear" w:color="auto" w:fill="FFFFFF"/>
        </w:rPr>
        <w:t>?.</w:t>
      </w:r>
      <w:proofErr w:type="gramEnd"/>
      <w:r w:rsidRPr="00895324">
        <w:rPr>
          <w:rFonts w:ascii="Times New Roman"/>
          <w:color w:val="222222"/>
          <w:sz w:val="16"/>
          <w:szCs w:val="16"/>
          <w:shd w:val="clear" w:color="auto" w:fill="FFFFFF"/>
        </w:rPr>
        <w:t> </w:t>
      </w:r>
      <w:r w:rsidRPr="00895324">
        <w:rPr>
          <w:rFonts w:ascii="Times New Roman"/>
          <w:i/>
          <w:iCs/>
          <w:color w:val="222222"/>
          <w:sz w:val="16"/>
          <w:szCs w:val="16"/>
          <w:shd w:val="clear" w:color="auto" w:fill="FFFFFF"/>
        </w:rPr>
        <w:t>Complexity</w:t>
      </w:r>
      <w:r w:rsidRPr="00895324">
        <w:rPr>
          <w:rFonts w:ascii="Times New Roman"/>
          <w:color w:val="222222"/>
          <w:sz w:val="16"/>
          <w:szCs w:val="16"/>
          <w:shd w:val="clear" w:color="auto" w:fill="FFFFFF"/>
        </w:rPr>
        <w:t>, </w:t>
      </w:r>
      <w:r w:rsidRPr="00895324">
        <w:rPr>
          <w:rFonts w:ascii="Times New Roman"/>
          <w:i/>
          <w:iCs/>
          <w:color w:val="222222"/>
          <w:sz w:val="16"/>
          <w:szCs w:val="16"/>
          <w:shd w:val="clear" w:color="auto" w:fill="FFFFFF"/>
        </w:rPr>
        <w:t>2022</w:t>
      </w:r>
      <w:r w:rsidRPr="00895324">
        <w:rPr>
          <w:rFonts w:ascii="Times New Roman"/>
          <w:color w:val="222222"/>
          <w:sz w:val="16"/>
          <w:szCs w:val="16"/>
          <w:shd w:val="clear" w:color="auto" w:fill="FFFFFF"/>
        </w:rPr>
        <w:t>.</w:t>
      </w:r>
    </w:p>
    <w:p w14:paraId="706DC808" w14:textId="3A20C9DE" w:rsidR="00F24E56" w:rsidRPr="00895324" w:rsidRDefault="00F24E56"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[5] </w:t>
      </w:r>
      <w:r w:rsidR="00895324" w:rsidRPr="00895324">
        <w:rPr>
          <w:rFonts w:ascii="Times New Roman"/>
          <w:color w:val="222222"/>
          <w:sz w:val="16"/>
          <w:szCs w:val="16"/>
          <w:shd w:val="clear" w:color="auto" w:fill="FFFFFF"/>
        </w:rPr>
        <w:tab/>
      </w:r>
      <w:r w:rsidRPr="00895324">
        <w:rPr>
          <w:rFonts w:ascii="Times New Roman"/>
          <w:color w:val="222222"/>
          <w:sz w:val="16"/>
          <w:szCs w:val="16"/>
          <w:shd w:val="clear" w:color="auto" w:fill="FFFFFF"/>
        </w:rPr>
        <w:t>Ashraf, S., Abdullah, S., &amp; Khan, S. (2021). Fuzzy decision support modeling for internet finance soft power evaluation based on sine trigonometric Pythagorean fuzzy information. </w:t>
      </w:r>
      <w:r w:rsidRPr="00895324">
        <w:rPr>
          <w:rFonts w:ascii="Times New Roman"/>
          <w:i/>
          <w:iCs/>
          <w:color w:val="222222"/>
          <w:sz w:val="16"/>
          <w:szCs w:val="16"/>
          <w:shd w:val="clear" w:color="auto" w:fill="FFFFFF"/>
        </w:rPr>
        <w:t>Journal of Ambient Intelligence and Humanized Computing</w:t>
      </w:r>
      <w:r w:rsidRPr="00895324">
        <w:rPr>
          <w:rFonts w:ascii="Times New Roman"/>
          <w:color w:val="222222"/>
          <w:sz w:val="16"/>
          <w:szCs w:val="16"/>
          <w:shd w:val="clear" w:color="auto" w:fill="FFFFFF"/>
        </w:rPr>
        <w:t>, </w:t>
      </w:r>
      <w:r w:rsidRPr="00895324">
        <w:rPr>
          <w:rFonts w:ascii="Times New Roman"/>
          <w:i/>
          <w:iCs/>
          <w:color w:val="222222"/>
          <w:sz w:val="16"/>
          <w:szCs w:val="16"/>
          <w:shd w:val="clear" w:color="auto" w:fill="FFFFFF"/>
        </w:rPr>
        <w:t>12</w:t>
      </w:r>
      <w:r w:rsidRPr="00895324">
        <w:rPr>
          <w:rFonts w:ascii="Times New Roman"/>
          <w:color w:val="222222"/>
          <w:sz w:val="16"/>
          <w:szCs w:val="16"/>
          <w:shd w:val="clear" w:color="auto" w:fill="FFFFFF"/>
        </w:rPr>
        <w:t>, 3101-3119.</w:t>
      </w:r>
    </w:p>
    <w:p w14:paraId="3E9FCF1F" w14:textId="5D251076"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[6]</w:t>
      </w:r>
      <w:r w:rsidRPr="00895324">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Balaji, B., Ganesan, S., </w:t>
      </w:r>
      <w:proofErr w:type="spellStart"/>
      <w:r w:rsidR="00F24E56" w:rsidRPr="00895324">
        <w:rPr>
          <w:rFonts w:ascii="Times New Roman"/>
          <w:color w:val="222222"/>
          <w:sz w:val="16"/>
          <w:szCs w:val="16"/>
          <w:shd w:val="clear" w:color="auto" w:fill="FFFFFF"/>
        </w:rPr>
        <w:t>Pugazhendiran</w:t>
      </w:r>
      <w:proofErr w:type="spellEnd"/>
      <w:r w:rsidR="00F24E56" w:rsidRPr="00895324">
        <w:rPr>
          <w:rFonts w:ascii="Times New Roman"/>
          <w:color w:val="222222"/>
          <w:sz w:val="16"/>
          <w:szCs w:val="16"/>
          <w:shd w:val="clear" w:color="auto" w:fill="FFFFFF"/>
        </w:rPr>
        <w:t>, P., &amp; Subramanian, S. (2023). Closed loop proportional resonant controller controlled DC microgrid system with advanced material technology in solar PV system. </w:t>
      </w:r>
      <w:r w:rsidR="00F24E56" w:rsidRPr="00895324">
        <w:rPr>
          <w:rFonts w:ascii="Times New Roman"/>
          <w:i/>
          <w:iCs/>
          <w:color w:val="222222"/>
          <w:sz w:val="16"/>
          <w:szCs w:val="16"/>
          <w:shd w:val="clear" w:color="auto" w:fill="FFFFFF"/>
        </w:rPr>
        <w:t>Materials Today: Proceedings</w:t>
      </w:r>
      <w:r w:rsidR="00F24E56" w:rsidRPr="00895324">
        <w:rPr>
          <w:rFonts w:ascii="Times New Roman"/>
          <w:color w:val="222222"/>
          <w:sz w:val="16"/>
          <w:szCs w:val="16"/>
          <w:shd w:val="clear" w:color="auto" w:fill="FFFFFF"/>
        </w:rPr>
        <w:t>.</w:t>
      </w:r>
    </w:p>
    <w:p w14:paraId="13D9A79D" w14:textId="11523D00"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[7]</w:t>
      </w:r>
      <w:r w:rsidRPr="00895324">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Behrendt, J. (2023). Microgrids and EU law: Three Microgrid models to solve one regulatory puzzle. </w:t>
      </w:r>
      <w:r w:rsidR="00F24E56" w:rsidRPr="00895324">
        <w:rPr>
          <w:rFonts w:ascii="Times New Roman"/>
          <w:i/>
          <w:iCs/>
          <w:color w:val="222222"/>
          <w:sz w:val="16"/>
          <w:szCs w:val="16"/>
          <w:shd w:val="clear" w:color="auto" w:fill="FFFFFF"/>
        </w:rPr>
        <w:t>Energy Policy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177</w:t>
      </w:r>
      <w:r w:rsidR="00F24E56" w:rsidRPr="00895324">
        <w:rPr>
          <w:rFonts w:ascii="Times New Roman"/>
          <w:color w:val="222222"/>
          <w:sz w:val="16"/>
          <w:szCs w:val="16"/>
          <w:shd w:val="clear" w:color="auto" w:fill="FFFFFF"/>
        </w:rPr>
        <w:t>, 113483.</w:t>
      </w:r>
    </w:p>
    <w:p w14:paraId="1FFFF33A" w14:textId="66826186"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[8] </w:t>
      </w:r>
      <w:r w:rsidRPr="00895324">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Bovo, A., Poli, N., </w:t>
      </w:r>
      <w:proofErr w:type="spellStart"/>
      <w:r w:rsidR="00F24E56" w:rsidRPr="00895324">
        <w:rPr>
          <w:rFonts w:ascii="Times New Roman"/>
          <w:color w:val="222222"/>
          <w:sz w:val="16"/>
          <w:szCs w:val="16"/>
          <w:shd w:val="clear" w:color="auto" w:fill="FFFFFF"/>
        </w:rPr>
        <w:t>Trovo</w:t>
      </w:r>
      <w:proofErr w:type="spellEnd"/>
      <w:r w:rsidR="00F24E56" w:rsidRPr="00895324">
        <w:rPr>
          <w:rFonts w:ascii="Times New Roman"/>
          <w:color w:val="222222"/>
          <w:sz w:val="16"/>
          <w:szCs w:val="16"/>
          <w:shd w:val="clear" w:color="auto" w:fill="FFFFFF"/>
        </w:rPr>
        <w:t>, A., Marini, G., &amp; Guarnieri, M. (2023). Hydrogen energy storage system in a Multi‒Technology Microgrid: technical features and performance. </w:t>
      </w:r>
      <w:r w:rsidR="00F24E56" w:rsidRPr="00895324">
        <w:rPr>
          <w:rFonts w:ascii="Times New Roman"/>
          <w:i/>
          <w:iCs/>
          <w:color w:val="222222"/>
          <w:sz w:val="16"/>
          <w:szCs w:val="16"/>
          <w:shd w:val="clear" w:color="auto" w:fill="FFFFFF"/>
        </w:rPr>
        <w:t>International Journal of Hydrogen Energy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48</w:t>
      </w:r>
      <w:r w:rsidR="00F24E56" w:rsidRPr="00895324">
        <w:rPr>
          <w:rFonts w:ascii="Times New Roman"/>
          <w:color w:val="222222"/>
          <w:sz w:val="16"/>
          <w:szCs w:val="16"/>
          <w:shd w:val="clear" w:color="auto" w:fill="FFFFFF"/>
        </w:rPr>
        <w:t>(32), 12072-12088.</w:t>
      </w:r>
    </w:p>
    <w:p w14:paraId="3922AC99" w14:textId="32E44A9D"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[9] </w:t>
      </w:r>
      <w:r w:rsidRPr="00895324">
        <w:rPr>
          <w:rFonts w:ascii="Times New Roman"/>
          <w:color w:val="222222"/>
          <w:sz w:val="16"/>
          <w:szCs w:val="16"/>
          <w:shd w:val="clear" w:color="auto" w:fill="FFFFFF"/>
        </w:rPr>
        <w:tab/>
      </w:r>
      <w:proofErr w:type="spellStart"/>
      <w:r w:rsidR="00F24E56" w:rsidRPr="00895324">
        <w:rPr>
          <w:rFonts w:ascii="Times New Roman"/>
          <w:color w:val="222222"/>
          <w:sz w:val="16"/>
          <w:szCs w:val="16"/>
          <w:shd w:val="clear" w:color="auto" w:fill="FFFFFF"/>
        </w:rPr>
        <w:t>Çelikbilek</w:t>
      </w:r>
      <w:proofErr w:type="spellEnd"/>
      <w:r w:rsidR="00F24E56" w:rsidRPr="00895324">
        <w:rPr>
          <w:rFonts w:ascii="Times New Roman"/>
          <w:color w:val="222222"/>
          <w:sz w:val="16"/>
          <w:szCs w:val="16"/>
          <w:shd w:val="clear" w:color="auto" w:fill="FFFFFF"/>
        </w:rPr>
        <w:t xml:space="preserve">, Y., &amp; </w:t>
      </w:r>
      <w:proofErr w:type="spellStart"/>
      <w:r w:rsidR="00F24E56" w:rsidRPr="00895324">
        <w:rPr>
          <w:rFonts w:ascii="Times New Roman"/>
          <w:color w:val="222222"/>
          <w:sz w:val="16"/>
          <w:szCs w:val="16"/>
          <w:shd w:val="clear" w:color="auto" w:fill="FFFFFF"/>
        </w:rPr>
        <w:t>Tüysüz</w:t>
      </w:r>
      <w:proofErr w:type="spellEnd"/>
      <w:r w:rsidR="00F24E56" w:rsidRPr="00895324">
        <w:rPr>
          <w:rFonts w:ascii="Times New Roman"/>
          <w:color w:val="222222"/>
          <w:sz w:val="16"/>
          <w:szCs w:val="16"/>
          <w:shd w:val="clear" w:color="auto" w:fill="FFFFFF"/>
        </w:rPr>
        <w:t>, F. (2020). An in-depth review of theory of the TOPSIS method: An experimental analysis. </w:t>
      </w:r>
      <w:r w:rsidR="00F24E56" w:rsidRPr="00895324">
        <w:rPr>
          <w:rFonts w:ascii="Times New Roman"/>
          <w:i/>
          <w:iCs/>
          <w:color w:val="222222"/>
          <w:sz w:val="16"/>
          <w:szCs w:val="16"/>
          <w:shd w:val="clear" w:color="auto" w:fill="FFFFFF"/>
        </w:rPr>
        <w:t>Journal of Management Analytics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7</w:t>
      </w:r>
      <w:r w:rsidR="00F24E56" w:rsidRPr="00895324">
        <w:rPr>
          <w:rFonts w:ascii="Times New Roman"/>
          <w:color w:val="222222"/>
          <w:sz w:val="16"/>
          <w:szCs w:val="16"/>
          <w:shd w:val="clear" w:color="auto" w:fill="FFFFFF"/>
        </w:rPr>
        <w:t>(2), 281-300.</w:t>
      </w:r>
    </w:p>
    <w:p w14:paraId="024429BA" w14:textId="2633D856"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 xml:space="preserve">[10] </w:t>
      </w:r>
      <w:r w:rsidRPr="00895324">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Choudhury, S. (2022). Review of energy storage system technologies integration to microgrid: Types, control strategies, issues, and future prospects. </w:t>
      </w:r>
      <w:r w:rsidR="00F24E56" w:rsidRPr="00895324">
        <w:rPr>
          <w:rFonts w:ascii="Times New Roman"/>
          <w:i/>
          <w:iCs/>
          <w:color w:val="222222"/>
          <w:sz w:val="16"/>
          <w:szCs w:val="16"/>
          <w:shd w:val="clear" w:color="auto" w:fill="FFFFFF"/>
        </w:rPr>
        <w:t>Journal of Energy Storage</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48</w:t>
      </w:r>
      <w:r w:rsidR="00F24E56" w:rsidRPr="00895324">
        <w:rPr>
          <w:rFonts w:ascii="Times New Roman"/>
          <w:color w:val="222222"/>
          <w:sz w:val="16"/>
          <w:szCs w:val="16"/>
          <w:shd w:val="clear" w:color="auto" w:fill="FFFFFF"/>
        </w:rPr>
        <w:t>, 103966.</w:t>
      </w:r>
    </w:p>
    <w:p w14:paraId="0C016445" w14:textId="2ED9E28F" w:rsidR="00F24E56" w:rsidRPr="00895324" w:rsidRDefault="00895324" w:rsidP="00895324">
      <w:pPr>
        <w:tabs>
          <w:tab w:val="left" w:pos="360"/>
        </w:tabs>
        <w:spacing w:after="0"/>
        <w:ind w:left="360" w:hanging="360"/>
        <w:jc w:val="both"/>
        <w:rPr>
          <w:rFonts w:ascii="Times New Roman"/>
          <w:sz w:val="16"/>
          <w:szCs w:val="16"/>
        </w:rPr>
      </w:pPr>
      <w:r>
        <w:rPr>
          <w:rFonts w:ascii="Times New Roman"/>
          <w:color w:val="222222"/>
          <w:sz w:val="16"/>
          <w:szCs w:val="16"/>
          <w:shd w:val="clear" w:color="auto" w:fill="FFFFFF"/>
        </w:rPr>
        <w:t>[11]</w:t>
      </w:r>
      <w:r>
        <w:rPr>
          <w:rFonts w:ascii="Times New Roman"/>
          <w:color w:val="222222"/>
          <w:sz w:val="16"/>
          <w:szCs w:val="16"/>
          <w:shd w:val="clear" w:color="auto" w:fill="FFFFFF"/>
        </w:rPr>
        <w:tab/>
      </w:r>
      <w:proofErr w:type="spellStart"/>
      <w:r w:rsidR="00F24E56" w:rsidRPr="00895324">
        <w:rPr>
          <w:rFonts w:ascii="Times New Roman"/>
          <w:color w:val="222222"/>
          <w:sz w:val="16"/>
          <w:szCs w:val="16"/>
          <w:shd w:val="clear" w:color="auto" w:fill="FFFFFF"/>
        </w:rPr>
        <w:t>Deowan</w:t>
      </w:r>
      <w:proofErr w:type="spellEnd"/>
      <w:r w:rsidR="00F24E56" w:rsidRPr="00895324">
        <w:rPr>
          <w:rFonts w:ascii="Times New Roman"/>
          <w:color w:val="222222"/>
          <w:sz w:val="16"/>
          <w:szCs w:val="16"/>
          <w:shd w:val="clear" w:color="auto" w:fill="FFFFFF"/>
        </w:rPr>
        <w:t xml:space="preserve">, M. E., </w:t>
      </w:r>
      <w:proofErr w:type="spellStart"/>
      <w:r w:rsidR="00F24E56" w:rsidRPr="00895324">
        <w:rPr>
          <w:rFonts w:ascii="Times New Roman"/>
          <w:color w:val="222222"/>
          <w:sz w:val="16"/>
          <w:szCs w:val="16"/>
          <w:shd w:val="clear" w:color="auto" w:fill="FFFFFF"/>
        </w:rPr>
        <w:t>Nuhel</w:t>
      </w:r>
      <w:proofErr w:type="spellEnd"/>
      <w:r w:rsidR="00F24E56" w:rsidRPr="00895324">
        <w:rPr>
          <w:rFonts w:ascii="Times New Roman"/>
          <w:color w:val="222222"/>
          <w:sz w:val="16"/>
          <w:szCs w:val="16"/>
          <w:shd w:val="clear" w:color="auto" w:fill="FFFFFF"/>
        </w:rPr>
        <w:t>, A. K., Sazid, M. M., Meghla, R. T., Haider, I., &amp; Hazari, M. R. (2023, January). Design and Analysis of IoT-Based Adaptive Microgrid System including Renewable Energy Sources for Decentralized Zones. In </w:t>
      </w:r>
      <w:r w:rsidR="00F24E56" w:rsidRPr="00895324">
        <w:rPr>
          <w:rFonts w:ascii="Times New Roman"/>
          <w:i/>
          <w:iCs/>
          <w:color w:val="222222"/>
          <w:sz w:val="16"/>
          <w:szCs w:val="16"/>
          <w:shd w:val="clear" w:color="auto" w:fill="FFFFFF"/>
        </w:rPr>
        <w:t>2023 3rd International Conference on Robotics, Electrical and Signal Processing Techniques (ICREST)</w:t>
      </w:r>
      <w:r w:rsidR="00F24E56" w:rsidRPr="00895324">
        <w:rPr>
          <w:rFonts w:ascii="Times New Roman"/>
          <w:color w:val="222222"/>
          <w:sz w:val="16"/>
          <w:szCs w:val="16"/>
          <w:shd w:val="clear" w:color="auto" w:fill="FFFFFF"/>
        </w:rPr>
        <w:t> (pp. 84-89). IEEE.</w:t>
      </w:r>
    </w:p>
    <w:p w14:paraId="2C70582D" w14:textId="37E2B4FA"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[12]</w:t>
      </w:r>
      <w:r>
        <w:rPr>
          <w:rFonts w:ascii="Times New Roman"/>
          <w:color w:val="222222"/>
          <w:sz w:val="16"/>
          <w:szCs w:val="16"/>
          <w:shd w:val="clear" w:color="auto" w:fill="FFFFFF"/>
        </w:rPr>
        <w:tab/>
      </w:r>
      <w:proofErr w:type="spellStart"/>
      <w:r w:rsidR="00F24E56" w:rsidRPr="00895324">
        <w:rPr>
          <w:rFonts w:ascii="Times New Roman"/>
          <w:color w:val="222222"/>
          <w:sz w:val="16"/>
          <w:szCs w:val="16"/>
          <w:shd w:val="clear" w:color="auto" w:fill="FFFFFF"/>
        </w:rPr>
        <w:t>Dınçer</w:t>
      </w:r>
      <w:proofErr w:type="spellEnd"/>
      <w:r w:rsidR="00F24E56" w:rsidRPr="00895324">
        <w:rPr>
          <w:rFonts w:ascii="Times New Roman"/>
          <w:color w:val="222222"/>
          <w:sz w:val="16"/>
          <w:szCs w:val="16"/>
          <w:shd w:val="clear" w:color="auto" w:fill="FFFFFF"/>
        </w:rPr>
        <w:t>, H., Yüksel, S., &amp; Martínez, L. (2021). House of quality-based analysis of new service development using context free grammar evaluation-enhanced fuzzy hybrid modelling. </w:t>
      </w:r>
      <w:r w:rsidR="00F24E56" w:rsidRPr="00895324">
        <w:rPr>
          <w:rFonts w:ascii="Times New Roman"/>
          <w:i/>
          <w:iCs/>
          <w:color w:val="222222"/>
          <w:sz w:val="16"/>
          <w:szCs w:val="16"/>
          <w:shd w:val="clear" w:color="auto" w:fill="FFFFFF"/>
        </w:rPr>
        <w:t>IEEE Access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9</w:t>
      </w:r>
      <w:r w:rsidR="00F24E56" w:rsidRPr="00895324">
        <w:rPr>
          <w:rFonts w:ascii="Times New Roman"/>
          <w:color w:val="222222"/>
          <w:sz w:val="16"/>
          <w:szCs w:val="16"/>
          <w:shd w:val="clear" w:color="auto" w:fill="FFFFFF"/>
        </w:rPr>
        <w:t>, 138415-138431.</w:t>
      </w:r>
    </w:p>
    <w:p w14:paraId="6CF38E27" w14:textId="752E34B9"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[13]</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Gamil, M. M., </w:t>
      </w:r>
      <w:proofErr w:type="spellStart"/>
      <w:r w:rsidR="00F24E56" w:rsidRPr="00895324">
        <w:rPr>
          <w:rFonts w:ascii="Times New Roman"/>
          <w:color w:val="222222"/>
          <w:sz w:val="16"/>
          <w:szCs w:val="16"/>
          <w:shd w:val="clear" w:color="auto" w:fill="FFFFFF"/>
        </w:rPr>
        <w:t>Senjyu</w:t>
      </w:r>
      <w:proofErr w:type="spellEnd"/>
      <w:r w:rsidR="00F24E56" w:rsidRPr="00895324">
        <w:rPr>
          <w:rFonts w:ascii="Times New Roman"/>
          <w:color w:val="222222"/>
          <w:sz w:val="16"/>
          <w:szCs w:val="16"/>
          <w:shd w:val="clear" w:color="auto" w:fill="FFFFFF"/>
        </w:rPr>
        <w:t>, T., Masrur, H., Takahashi, H., &amp; Lotfy, M. E. (2022). Controlled V2Gs and battery integration into residential microgrids: Economic and environmental impacts. </w:t>
      </w:r>
      <w:r w:rsidR="00F24E56" w:rsidRPr="00895324">
        <w:rPr>
          <w:rFonts w:ascii="Times New Roman"/>
          <w:i/>
          <w:iCs/>
          <w:color w:val="222222"/>
          <w:sz w:val="16"/>
          <w:szCs w:val="16"/>
          <w:shd w:val="clear" w:color="auto" w:fill="FFFFFF"/>
        </w:rPr>
        <w:t>Energy Conversion and Management</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253</w:t>
      </w:r>
      <w:r w:rsidR="00F24E56" w:rsidRPr="00895324">
        <w:rPr>
          <w:rFonts w:ascii="Times New Roman"/>
          <w:color w:val="222222"/>
          <w:sz w:val="16"/>
          <w:szCs w:val="16"/>
          <w:shd w:val="clear" w:color="auto" w:fill="FFFFFF"/>
        </w:rPr>
        <w:t>, 115171.</w:t>
      </w:r>
    </w:p>
    <w:p w14:paraId="56A15AA0" w14:textId="2CBCFE6B" w:rsidR="00F24E56" w:rsidRPr="00895324" w:rsidRDefault="00895324" w:rsidP="00895324">
      <w:pPr>
        <w:tabs>
          <w:tab w:val="left" w:pos="360"/>
        </w:tabs>
        <w:spacing w:after="0"/>
        <w:ind w:left="360" w:hanging="360"/>
        <w:jc w:val="both"/>
        <w:rPr>
          <w:rFonts w:ascii="Times New Roman"/>
          <w:sz w:val="16"/>
          <w:szCs w:val="16"/>
        </w:rPr>
      </w:pPr>
      <w:r>
        <w:rPr>
          <w:rFonts w:ascii="Times New Roman"/>
          <w:color w:val="222222"/>
          <w:sz w:val="16"/>
          <w:szCs w:val="16"/>
          <w:shd w:val="clear" w:color="auto" w:fill="FFFFFF"/>
        </w:rPr>
        <w:t>[14]</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Grisales-Noreña, L. F., Cortés-Caicedo, B., Montoya, O. D., </w:t>
      </w:r>
      <w:proofErr w:type="spellStart"/>
      <w:r w:rsidR="00F24E56" w:rsidRPr="00895324">
        <w:rPr>
          <w:rFonts w:ascii="Times New Roman"/>
          <w:color w:val="222222"/>
          <w:sz w:val="16"/>
          <w:szCs w:val="16"/>
          <w:shd w:val="clear" w:color="auto" w:fill="FFFFFF"/>
        </w:rPr>
        <w:t>Hernandéz</w:t>
      </w:r>
      <w:proofErr w:type="spellEnd"/>
      <w:r w:rsidR="00F24E56" w:rsidRPr="00895324">
        <w:rPr>
          <w:rFonts w:ascii="Times New Roman"/>
          <w:color w:val="222222"/>
          <w:sz w:val="16"/>
          <w:szCs w:val="16"/>
          <w:shd w:val="clear" w:color="auto" w:fill="FFFFFF"/>
        </w:rPr>
        <w:t>, J. C., &amp; Alcalá, G. (2023). A battery energy management system to improve the financial, technical, and environmental indicators of Colombian urban and rural networks. </w:t>
      </w:r>
      <w:r w:rsidR="00F24E56" w:rsidRPr="00895324">
        <w:rPr>
          <w:rFonts w:ascii="Times New Roman"/>
          <w:i/>
          <w:iCs/>
          <w:color w:val="222222"/>
          <w:sz w:val="16"/>
          <w:szCs w:val="16"/>
          <w:shd w:val="clear" w:color="auto" w:fill="FFFFFF"/>
        </w:rPr>
        <w:t>Journal of Energy Storage</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65</w:t>
      </w:r>
      <w:r w:rsidR="00F24E56" w:rsidRPr="00895324">
        <w:rPr>
          <w:rFonts w:ascii="Times New Roman"/>
          <w:color w:val="222222"/>
          <w:sz w:val="16"/>
          <w:szCs w:val="16"/>
          <w:shd w:val="clear" w:color="auto" w:fill="FFFFFF"/>
        </w:rPr>
        <w:t>, 107199.</w:t>
      </w:r>
    </w:p>
    <w:p w14:paraId="071E964D" w14:textId="77777777" w:rsidR="00F24E56" w:rsidRPr="00895324" w:rsidRDefault="00F24E56" w:rsidP="00895324">
      <w:pPr>
        <w:spacing w:after="0"/>
        <w:ind w:left="360"/>
        <w:jc w:val="both"/>
        <w:rPr>
          <w:rFonts w:ascii="Times New Roman"/>
          <w:color w:val="222222"/>
          <w:sz w:val="16"/>
          <w:szCs w:val="16"/>
          <w:shd w:val="clear" w:color="auto" w:fill="FFFFFF"/>
        </w:rPr>
      </w:pPr>
      <w:r w:rsidRPr="00895324">
        <w:rPr>
          <w:rFonts w:ascii="Times New Roman"/>
          <w:color w:val="222222"/>
          <w:sz w:val="16"/>
          <w:szCs w:val="16"/>
          <w:shd w:val="clear" w:color="auto" w:fill="FFFFFF"/>
        </w:rPr>
        <w:t>Kama, M. M., Ashraf, I., &amp; Fernandez, E. (2022). Optimal planning of renewable integrated rural microgrid for sustainable energy supply. </w:t>
      </w:r>
      <w:r w:rsidRPr="00895324">
        <w:rPr>
          <w:rFonts w:ascii="Times New Roman"/>
          <w:i/>
          <w:iCs/>
          <w:color w:val="222222"/>
          <w:sz w:val="16"/>
          <w:szCs w:val="16"/>
          <w:shd w:val="clear" w:color="auto" w:fill="FFFFFF"/>
        </w:rPr>
        <w:t>Energy Storage</w:t>
      </w:r>
      <w:r w:rsidRPr="00895324">
        <w:rPr>
          <w:rFonts w:ascii="Times New Roman"/>
          <w:color w:val="222222"/>
          <w:sz w:val="16"/>
          <w:szCs w:val="16"/>
          <w:shd w:val="clear" w:color="auto" w:fill="FFFFFF"/>
        </w:rPr>
        <w:t>, </w:t>
      </w:r>
      <w:r w:rsidRPr="00895324">
        <w:rPr>
          <w:rFonts w:ascii="Times New Roman"/>
          <w:i/>
          <w:iCs/>
          <w:color w:val="222222"/>
          <w:sz w:val="16"/>
          <w:szCs w:val="16"/>
          <w:shd w:val="clear" w:color="auto" w:fill="FFFFFF"/>
        </w:rPr>
        <w:t>4</w:t>
      </w:r>
      <w:r w:rsidRPr="00895324">
        <w:rPr>
          <w:rFonts w:ascii="Times New Roman"/>
          <w:color w:val="222222"/>
          <w:sz w:val="16"/>
          <w:szCs w:val="16"/>
          <w:shd w:val="clear" w:color="auto" w:fill="FFFFFF"/>
        </w:rPr>
        <w:t>(4), e332.</w:t>
      </w:r>
    </w:p>
    <w:p w14:paraId="3B78CA36" w14:textId="0AA17406"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[15]</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Lei, B., Ren, Y., Luan, H., Dong, R., Wang, X., Liao, J., ... &amp; Gao, K. (2023). A Review of Optimization for System Reliability of Microgrid. </w:t>
      </w:r>
      <w:r w:rsidR="00F24E56" w:rsidRPr="00895324">
        <w:rPr>
          <w:rFonts w:ascii="Times New Roman"/>
          <w:i/>
          <w:iCs/>
          <w:color w:val="222222"/>
          <w:sz w:val="16"/>
          <w:szCs w:val="16"/>
          <w:shd w:val="clear" w:color="auto" w:fill="FFFFFF"/>
        </w:rPr>
        <w:t>Mathematics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11</w:t>
      </w:r>
      <w:r w:rsidR="00F24E56" w:rsidRPr="00895324">
        <w:rPr>
          <w:rFonts w:ascii="Times New Roman"/>
          <w:color w:val="222222"/>
          <w:sz w:val="16"/>
          <w:szCs w:val="16"/>
          <w:shd w:val="clear" w:color="auto" w:fill="FFFFFF"/>
        </w:rPr>
        <w:t>(4), 822.</w:t>
      </w:r>
    </w:p>
    <w:p w14:paraId="23F242F9" w14:textId="22C34889"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lang w:val="es-ES"/>
        </w:rPr>
        <w:t>[16]</w:t>
      </w:r>
      <w:r>
        <w:rPr>
          <w:rFonts w:ascii="Times New Roman"/>
          <w:color w:val="222222"/>
          <w:sz w:val="16"/>
          <w:szCs w:val="16"/>
          <w:shd w:val="clear" w:color="auto" w:fill="FFFFFF"/>
          <w:lang w:val="es-ES"/>
        </w:rPr>
        <w:tab/>
      </w:r>
      <w:proofErr w:type="spellStart"/>
      <w:r w:rsidR="00F24E56" w:rsidRPr="00895324">
        <w:rPr>
          <w:rFonts w:ascii="Times New Roman"/>
          <w:color w:val="222222"/>
          <w:sz w:val="16"/>
          <w:szCs w:val="16"/>
          <w:shd w:val="clear" w:color="auto" w:fill="FFFFFF"/>
          <w:lang w:val="es-ES"/>
        </w:rPr>
        <w:t>Lipu</w:t>
      </w:r>
      <w:proofErr w:type="spellEnd"/>
      <w:r w:rsidR="00F24E56" w:rsidRPr="00895324">
        <w:rPr>
          <w:rFonts w:ascii="Times New Roman"/>
          <w:color w:val="222222"/>
          <w:sz w:val="16"/>
          <w:szCs w:val="16"/>
          <w:shd w:val="clear" w:color="auto" w:fill="FFFFFF"/>
          <w:lang w:val="es-ES"/>
        </w:rPr>
        <w:t xml:space="preserve">, M. H., Ansari, S., </w:t>
      </w:r>
      <w:proofErr w:type="spellStart"/>
      <w:r w:rsidR="00F24E56" w:rsidRPr="00895324">
        <w:rPr>
          <w:rFonts w:ascii="Times New Roman"/>
          <w:color w:val="222222"/>
          <w:sz w:val="16"/>
          <w:szCs w:val="16"/>
          <w:shd w:val="clear" w:color="auto" w:fill="FFFFFF"/>
          <w:lang w:val="es-ES"/>
        </w:rPr>
        <w:t>Miah</w:t>
      </w:r>
      <w:proofErr w:type="spellEnd"/>
      <w:r w:rsidR="00F24E56" w:rsidRPr="00895324">
        <w:rPr>
          <w:rFonts w:ascii="Times New Roman"/>
          <w:color w:val="222222"/>
          <w:sz w:val="16"/>
          <w:szCs w:val="16"/>
          <w:shd w:val="clear" w:color="auto" w:fill="FFFFFF"/>
          <w:lang w:val="es-ES"/>
        </w:rPr>
        <w:t xml:space="preserve">, M. S., Hasan, K., </w:t>
      </w:r>
      <w:proofErr w:type="spellStart"/>
      <w:r w:rsidR="00F24E56" w:rsidRPr="00895324">
        <w:rPr>
          <w:rFonts w:ascii="Times New Roman"/>
          <w:color w:val="222222"/>
          <w:sz w:val="16"/>
          <w:szCs w:val="16"/>
          <w:shd w:val="clear" w:color="auto" w:fill="FFFFFF"/>
          <w:lang w:val="es-ES"/>
        </w:rPr>
        <w:t>Meraj</w:t>
      </w:r>
      <w:proofErr w:type="spellEnd"/>
      <w:r w:rsidR="00F24E56" w:rsidRPr="00895324">
        <w:rPr>
          <w:rFonts w:ascii="Times New Roman"/>
          <w:color w:val="222222"/>
          <w:sz w:val="16"/>
          <w:szCs w:val="16"/>
          <w:shd w:val="clear" w:color="auto" w:fill="FFFFFF"/>
          <w:lang w:val="es-ES"/>
        </w:rPr>
        <w:t xml:space="preserve">, S. T., Faisal, M., ... </w:t>
      </w:r>
      <w:r w:rsidR="00F24E56" w:rsidRPr="00895324">
        <w:rPr>
          <w:rFonts w:ascii="Times New Roman"/>
          <w:color w:val="222222"/>
          <w:sz w:val="16"/>
          <w:szCs w:val="16"/>
          <w:shd w:val="clear" w:color="auto" w:fill="FFFFFF"/>
        </w:rPr>
        <w:t>&amp; Hannan, M. A. (2022). A review of controllers and optimizations based scheduling operation for battery energy storage system towards decarbonization in microgrid: Challenges and future directions. </w:t>
      </w:r>
      <w:r w:rsidR="00F24E56" w:rsidRPr="00895324">
        <w:rPr>
          <w:rFonts w:ascii="Times New Roman"/>
          <w:i/>
          <w:iCs/>
          <w:color w:val="222222"/>
          <w:sz w:val="16"/>
          <w:szCs w:val="16"/>
          <w:shd w:val="clear" w:color="auto" w:fill="FFFFFF"/>
        </w:rPr>
        <w:t>Journal of Cleaner Production</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360</w:t>
      </w:r>
      <w:r w:rsidR="00F24E56" w:rsidRPr="00895324">
        <w:rPr>
          <w:rFonts w:ascii="Times New Roman"/>
          <w:color w:val="222222"/>
          <w:sz w:val="16"/>
          <w:szCs w:val="16"/>
          <w:shd w:val="clear" w:color="auto" w:fill="FFFFFF"/>
        </w:rPr>
        <w:t>, 132188.</w:t>
      </w:r>
    </w:p>
    <w:p w14:paraId="20001DA1" w14:textId="0B88B7D7" w:rsidR="00F24E56" w:rsidRPr="00895324" w:rsidRDefault="00895324" w:rsidP="00895324">
      <w:pPr>
        <w:tabs>
          <w:tab w:val="left" w:pos="360"/>
        </w:tabs>
        <w:adjustRightInd w:val="0"/>
        <w:snapToGrid w:val="0"/>
        <w:spacing w:after="0" w:line="240" w:lineRule="auto"/>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[17]</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Mahmudah, R. S., Putri, D. I., Abdullah, A. G., </w:t>
      </w:r>
      <w:proofErr w:type="spellStart"/>
      <w:r w:rsidR="00F24E56" w:rsidRPr="00895324">
        <w:rPr>
          <w:rFonts w:ascii="Times New Roman"/>
          <w:color w:val="222222"/>
          <w:sz w:val="16"/>
          <w:szCs w:val="16"/>
          <w:shd w:val="clear" w:color="auto" w:fill="FFFFFF"/>
        </w:rPr>
        <w:t>Shafii</w:t>
      </w:r>
      <w:proofErr w:type="spellEnd"/>
      <w:r w:rsidR="00F24E56" w:rsidRPr="00895324">
        <w:rPr>
          <w:rFonts w:ascii="Times New Roman"/>
          <w:color w:val="222222"/>
          <w:sz w:val="16"/>
          <w:szCs w:val="16"/>
          <w:shd w:val="clear" w:color="auto" w:fill="FFFFFF"/>
        </w:rPr>
        <w:t xml:space="preserve">, M. A., Hakim, D. L., &amp; </w:t>
      </w:r>
      <w:proofErr w:type="spellStart"/>
      <w:r w:rsidR="00F24E56" w:rsidRPr="00895324">
        <w:rPr>
          <w:rFonts w:ascii="Times New Roman"/>
          <w:color w:val="222222"/>
          <w:sz w:val="16"/>
          <w:szCs w:val="16"/>
          <w:shd w:val="clear" w:color="auto" w:fill="FFFFFF"/>
        </w:rPr>
        <w:t>Setiadipura</w:t>
      </w:r>
      <w:proofErr w:type="spellEnd"/>
      <w:r w:rsidR="00F24E56" w:rsidRPr="00895324">
        <w:rPr>
          <w:rFonts w:ascii="Times New Roman"/>
          <w:color w:val="222222"/>
          <w:sz w:val="16"/>
          <w:szCs w:val="16"/>
          <w:shd w:val="clear" w:color="auto" w:fill="FFFFFF"/>
        </w:rPr>
        <w:t>, T. (2024). Developing a Multi-Criteria Decision-Making model for nuclear power plant location selection using Fuzzy Analytic Hierarchy Process and Fuzzy VIKOR methods focused on socio-economic factors. </w:t>
      </w:r>
      <w:r w:rsidR="00F24E56" w:rsidRPr="00895324">
        <w:rPr>
          <w:rFonts w:ascii="Times New Roman"/>
          <w:i/>
          <w:iCs/>
          <w:color w:val="222222"/>
          <w:sz w:val="16"/>
          <w:szCs w:val="16"/>
          <w:shd w:val="clear" w:color="auto" w:fill="FFFFFF"/>
        </w:rPr>
        <w:t>Cleaner Engineering and Technology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19</w:t>
      </w:r>
      <w:r w:rsidR="00F24E56" w:rsidRPr="00895324">
        <w:rPr>
          <w:rFonts w:ascii="Times New Roman"/>
          <w:color w:val="222222"/>
          <w:sz w:val="16"/>
          <w:szCs w:val="16"/>
          <w:shd w:val="clear" w:color="auto" w:fill="FFFFFF"/>
        </w:rPr>
        <w:t>, 100737.</w:t>
      </w:r>
    </w:p>
    <w:p w14:paraId="3F7D74CB" w14:textId="7CEE1606"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[18]</w:t>
      </w:r>
      <w:r>
        <w:rPr>
          <w:rFonts w:ascii="Times New Roman"/>
          <w:color w:val="222222"/>
          <w:sz w:val="16"/>
          <w:szCs w:val="16"/>
          <w:shd w:val="clear" w:color="auto" w:fill="FFFFFF"/>
        </w:rPr>
        <w:tab/>
      </w:r>
      <w:proofErr w:type="spellStart"/>
      <w:r w:rsidR="00F24E56" w:rsidRPr="00895324">
        <w:rPr>
          <w:rFonts w:ascii="Times New Roman"/>
          <w:color w:val="222222"/>
          <w:sz w:val="16"/>
          <w:szCs w:val="16"/>
          <w:shd w:val="clear" w:color="auto" w:fill="FFFFFF"/>
        </w:rPr>
        <w:t>Masaud</w:t>
      </w:r>
      <w:proofErr w:type="spellEnd"/>
      <w:r w:rsidR="00F24E56" w:rsidRPr="00895324">
        <w:rPr>
          <w:rFonts w:ascii="Times New Roman"/>
          <w:color w:val="222222"/>
          <w:sz w:val="16"/>
          <w:szCs w:val="16"/>
          <w:shd w:val="clear" w:color="auto" w:fill="FFFFFF"/>
        </w:rPr>
        <w:t xml:space="preserve">, T. M., &amp; </w:t>
      </w:r>
      <w:proofErr w:type="spellStart"/>
      <w:r w:rsidR="00F24E56" w:rsidRPr="00895324">
        <w:rPr>
          <w:rFonts w:ascii="Times New Roman"/>
          <w:color w:val="222222"/>
          <w:sz w:val="16"/>
          <w:szCs w:val="16"/>
          <w:shd w:val="clear" w:color="auto" w:fill="FFFFFF"/>
        </w:rPr>
        <w:t>Nwaulu</w:t>
      </w:r>
      <w:proofErr w:type="spellEnd"/>
      <w:r w:rsidR="00F24E56" w:rsidRPr="00895324">
        <w:rPr>
          <w:rFonts w:ascii="Times New Roman"/>
          <w:color w:val="222222"/>
          <w:sz w:val="16"/>
          <w:szCs w:val="16"/>
          <w:shd w:val="clear" w:color="auto" w:fill="FFFFFF"/>
        </w:rPr>
        <w:t>, E. (2023, April). Optimal Microgrid Scheduling for Minimizing CO2 Emission Considering the Impact of Utility Grid Renewable Energy Penetration Factor. In </w:t>
      </w:r>
      <w:r w:rsidR="00F24E56" w:rsidRPr="00895324">
        <w:rPr>
          <w:rFonts w:ascii="Times New Roman"/>
          <w:i/>
          <w:iCs/>
          <w:color w:val="222222"/>
          <w:sz w:val="16"/>
          <w:szCs w:val="16"/>
          <w:shd w:val="clear" w:color="auto" w:fill="FFFFFF"/>
        </w:rPr>
        <w:t>2023 IEEE Conference on Technologies for Sustainability (</w:t>
      </w:r>
      <w:proofErr w:type="spellStart"/>
      <w:r w:rsidR="00F24E56" w:rsidRPr="00895324">
        <w:rPr>
          <w:rFonts w:ascii="Times New Roman"/>
          <w:i/>
          <w:iCs/>
          <w:color w:val="222222"/>
          <w:sz w:val="16"/>
          <w:szCs w:val="16"/>
          <w:shd w:val="clear" w:color="auto" w:fill="FFFFFF"/>
        </w:rPr>
        <w:t>SusTech</w:t>
      </w:r>
      <w:proofErr w:type="spellEnd"/>
      <w:r w:rsidR="00F24E56" w:rsidRPr="00895324">
        <w:rPr>
          <w:rFonts w:ascii="Times New Roman"/>
          <w:i/>
          <w:iCs/>
          <w:color w:val="222222"/>
          <w:sz w:val="16"/>
          <w:szCs w:val="16"/>
          <w:shd w:val="clear" w:color="auto" w:fill="FFFFFF"/>
        </w:rPr>
        <w:t>)</w:t>
      </w:r>
      <w:r w:rsidR="00F24E56" w:rsidRPr="00895324">
        <w:rPr>
          <w:rFonts w:ascii="Times New Roman"/>
          <w:color w:val="222222"/>
          <w:sz w:val="16"/>
          <w:szCs w:val="16"/>
          <w:shd w:val="clear" w:color="auto" w:fill="FFFFFF"/>
        </w:rPr>
        <w:t> (pp. 63-67). IEEE.</w:t>
      </w:r>
    </w:p>
    <w:p w14:paraId="4AF65847" w14:textId="6E91F81E"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[19]</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Masrur, H., </w:t>
      </w:r>
      <w:proofErr w:type="spellStart"/>
      <w:r w:rsidR="00F24E56" w:rsidRPr="00895324">
        <w:rPr>
          <w:rFonts w:ascii="Times New Roman"/>
          <w:color w:val="222222"/>
          <w:sz w:val="16"/>
          <w:szCs w:val="16"/>
          <w:shd w:val="clear" w:color="auto" w:fill="FFFFFF"/>
        </w:rPr>
        <w:t>Shafie-Khah</w:t>
      </w:r>
      <w:proofErr w:type="spellEnd"/>
      <w:r w:rsidR="00F24E56" w:rsidRPr="00895324">
        <w:rPr>
          <w:rFonts w:ascii="Times New Roman"/>
          <w:color w:val="222222"/>
          <w:sz w:val="16"/>
          <w:szCs w:val="16"/>
          <w:shd w:val="clear" w:color="auto" w:fill="FFFFFF"/>
        </w:rPr>
        <w:t xml:space="preserve">, M., Hossain, M. J., &amp; </w:t>
      </w:r>
      <w:proofErr w:type="spellStart"/>
      <w:r w:rsidR="00F24E56" w:rsidRPr="00895324">
        <w:rPr>
          <w:rFonts w:ascii="Times New Roman"/>
          <w:color w:val="222222"/>
          <w:sz w:val="16"/>
          <w:szCs w:val="16"/>
          <w:shd w:val="clear" w:color="auto" w:fill="FFFFFF"/>
        </w:rPr>
        <w:t>Senjyu</w:t>
      </w:r>
      <w:proofErr w:type="spellEnd"/>
      <w:r w:rsidR="00F24E56" w:rsidRPr="00895324">
        <w:rPr>
          <w:rFonts w:ascii="Times New Roman"/>
          <w:color w:val="222222"/>
          <w:sz w:val="16"/>
          <w:szCs w:val="16"/>
          <w:shd w:val="clear" w:color="auto" w:fill="FFFFFF"/>
        </w:rPr>
        <w:t>, T. (2022). Multi-energy microgrids incorporating EV integration: Optimal design and resilient operation. </w:t>
      </w:r>
      <w:r w:rsidR="00F24E56" w:rsidRPr="00895324">
        <w:rPr>
          <w:rFonts w:ascii="Times New Roman"/>
          <w:i/>
          <w:iCs/>
          <w:color w:val="222222"/>
          <w:sz w:val="16"/>
          <w:szCs w:val="16"/>
          <w:shd w:val="clear" w:color="auto" w:fill="FFFFFF"/>
        </w:rPr>
        <w:t>IEEE Transactions on Smart Grid</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13</w:t>
      </w:r>
      <w:r w:rsidR="00F24E56" w:rsidRPr="00895324">
        <w:rPr>
          <w:rFonts w:ascii="Times New Roman"/>
          <w:color w:val="222222"/>
          <w:sz w:val="16"/>
          <w:szCs w:val="16"/>
          <w:shd w:val="clear" w:color="auto" w:fill="FFFFFF"/>
        </w:rPr>
        <w:t>(5), 3508-3518.</w:t>
      </w:r>
    </w:p>
    <w:p w14:paraId="67A56F09" w14:textId="2DA04361"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[20]</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Mbungu, N. T., Ismail, A. A., </w:t>
      </w:r>
      <w:proofErr w:type="spellStart"/>
      <w:r w:rsidR="00F24E56" w:rsidRPr="00895324">
        <w:rPr>
          <w:rFonts w:ascii="Times New Roman"/>
          <w:color w:val="222222"/>
          <w:sz w:val="16"/>
          <w:szCs w:val="16"/>
          <w:shd w:val="clear" w:color="auto" w:fill="FFFFFF"/>
        </w:rPr>
        <w:t>AlShabi</w:t>
      </w:r>
      <w:proofErr w:type="spellEnd"/>
      <w:r w:rsidR="00F24E56" w:rsidRPr="00895324">
        <w:rPr>
          <w:rFonts w:ascii="Times New Roman"/>
          <w:color w:val="222222"/>
          <w:sz w:val="16"/>
          <w:szCs w:val="16"/>
          <w:shd w:val="clear" w:color="auto" w:fill="FFFFFF"/>
        </w:rPr>
        <w:t xml:space="preserve">, M., Bansal, R. C., </w:t>
      </w:r>
      <w:proofErr w:type="spellStart"/>
      <w:r w:rsidR="00F24E56" w:rsidRPr="00895324">
        <w:rPr>
          <w:rFonts w:ascii="Times New Roman"/>
          <w:color w:val="222222"/>
          <w:sz w:val="16"/>
          <w:szCs w:val="16"/>
          <w:shd w:val="clear" w:color="auto" w:fill="FFFFFF"/>
        </w:rPr>
        <w:t>Elnady</w:t>
      </w:r>
      <w:proofErr w:type="spellEnd"/>
      <w:r w:rsidR="00F24E56" w:rsidRPr="00895324">
        <w:rPr>
          <w:rFonts w:ascii="Times New Roman"/>
          <w:color w:val="222222"/>
          <w:sz w:val="16"/>
          <w:szCs w:val="16"/>
          <w:shd w:val="clear" w:color="auto" w:fill="FFFFFF"/>
        </w:rPr>
        <w:t>, A., &amp; Hamid, A. K. (2023). Control and estimation techniques applied to smart microgrids: A review. </w:t>
      </w:r>
      <w:r w:rsidR="00F24E56" w:rsidRPr="00895324">
        <w:rPr>
          <w:rFonts w:ascii="Times New Roman"/>
          <w:i/>
          <w:iCs/>
          <w:color w:val="222222"/>
          <w:sz w:val="16"/>
          <w:szCs w:val="16"/>
          <w:shd w:val="clear" w:color="auto" w:fill="FFFFFF"/>
        </w:rPr>
        <w:t>Renewable and Sustainable Energy Reviews</w:t>
      </w:r>
      <w:r w:rsidR="00F24E56" w:rsidRPr="00895324">
        <w:rPr>
          <w:rFonts w:ascii="Times New Roman"/>
          <w:color w:val="222222"/>
          <w:sz w:val="16"/>
          <w:szCs w:val="16"/>
          <w:shd w:val="clear" w:color="auto" w:fill="FFFFFF"/>
        </w:rPr>
        <w:t>, 113251.</w:t>
      </w:r>
    </w:p>
    <w:p w14:paraId="50A1A4E7" w14:textId="5B8F1FD8"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[21]</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Memon, A. A., &amp; </w:t>
      </w:r>
      <w:proofErr w:type="spellStart"/>
      <w:r w:rsidR="00F24E56" w:rsidRPr="00895324">
        <w:rPr>
          <w:rFonts w:ascii="Times New Roman"/>
          <w:color w:val="222222"/>
          <w:sz w:val="16"/>
          <w:szCs w:val="16"/>
          <w:shd w:val="clear" w:color="auto" w:fill="FFFFFF"/>
        </w:rPr>
        <w:t>Kauhaniemi</w:t>
      </w:r>
      <w:proofErr w:type="spellEnd"/>
      <w:r w:rsidR="00F24E56" w:rsidRPr="00895324">
        <w:rPr>
          <w:rFonts w:ascii="Times New Roman"/>
          <w:color w:val="222222"/>
          <w:sz w:val="16"/>
          <w:szCs w:val="16"/>
          <w:shd w:val="clear" w:color="auto" w:fill="FFFFFF"/>
        </w:rPr>
        <w:t>, K. (2023). Protection of the Future Harbor Area AC Microgrids Containing Renewable Energy Sources and Batteries. </w:t>
      </w:r>
      <w:r w:rsidR="00F24E56" w:rsidRPr="00895324">
        <w:rPr>
          <w:rFonts w:ascii="Times New Roman"/>
          <w:i/>
          <w:iCs/>
          <w:color w:val="222222"/>
          <w:sz w:val="16"/>
          <w:szCs w:val="16"/>
          <w:shd w:val="clear" w:color="auto" w:fill="FFFFFF"/>
        </w:rPr>
        <w:t>IEEE Access</w:t>
      </w:r>
      <w:r w:rsidR="00F24E56" w:rsidRPr="00895324">
        <w:rPr>
          <w:rFonts w:ascii="Times New Roman"/>
          <w:color w:val="222222"/>
          <w:sz w:val="16"/>
          <w:szCs w:val="16"/>
          <w:shd w:val="clear" w:color="auto" w:fill="FFFFFF"/>
        </w:rPr>
        <w:t>.</w:t>
      </w:r>
    </w:p>
    <w:p w14:paraId="64401CB0" w14:textId="36416A34" w:rsidR="00F24E56" w:rsidRPr="00895324" w:rsidRDefault="00895324" w:rsidP="00895324">
      <w:pPr>
        <w:tabs>
          <w:tab w:val="left" w:pos="360"/>
        </w:tabs>
        <w:adjustRightInd w:val="0"/>
        <w:snapToGrid w:val="0"/>
        <w:spacing w:after="0" w:line="240" w:lineRule="auto"/>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lastRenderedPageBreak/>
        <w:t>[22]</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Moslem, S. (2024). A novel parsimonious spherical fuzzy analytic hierarchy process for sustainable urban transport solutions. </w:t>
      </w:r>
      <w:r w:rsidR="00F24E56" w:rsidRPr="00895324">
        <w:rPr>
          <w:rFonts w:ascii="Times New Roman"/>
          <w:i/>
          <w:iCs/>
          <w:color w:val="222222"/>
          <w:sz w:val="16"/>
          <w:szCs w:val="16"/>
          <w:shd w:val="clear" w:color="auto" w:fill="FFFFFF"/>
        </w:rPr>
        <w:t>Engineering Applications of Artificial Intelligence</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128</w:t>
      </w:r>
      <w:r w:rsidR="00F24E56" w:rsidRPr="00895324">
        <w:rPr>
          <w:rFonts w:ascii="Times New Roman"/>
          <w:color w:val="222222"/>
          <w:sz w:val="16"/>
          <w:szCs w:val="16"/>
          <w:shd w:val="clear" w:color="auto" w:fill="FFFFFF"/>
        </w:rPr>
        <w:t>, 107447.</w:t>
      </w:r>
    </w:p>
    <w:p w14:paraId="0A9985ED" w14:textId="74D274BA" w:rsidR="00F24E56" w:rsidRPr="00895324" w:rsidRDefault="00895324" w:rsidP="00895324">
      <w:pPr>
        <w:tabs>
          <w:tab w:val="left" w:pos="270"/>
          <w:tab w:val="left" w:pos="360"/>
        </w:tabs>
        <w:adjustRightInd w:val="0"/>
        <w:snapToGrid w:val="0"/>
        <w:spacing w:after="0" w:line="240" w:lineRule="auto"/>
        <w:ind w:left="360" w:hanging="360"/>
        <w:jc w:val="both"/>
        <w:rPr>
          <w:rFonts w:ascii="Times New Roman"/>
          <w:sz w:val="16"/>
          <w:szCs w:val="16"/>
          <w:lang w:eastAsia="zh-CN"/>
        </w:rPr>
      </w:pPr>
      <w:r>
        <w:rPr>
          <w:rFonts w:ascii="Times New Roman"/>
          <w:color w:val="222222"/>
          <w:sz w:val="16"/>
          <w:szCs w:val="16"/>
          <w:shd w:val="clear" w:color="auto" w:fill="FFFFFF"/>
        </w:rPr>
        <w:t xml:space="preserve">[23] </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Nandi, R., Mondal, S., Mandal, J., &amp; Bhattacharyya, P. (2024). From fuzzy-TOPSIS to machine learning: A holistic approach to understanding groundwater fluoride contamination. </w:t>
      </w:r>
      <w:r w:rsidR="00F24E56" w:rsidRPr="00895324">
        <w:rPr>
          <w:rFonts w:ascii="Times New Roman"/>
          <w:i/>
          <w:iCs/>
          <w:color w:val="222222"/>
          <w:sz w:val="16"/>
          <w:szCs w:val="16"/>
          <w:shd w:val="clear" w:color="auto" w:fill="FFFFFF"/>
        </w:rPr>
        <w:t>Science of The Total Environment</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912</w:t>
      </w:r>
      <w:r w:rsidR="00F24E56" w:rsidRPr="00895324">
        <w:rPr>
          <w:rFonts w:ascii="Times New Roman"/>
          <w:color w:val="222222"/>
          <w:sz w:val="16"/>
          <w:szCs w:val="16"/>
          <w:shd w:val="clear" w:color="auto" w:fill="FFFFFF"/>
        </w:rPr>
        <w:t>, 169323.</w:t>
      </w:r>
    </w:p>
    <w:p w14:paraId="3EB37D7C" w14:textId="6A9BC49C"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 xml:space="preserve">[24] </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Neri, A., </w:t>
      </w:r>
      <w:proofErr w:type="spellStart"/>
      <w:r w:rsidR="00F24E56" w:rsidRPr="00895324">
        <w:rPr>
          <w:rFonts w:ascii="Times New Roman"/>
          <w:color w:val="222222"/>
          <w:sz w:val="16"/>
          <w:szCs w:val="16"/>
          <w:shd w:val="clear" w:color="auto" w:fill="FFFFFF"/>
        </w:rPr>
        <w:t>Butturi</w:t>
      </w:r>
      <w:proofErr w:type="spellEnd"/>
      <w:r w:rsidR="00F24E56" w:rsidRPr="00895324">
        <w:rPr>
          <w:rFonts w:ascii="Times New Roman"/>
          <w:color w:val="222222"/>
          <w:sz w:val="16"/>
          <w:szCs w:val="16"/>
          <w:shd w:val="clear" w:color="auto" w:fill="FFFFFF"/>
        </w:rPr>
        <w:t>, M. A., Lolli, F., &amp; Gamberini, R. (2023). Inter-firm exchanges, distributed renewable energy generation, and battery energy storage system integration via microgrids for energy symbiosis. </w:t>
      </w:r>
      <w:r w:rsidR="00F24E56" w:rsidRPr="00895324">
        <w:rPr>
          <w:rFonts w:ascii="Times New Roman"/>
          <w:i/>
          <w:iCs/>
          <w:color w:val="222222"/>
          <w:sz w:val="16"/>
          <w:szCs w:val="16"/>
          <w:shd w:val="clear" w:color="auto" w:fill="FFFFFF"/>
        </w:rPr>
        <w:t>Journal of Cleaner Production</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414</w:t>
      </w:r>
      <w:r w:rsidR="00F24E56" w:rsidRPr="00895324">
        <w:rPr>
          <w:rFonts w:ascii="Times New Roman"/>
          <w:color w:val="222222"/>
          <w:sz w:val="16"/>
          <w:szCs w:val="16"/>
          <w:shd w:val="clear" w:color="auto" w:fill="FFFFFF"/>
        </w:rPr>
        <w:t>, 137529.</w:t>
      </w:r>
    </w:p>
    <w:p w14:paraId="06E1D438" w14:textId="1A0C72C6" w:rsidR="00F24E56" w:rsidRPr="00895324" w:rsidRDefault="00895324" w:rsidP="00895324">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 xml:space="preserve">[25] </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Rahman, M. M., Gemechu, E., Oni, A. O., &amp; Kumar, A. (2023). The development of a techno-economic model for assessment of cost of energy storage for vehicle-to-grid applications in a cold climate. </w:t>
      </w:r>
      <w:r w:rsidR="00F24E56" w:rsidRPr="00895324">
        <w:rPr>
          <w:rFonts w:ascii="Times New Roman"/>
          <w:i/>
          <w:iCs/>
          <w:color w:val="222222"/>
          <w:sz w:val="16"/>
          <w:szCs w:val="16"/>
          <w:shd w:val="clear" w:color="auto" w:fill="FFFFFF"/>
        </w:rPr>
        <w:t>Energy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262</w:t>
      </w:r>
      <w:r w:rsidR="00F24E56" w:rsidRPr="00895324">
        <w:rPr>
          <w:rFonts w:ascii="Times New Roman"/>
          <w:color w:val="222222"/>
          <w:sz w:val="16"/>
          <w:szCs w:val="16"/>
          <w:shd w:val="clear" w:color="auto" w:fill="FFFFFF"/>
        </w:rPr>
        <w:t>, 125398.</w:t>
      </w:r>
    </w:p>
    <w:p w14:paraId="2097177A" w14:textId="73302BC7" w:rsidR="00F24E56" w:rsidRPr="00895324" w:rsidRDefault="00895324" w:rsidP="00895324">
      <w:pPr>
        <w:tabs>
          <w:tab w:val="left" w:pos="360"/>
        </w:tabs>
        <w:spacing w:after="0"/>
        <w:jc w:val="both"/>
        <w:rPr>
          <w:rFonts w:ascii="Times New Roman"/>
          <w:color w:val="222222"/>
          <w:sz w:val="16"/>
          <w:szCs w:val="16"/>
          <w:shd w:val="clear" w:color="auto" w:fill="FFFFFF"/>
        </w:rPr>
      </w:pPr>
      <w:r>
        <w:rPr>
          <w:rFonts w:ascii="Times New Roman"/>
          <w:color w:val="222222"/>
          <w:sz w:val="16"/>
          <w:szCs w:val="16"/>
          <w:shd w:val="clear" w:color="auto" w:fill="FFFFFF"/>
        </w:rPr>
        <w:t xml:space="preserve">[26] </w:t>
      </w:r>
      <w:r>
        <w:rPr>
          <w:rFonts w:ascii="Times New Roman"/>
          <w:color w:val="222222"/>
          <w:sz w:val="16"/>
          <w:szCs w:val="16"/>
          <w:shd w:val="clear" w:color="auto" w:fill="FFFFFF"/>
        </w:rPr>
        <w:tab/>
      </w:r>
      <w:proofErr w:type="spellStart"/>
      <w:r w:rsidR="00F24E56" w:rsidRPr="00895324">
        <w:rPr>
          <w:rFonts w:ascii="Times New Roman"/>
          <w:color w:val="222222"/>
          <w:sz w:val="16"/>
          <w:szCs w:val="16"/>
          <w:shd w:val="clear" w:color="auto" w:fill="FFFFFF"/>
        </w:rPr>
        <w:t>Roccotelli</w:t>
      </w:r>
      <w:proofErr w:type="spellEnd"/>
      <w:r w:rsidR="00F24E56" w:rsidRPr="00895324">
        <w:rPr>
          <w:rFonts w:ascii="Times New Roman"/>
          <w:color w:val="222222"/>
          <w:sz w:val="16"/>
          <w:szCs w:val="16"/>
          <w:shd w:val="clear" w:color="auto" w:fill="FFFFFF"/>
        </w:rPr>
        <w:t>, M., Mangini, A. M., &amp; Fanti, M. P. (2022). Smart district energy management with cooperative microgrids. </w:t>
      </w:r>
      <w:r w:rsidR="00F24E56" w:rsidRPr="00895324">
        <w:rPr>
          <w:rFonts w:ascii="Times New Roman"/>
          <w:i/>
          <w:iCs/>
          <w:color w:val="222222"/>
          <w:sz w:val="16"/>
          <w:szCs w:val="16"/>
          <w:shd w:val="clear" w:color="auto" w:fill="FFFFFF"/>
        </w:rPr>
        <w:t>IEEE Access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10</w:t>
      </w:r>
      <w:r w:rsidR="00F24E56" w:rsidRPr="00895324">
        <w:rPr>
          <w:rFonts w:ascii="Times New Roman"/>
          <w:color w:val="222222"/>
          <w:sz w:val="16"/>
          <w:szCs w:val="16"/>
          <w:shd w:val="clear" w:color="auto" w:fill="FFFFFF"/>
        </w:rPr>
        <w:t>, 36311-36326.</w:t>
      </w:r>
    </w:p>
    <w:p w14:paraId="5F6C6076" w14:textId="757516B3" w:rsidR="00F24E56" w:rsidRPr="00895324" w:rsidRDefault="00895324"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[27]</w:t>
      </w:r>
      <w:r w:rsidR="00CC6279">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Rodrigues, S. D., &amp; Garcia, V. J. (2023). Transactive energy in microgrid communities: A systematic review. </w:t>
      </w:r>
      <w:r w:rsidR="00F24E56" w:rsidRPr="00895324">
        <w:rPr>
          <w:rFonts w:ascii="Times New Roman"/>
          <w:i/>
          <w:iCs/>
          <w:color w:val="222222"/>
          <w:sz w:val="16"/>
          <w:szCs w:val="16"/>
          <w:shd w:val="clear" w:color="auto" w:fill="FFFFFF"/>
        </w:rPr>
        <w:t>Renewable and Sustainable Energy Reviews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171</w:t>
      </w:r>
      <w:r w:rsidR="00F24E56" w:rsidRPr="00895324">
        <w:rPr>
          <w:rFonts w:ascii="Times New Roman"/>
          <w:color w:val="222222"/>
          <w:sz w:val="16"/>
          <w:szCs w:val="16"/>
          <w:shd w:val="clear" w:color="auto" w:fill="FFFFFF"/>
        </w:rPr>
        <w:t>, 112999.</w:t>
      </w:r>
    </w:p>
    <w:p w14:paraId="5BBD7119" w14:textId="17263588"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[28]</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Seger, P. V., Rigo-Mariani, R., </w:t>
      </w:r>
      <w:proofErr w:type="spellStart"/>
      <w:r w:rsidR="00F24E56" w:rsidRPr="00895324">
        <w:rPr>
          <w:rFonts w:ascii="Times New Roman"/>
          <w:color w:val="222222"/>
          <w:sz w:val="16"/>
          <w:szCs w:val="16"/>
          <w:shd w:val="clear" w:color="auto" w:fill="FFFFFF"/>
        </w:rPr>
        <w:t>Thivel</w:t>
      </w:r>
      <w:proofErr w:type="spellEnd"/>
      <w:r w:rsidR="00F24E56" w:rsidRPr="00895324">
        <w:rPr>
          <w:rFonts w:ascii="Times New Roman"/>
          <w:color w:val="222222"/>
          <w:sz w:val="16"/>
          <w:szCs w:val="16"/>
          <w:shd w:val="clear" w:color="auto" w:fill="FFFFFF"/>
        </w:rPr>
        <w:t>, P. X., &amp; Riu, D. (2023). A storage degradation model of Li-ion batteries to integrate ageing effects in the optimal management and design of an isolated microgrid. </w:t>
      </w:r>
      <w:r w:rsidR="00F24E56" w:rsidRPr="00895324">
        <w:rPr>
          <w:rFonts w:ascii="Times New Roman"/>
          <w:i/>
          <w:iCs/>
          <w:color w:val="222222"/>
          <w:sz w:val="16"/>
          <w:szCs w:val="16"/>
          <w:shd w:val="clear" w:color="auto" w:fill="FFFFFF"/>
        </w:rPr>
        <w:t>Applied Energy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333</w:t>
      </w:r>
      <w:r w:rsidR="00F24E56" w:rsidRPr="00895324">
        <w:rPr>
          <w:rFonts w:ascii="Times New Roman"/>
          <w:color w:val="222222"/>
          <w:sz w:val="16"/>
          <w:szCs w:val="16"/>
          <w:shd w:val="clear" w:color="auto" w:fill="FFFFFF"/>
        </w:rPr>
        <w:t>, 120584.</w:t>
      </w:r>
    </w:p>
    <w:p w14:paraId="0DA8AAF2" w14:textId="650AE61A"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 xml:space="preserve">[29] </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 xml:space="preserve">Shezan, S. A., Kamwa, I., </w:t>
      </w:r>
      <w:proofErr w:type="spellStart"/>
      <w:r w:rsidR="00F24E56" w:rsidRPr="00895324">
        <w:rPr>
          <w:rFonts w:ascii="Times New Roman"/>
          <w:color w:val="222222"/>
          <w:sz w:val="16"/>
          <w:szCs w:val="16"/>
          <w:shd w:val="clear" w:color="auto" w:fill="FFFFFF"/>
        </w:rPr>
        <w:t>Ishraque</w:t>
      </w:r>
      <w:proofErr w:type="spellEnd"/>
      <w:r w:rsidR="00F24E56" w:rsidRPr="00895324">
        <w:rPr>
          <w:rFonts w:ascii="Times New Roman"/>
          <w:color w:val="222222"/>
          <w:sz w:val="16"/>
          <w:szCs w:val="16"/>
          <w:shd w:val="clear" w:color="auto" w:fill="FFFFFF"/>
        </w:rPr>
        <w:t xml:space="preserve">, M. F., </w:t>
      </w:r>
      <w:proofErr w:type="spellStart"/>
      <w:r w:rsidR="00F24E56" w:rsidRPr="00895324">
        <w:rPr>
          <w:rFonts w:ascii="Times New Roman"/>
          <w:color w:val="222222"/>
          <w:sz w:val="16"/>
          <w:szCs w:val="16"/>
          <w:shd w:val="clear" w:color="auto" w:fill="FFFFFF"/>
        </w:rPr>
        <w:t>Muyeen</w:t>
      </w:r>
      <w:proofErr w:type="spellEnd"/>
      <w:r w:rsidR="00F24E56" w:rsidRPr="00895324">
        <w:rPr>
          <w:rFonts w:ascii="Times New Roman"/>
          <w:color w:val="222222"/>
          <w:sz w:val="16"/>
          <w:szCs w:val="16"/>
          <w:shd w:val="clear" w:color="auto" w:fill="FFFFFF"/>
        </w:rPr>
        <w:t xml:space="preserve">, S. M., Hasan, K. N., </w:t>
      </w:r>
      <w:proofErr w:type="spellStart"/>
      <w:r w:rsidR="00F24E56" w:rsidRPr="00895324">
        <w:rPr>
          <w:rFonts w:ascii="Times New Roman"/>
          <w:color w:val="222222"/>
          <w:sz w:val="16"/>
          <w:szCs w:val="16"/>
          <w:shd w:val="clear" w:color="auto" w:fill="FFFFFF"/>
        </w:rPr>
        <w:t>Saidur</w:t>
      </w:r>
      <w:proofErr w:type="spellEnd"/>
      <w:r w:rsidR="00F24E56" w:rsidRPr="00895324">
        <w:rPr>
          <w:rFonts w:ascii="Times New Roman"/>
          <w:color w:val="222222"/>
          <w:sz w:val="16"/>
          <w:szCs w:val="16"/>
          <w:shd w:val="clear" w:color="auto" w:fill="FFFFFF"/>
        </w:rPr>
        <w:t>, R., ... &amp; Al-Sulaiman, F. A. (2023). Evaluation of different optimization techniques and control strategies of hybrid microgrid: a review. </w:t>
      </w:r>
      <w:r w:rsidR="00F24E56" w:rsidRPr="00895324">
        <w:rPr>
          <w:rFonts w:ascii="Times New Roman"/>
          <w:i/>
          <w:iCs/>
          <w:color w:val="222222"/>
          <w:sz w:val="16"/>
          <w:szCs w:val="16"/>
          <w:shd w:val="clear" w:color="auto" w:fill="FFFFFF"/>
        </w:rPr>
        <w:t>Energies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16</w:t>
      </w:r>
      <w:r w:rsidR="00F24E56" w:rsidRPr="00895324">
        <w:rPr>
          <w:rFonts w:ascii="Times New Roman"/>
          <w:color w:val="222222"/>
          <w:sz w:val="16"/>
          <w:szCs w:val="16"/>
          <w:shd w:val="clear" w:color="auto" w:fill="FFFFFF"/>
        </w:rPr>
        <w:t>(4), 1792.</w:t>
      </w:r>
    </w:p>
    <w:p w14:paraId="1AB2B7BE" w14:textId="075333E4"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 xml:space="preserve">[30] </w:t>
      </w:r>
      <w:r>
        <w:rPr>
          <w:rFonts w:ascii="Times New Roman"/>
          <w:color w:val="222222"/>
          <w:sz w:val="16"/>
          <w:szCs w:val="16"/>
          <w:shd w:val="clear" w:color="auto" w:fill="FFFFFF"/>
        </w:rPr>
        <w:tab/>
      </w:r>
      <w:proofErr w:type="spellStart"/>
      <w:r w:rsidR="00F24E56" w:rsidRPr="00895324">
        <w:rPr>
          <w:rFonts w:ascii="Times New Roman"/>
          <w:color w:val="222222"/>
          <w:sz w:val="16"/>
          <w:szCs w:val="16"/>
          <w:shd w:val="clear" w:color="auto" w:fill="FFFFFF"/>
        </w:rPr>
        <w:t>Shufian</w:t>
      </w:r>
      <w:proofErr w:type="spellEnd"/>
      <w:r w:rsidR="00F24E56" w:rsidRPr="00895324">
        <w:rPr>
          <w:rFonts w:ascii="Times New Roman"/>
          <w:color w:val="222222"/>
          <w:sz w:val="16"/>
          <w:szCs w:val="16"/>
          <w:shd w:val="clear" w:color="auto" w:fill="FFFFFF"/>
        </w:rPr>
        <w:t>, A., &amp; Mohammad, N. (2022). Modeling and analysis of cost-effective energy management for integrated microgrids. </w:t>
      </w:r>
      <w:r w:rsidR="00F24E56" w:rsidRPr="00895324">
        <w:rPr>
          <w:rFonts w:ascii="Times New Roman"/>
          <w:i/>
          <w:iCs/>
          <w:color w:val="222222"/>
          <w:sz w:val="16"/>
          <w:szCs w:val="16"/>
          <w:shd w:val="clear" w:color="auto" w:fill="FFFFFF"/>
        </w:rPr>
        <w:t>Cleaner Engineering and Technology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8</w:t>
      </w:r>
      <w:r w:rsidR="00F24E56" w:rsidRPr="00895324">
        <w:rPr>
          <w:rFonts w:ascii="Times New Roman"/>
          <w:color w:val="222222"/>
          <w:sz w:val="16"/>
          <w:szCs w:val="16"/>
          <w:shd w:val="clear" w:color="auto" w:fill="FFFFFF"/>
        </w:rPr>
        <w:t>, 100508.</w:t>
      </w:r>
    </w:p>
    <w:p w14:paraId="553FC5D8" w14:textId="485CB267"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[31]</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Siddique, A., Zhao, C., &amp; Li, X. (2023, February). Microgrid Optimal Energy Scheduling with Risk Analysis. In </w:t>
      </w:r>
      <w:r w:rsidR="00F24E56" w:rsidRPr="00895324">
        <w:rPr>
          <w:rFonts w:ascii="Times New Roman"/>
          <w:i/>
          <w:iCs/>
          <w:color w:val="222222"/>
          <w:sz w:val="16"/>
          <w:szCs w:val="16"/>
          <w:shd w:val="clear" w:color="auto" w:fill="FFFFFF"/>
        </w:rPr>
        <w:t>2023 IEEE Texas Power and Energy Conference (TPEC)</w:t>
      </w:r>
      <w:r w:rsidR="00F24E56" w:rsidRPr="00895324">
        <w:rPr>
          <w:rFonts w:ascii="Times New Roman"/>
          <w:color w:val="222222"/>
          <w:sz w:val="16"/>
          <w:szCs w:val="16"/>
          <w:shd w:val="clear" w:color="auto" w:fill="FFFFFF"/>
        </w:rPr>
        <w:t> (pp. 1-5). IEEE.</w:t>
      </w:r>
    </w:p>
    <w:p w14:paraId="0A95D6CC" w14:textId="3EE35DE5"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[32]</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Sun, L., Peng, J., Dinçer, H., &amp; Yüksel, S. (2022). Coalition-oriented strategic selection of renewable energy system alternatives using q-ROF DEMATEL with golden cut. </w:t>
      </w:r>
      <w:r w:rsidR="00F24E56" w:rsidRPr="00895324">
        <w:rPr>
          <w:rFonts w:ascii="Times New Roman"/>
          <w:i/>
          <w:iCs/>
          <w:color w:val="222222"/>
          <w:sz w:val="16"/>
          <w:szCs w:val="16"/>
          <w:shd w:val="clear" w:color="auto" w:fill="FFFFFF"/>
        </w:rPr>
        <w:t>Energy</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256</w:t>
      </w:r>
      <w:r w:rsidR="00F24E56" w:rsidRPr="00895324">
        <w:rPr>
          <w:rFonts w:ascii="Times New Roman"/>
          <w:color w:val="222222"/>
          <w:sz w:val="16"/>
          <w:szCs w:val="16"/>
          <w:shd w:val="clear" w:color="auto" w:fill="FFFFFF"/>
        </w:rPr>
        <w:t>, 124606.</w:t>
      </w:r>
    </w:p>
    <w:p w14:paraId="315E1618" w14:textId="25B6AC0E"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[33]</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Van, L. P., Do Chi, K., &amp; Duc, T. N. (2023). Review of hydrogen technologies based microgrid: Energy management systems, challenges and future recommendations. </w:t>
      </w:r>
      <w:r w:rsidR="00F24E56" w:rsidRPr="00895324">
        <w:rPr>
          <w:rFonts w:ascii="Times New Roman"/>
          <w:i/>
          <w:iCs/>
          <w:color w:val="222222"/>
          <w:sz w:val="16"/>
          <w:szCs w:val="16"/>
          <w:shd w:val="clear" w:color="auto" w:fill="FFFFFF"/>
        </w:rPr>
        <w:t>International Journal of Hydrogen Energy</w:t>
      </w:r>
      <w:r w:rsidR="00F24E56" w:rsidRPr="00895324">
        <w:rPr>
          <w:rFonts w:ascii="Times New Roman"/>
          <w:color w:val="222222"/>
          <w:sz w:val="16"/>
          <w:szCs w:val="16"/>
          <w:shd w:val="clear" w:color="auto" w:fill="FFFFFF"/>
        </w:rPr>
        <w:t>.</w:t>
      </w:r>
    </w:p>
    <w:p w14:paraId="0182633A" w14:textId="1F5ED97E" w:rsidR="00F24E56"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rPr>
        <w:t>[34]</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Yang, S., Lin, H., Ju, L., &amp; Ma, J. (2023). Chance-constrained bi-level optimal dispatching model and benefit allocation strategy for off-grid microgrid considering bilateral uncertainty of supply and demand. </w:t>
      </w:r>
      <w:r w:rsidR="00F24E56" w:rsidRPr="00895324">
        <w:rPr>
          <w:rFonts w:ascii="Times New Roman"/>
          <w:i/>
          <w:iCs/>
          <w:color w:val="222222"/>
          <w:sz w:val="16"/>
          <w:szCs w:val="16"/>
          <w:shd w:val="clear" w:color="auto" w:fill="FFFFFF"/>
        </w:rPr>
        <w:t>International Journal of Electrical Power &amp; Energy Systems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146</w:t>
      </w:r>
      <w:r w:rsidR="00F24E56" w:rsidRPr="00895324">
        <w:rPr>
          <w:rFonts w:ascii="Times New Roman"/>
          <w:color w:val="222222"/>
          <w:sz w:val="16"/>
          <w:szCs w:val="16"/>
          <w:shd w:val="clear" w:color="auto" w:fill="FFFFFF"/>
        </w:rPr>
        <w:t>, 108719.</w:t>
      </w:r>
    </w:p>
    <w:p w14:paraId="022546A5" w14:textId="16960342" w:rsidR="00F24E56" w:rsidRPr="00895324" w:rsidRDefault="00CC6279" w:rsidP="00CC6279">
      <w:pPr>
        <w:tabs>
          <w:tab w:val="left" w:pos="270"/>
          <w:tab w:val="left" w:pos="360"/>
        </w:tabs>
        <w:spacing w:after="0"/>
        <w:ind w:left="360" w:hanging="360"/>
        <w:jc w:val="both"/>
        <w:rPr>
          <w:rFonts w:ascii="Times New Roman"/>
          <w:color w:val="222222"/>
          <w:sz w:val="16"/>
          <w:szCs w:val="16"/>
          <w:shd w:val="clear" w:color="auto" w:fill="FFFFFF"/>
          <w:lang w:val="es-ES"/>
        </w:rPr>
      </w:pPr>
      <w:r>
        <w:rPr>
          <w:rFonts w:ascii="Times New Roman"/>
          <w:color w:val="222222"/>
          <w:sz w:val="16"/>
          <w:szCs w:val="16"/>
          <w:shd w:val="clear" w:color="auto" w:fill="FFFFFF"/>
        </w:rPr>
        <w:t>[35]</w:t>
      </w:r>
      <w:r>
        <w:rPr>
          <w:rFonts w:ascii="Times New Roman"/>
          <w:color w:val="222222"/>
          <w:sz w:val="16"/>
          <w:szCs w:val="16"/>
          <w:shd w:val="clear" w:color="auto" w:fill="FFFFFF"/>
        </w:rPr>
        <w:tab/>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Youssef, A. R., Mallah, M., Ali, A., Shaaban, M. F., &amp; Mohamed, E. E. (2023). Enhancement of Microgrid Frequency Stability Based on the Combined Power-to-Hydrogen-to-Power Technology under High Penetration Renewable Units. </w:t>
      </w:r>
      <w:proofErr w:type="spellStart"/>
      <w:r w:rsidR="00F24E56" w:rsidRPr="00895324">
        <w:rPr>
          <w:rFonts w:ascii="Times New Roman"/>
          <w:i/>
          <w:iCs/>
          <w:color w:val="222222"/>
          <w:sz w:val="16"/>
          <w:szCs w:val="16"/>
          <w:shd w:val="clear" w:color="auto" w:fill="FFFFFF"/>
          <w:lang w:val="es-ES"/>
        </w:rPr>
        <w:t>Energies</w:t>
      </w:r>
      <w:proofErr w:type="spellEnd"/>
      <w:r w:rsidR="00F24E56" w:rsidRPr="00895324">
        <w:rPr>
          <w:rFonts w:ascii="Times New Roman"/>
          <w:color w:val="222222"/>
          <w:sz w:val="16"/>
          <w:szCs w:val="16"/>
          <w:shd w:val="clear" w:color="auto" w:fill="FFFFFF"/>
          <w:lang w:val="es-ES"/>
        </w:rPr>
        <w:t>, </w:t>
      </w:r>
      <w:r w:rsidR="00F24E56" w:rsidRPr="00895324">
        <w:rPr>
          <w:rFonts w:ascii="Times New Roman"/>
          <w:i/>
          <w:iCs/>
          <w:color w:val="222222"/>
          <w:sz w:val="16"/>
          <w:szCs w:val="16"/>
          <w:shd w:val="clear" w:color="auto" w:fill="FFFFFF"/>
          <w:lang w:val="es-ES"/>
        </w:rPr>
        <w:t>16</w:t>
      </w:r>
      <w:r w:rsidR="00F24E56" w:rsidRPr="00895324">
        <w:rPr>
          <w:rFonts w:ascii="Times New Roman"/>
          <w:color w:val="222222"/>
          <w:sz w:val="16"/>
          <w:szCs w:val="16"/>
          <w:shd w:val="clear" w:color="auto" w:fill="FFFFFF"/>
          <w:lang w:val="es-ES"/>
        </w:rPr>
        <w:t>(8), 3377.</w:t>
      </w:r>
    </w:p>
    <w:p w14:paraId="6B13DF9D" w14:textId="22520390" w:rsidR="00F24E56" w:rsidRPr="00895324" w:rsidRDefault="00CC6279" w:rsidP="00CC6279">
      <w:pPr>
        <w:adjustRightInd w:val="0"/>
        <w:snapToGrid w:val="0"/>
        <w:spacing w:after="0" w:line="240" w:lineRule="auto"/>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lang w:val="es-ES"/>
        </w:rPr>
        <w:t xml:space="preserve">[36] </w:t>
      </w:r>
      <w:r>
        <w:rPr>
          <w:rFonts w:ascii="Times New Roman"/>
          <w:color w:val="222222"/>
          <w:sz w:val="16"/>
          <w:szCs w:val="16"/>
          <w:shd w:val="clear" w:color="auto" w:fill="FFFFFF"/>
          <w:lang w:val="es-ES"/>
        </w:rPr>
        <w:tab/>
      </w:r>
      <w:proofErr w:type="spellStart"/>
      <w:r w:rsidR="00F24E56" w:rsidRPr="00895324">
        <w:rPr>
          <w:rFonts w:ascii="Times New Roman"/>
          <w:color w:val="222222"/>
          <w:sz w:val="16"/>
          <w:szCs w:val="16"/>
          <w:shd w:val="clear" w:color="auto" w:fill="FFFFFF"/>
          <w:lang w:val="es-ES"/>
        </w:rPr>
        <w:t>Yu</w:t>
      </w:r>
      <w:proofErr w:type="spellEnd"/>
      <w:r w:rsidR="00F24E56" w:rsidRPr="00895324">
        <w:rPr>
          <w:rFonts w:ascii="Times New Roman"/>
          <w:color w:val="222222"/>
          <w:sz w:val="16"/>
          <w:szCs w:val="16"/>
          <w:shd w:val="clear" w:color="auto" w:fill="FFFFFF"/>
          <w:lang w:val="es-ES"/>
        </w:rPr>
        <w:t xml:space="preserve">, J., Xiao, H., </w:t>
      </w:r>
      <w:proofErr w:type="spellStart"/>
      <w:r w:rsidR="00F24E56" w:rsidRPr="00895324">
        <w:rPr>
          <w:rFonts w:ascii="Times New Roman"/>
          <w:color w:val="222222"/>
          <w:sz w:val="16"/>
          <w:szCs w:val="16"/>
          <w:shd w:val="clear" w:color="auto" w:fill="FFFFFF"/>
          <w:lang w:val="es-ES"/>
        </w:rPr>
        <w:t>Sun</w:t>
      </w:r>
      <w:proofErr w:type="spellEnd"/>
      <w:r w:rsidR="00F24E56" w:rsidRPr="00895324">
        <w:rPr>
          <w:rFonts w:ascii="Times New Roman"/>
          <w:color w:val="222222"/>
          <w:sz w:val="16"/>
          <w:szCs w:val="16"/>
          <w:shd w:val="clear" w:color="auto" w:fill="FFFFFF"/>
          <w:lang w:val="es-ES"/>
        </w:rPr>
        <w:t xml:space="preserve">, F., Yan, L., &amp; Liu, M. (2024). </w:t>
      </w:r>
      <w:r w:rsidR="00F24E56" w:rsidRPr="00895324">
        <w:rPr>
          <w:rFonts w:ascii="Times New Roman"/>
          <w:color w:val="222222"/>
          <w:sz w:val="16"/>
          <w:szCs w:val="16"/>
          <w:shd w:val="clear" w:color="auto" w:fill="FFFFFF"/>
        </w:rPr>
        <w:t>Research on the Safety Evaluation Method for Quayside Container Cranes Based on the Best–Worst Method–Pythagorean Fuzzy VIKOR Approach. </w:t>
      </w:r>
      <w:r w:rsidR="00F24E56" w:rsidRPr="00895324">
        <w:rPr>
          <w:rFonts w:ascii="Times New Roman"/>
          <w:i/>
          <w:iCs/>
          <w:color w:val="222222"/>
          <w:sz w:val="16"/>
          <w:szCs w:val="16"/>
          <w:shd w:val="clear" w:color="auto" w:fill="FFFFFF"/>
        </w:rPr>
        <w:t>Applied Sciences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14</w:t>
      </w:r>
      <w:r w:rsidR="00F24E56" w:rsidRPr="00895324">
        <w:rPr>
          <w:rFonts w:ascii="Times New Roman"/>
          <w:color w:val="222222"/>
          <w:sz w:val="16"/>
          <w:szCs w:val="16"/>
          <w:shd w:val="clear" w:color="auto" w:fill="FFFFFF"/>
        </w:rPr>
        <w:t>(3), 1312.</w:t>
      </w:r>
    </w:p>
    <w:p w14:paraId="74766DCC" w14:textId="53E20E78" w:rsidR="00F24E56" w:rsidRPr="00895324" w:rsidRDefault="00CC6279" w:rsidP="00CC6279">
      <w:pPr>
        <w:adjustRightInd w:val="0"/>
        <w:snapToGrid w:val="0"/>
        <w:spacing w:after="0" w:line="240" w:lineRule="auto"/>
        <w:ind w:left="360" w:hanging="360"/>
        <w:jc w:val="both"/>
        <w:rPr>
          <w:rFonts w:ascii="Times New Roman"/>
          <w:sz w:val="16"/>
          <w:szCs w:val="16"/>
          <w:lang w:val="es-ES" w:eastAsia="zh-CN"/>
        </w:rPr>
      </w:pPr>
      <w:r>
        <w:rPr>
          <w:rFonts w:ascii="Times New Roman"/>
          <w:color w:val="222222"/>
          <w:sz w:val="16"/>
          <w:szCs w:val="16"/>
          <w:shd w:val="clear" w:color="auto" w:fill="FFFFFF"/>
        </w:rPr>
        <w:t xml:space="preserve">[37] </w:t>
      </w:r>
      <w:r>
        <w:rPr>
          <w:rFonts w:ascii="Times New Roman"/>
          <w:color w:val="222222"/>
          <w:sz w:val="16"/>
          <w:szCs w:val="16"/>
          <w:shd w:val="clear" w:color="auto" w:fill="FFFFFF"/>
        </w:rPr>
        <w:tab/>
      </w:r>
      <w:r w:rsidR="00F24E56" w:rsidRPr="00895324">
        <w:rPr>
          <w:rFonts w:ascii="Times New Roman"/>
          <w:color w:val="222222"/>
          <w:sz w:val="16"/>
          <w:szCs w:val="16"/>
          <w:shd w:val="clear" w:color="auto" w:fill="FFFFFF"/>
        </w:rPr>
        <w:t>Yuen, K. K. F. (2024). Fuzzy cognitive network process for software reliability and quality measurement: comparisons with fuzzy analytic hierarchy process. </w:t>
      </w:r>
      <w:proofErr w:type="spellStart"/>
      <w:r w:rsidR="00F24E56" w:rsidRPr="00895324">
        <w:rPr>
          <w:rFonts w:ascii="Times New Roman"/>
          <w:i/>
          <w:iCs/>
          <w:color w:val="222222"/>
          <w:sz w:val="16"/>
          <w:szCs w:val="16"/>
          <w:shd w:val="clear" w:color="auto" w:fill="FFFFFF"/>
          <w:lang w:val="es-ES"/>
        </w:rPr>
        <w:t>Journal</w:t>
      </w:r>
      <w:proofErr w:type="spellEnd"/>
      <w:r w:rsidR="00F24E56" w:rsidRPr="00895324">
        <w:rPr>
          <w:rFonts w:ascii="Times New Roman"/>
          <w:i/>
          <w:iCs/>
          <w:color w:val="222222"/>
          <w:sz w:val="16"/>
          <w:szCs w:val="16"/>
          <w:shd w:val="clear" w:color="auto" w:fill="FFFFFF"/>
          <w:lang w:val="es-ES"/>
        </w:rPr>
        <w:t xml:space="preserve"> of </w:t>
      </w:r>
      <w:proofErr w:type="spellStart"/>
      <w:r w:rsidR="00F24E56" w:rsidRPr="00895324">
        <w:rPr>
          <w:rFonts w:ascii="Times New Roman"/>
          <w:i/>
          <w:iCs/>
          <w:color w:val="222222"/>
          <w:sz w:val="16"/>
          <w:szCs w:val="16"/>
          <w:shd w:val="clear" w:color="auto" w:fill="FFFFFF"/>
          <w:lang w:val="es-ES"/>
        </w:rPr>
        <w:t>Reliable</w:t>
      </w:r>
      <w:proofErr w:type="spellEnd"/>
      <w:r w:rsidR="00F24E56" w:rsidRPr="00895324">
        <w:rPr>
          <w:rFonts w:ascii="Times New Roman"/>
          <w:i/>
          <w:iCs/>
          <w:color w:val="222222"/>
          <w:sz w:val="16"/>
          <w:szCs w:val="16"/>
          <w:shd w:val="clear" w:color="auto" w:fill="FFFFFF"/>
          <w:lang w:val="es-ES"/>
        </w:rPr>
        <w:t xml:space="preserve"> </w:t>
      </w:r>
      <w:proofErr w:type="spellStart"/>
      <w:r w:rsidR="00F24E56" w:rsidRPr="00895324">
        <w:rPr>
          <w:rFonts w:ascii="Times New Roman"/>
          <w:i/>
          <w:iCs/>
          <w:color w:val="222222"/>
          <w:sz w:val="16"/>
          <w:szCs w:val="16"/>
          <w:shd w:val="clear" w:color="auto" w:fill="FFFFFF"/>
          <w:lang w:val="es-ES"/>
        </w:rPr>
        <w:t>Intelligent</w:t>
      </w:r>
      <w:proofErr w:type="spellEnd"/>
      <w:r w:rsidR="00F24E56" w:rsidRPr="00895324">
        <w:rPr>
          <w:rFonts w:ascii="Times New Roman"/>
          <w:i/>
          <w:iCs/>
          <w:color w:val="222222"/>
          <w:sz w:val="16"/>
          <w:szCs w:val="16"/>
          <w:shd w:val="clear" w:color="auto" w:fill="FFFFFF"/>
          <w:lang w:val="es-ES"/>
        </w:rPr>
        <w:t xml:space="preserve"> </w:t>
      </w:r>
      <w:proofErr w:type="spellStart"/>
      <w:r w:rsidR="00F24E56" w:rsidRPr="00895324">
        <w:rPr>
          <w:rFonts w:ascii="Times New Roman"/>
          <w:i/>
          <w:iCs/>
          <w:color w:val="222222"/>
          <w:sz w:val="16"/>
          <w:szCs w:val="16"/>
          <w:shd w:val="clear" w:color="auto" w:fill="FFFFFF"/>
          <w:lang w:val="es-ES"/>
        </w:rPr>
        <w:t>Environments</w:t>
      </w:r>
      <w:proofErr w:type="spellEnd"/>
      <w:r w:rsidR="00F24E56" w:rsidRPr="00895324">
        <w:rPr>
          <w:rFonts w:ascii="Times New Roman"/>
          <w:color w:val="222222"/>
          <w:sz w:val="16"/>
          <w:szCs w:val="16"/>
          <w:shd w:val="clear" w:color="auto" w:fill="FFFFFF"/>
          <w:lang w:val="es-ES"/>
        </w:rPr>
        <w:t>, 1-18.</w:t>
      </w:r>
    </w:p>
    <w:p w14:paraId="280B4FE5" w14:textId="1A97FD6D" w:rsidR="00CF47C4" w:rsidRPr="00895324" w:rsidRDefault="00CC6279" w:rsidP="00CC6279">
      <w:pPr>
        <w:tabs>
          <w:tab w:val="left" w:pos="360"/>
        </w:tabs>
        <w:spacing w:after="0"/>
        <w:ind w:left="360" w:hanging="360"/>
        <w:jc w:val="both"/>
        <w:rPr>
          <w:rFonts w:ascii="Times New Roman"/>
          <w:color w:val="222222"/>
          <w:sz w:val="16"/>
          <w:szCs w:val="16"/>
          <w:shd w:val="clear" w:color="auto" w:fill="FFFFFF"/>
        </w:rPr>
      </w:pPr>
      <w:r>
        <w:rPr>
          <w:rFonts w:ascii="Times New Roman"/>
          <w:color w:val="222222"/>
          <w:sz w:val="16"/>
          <w:szCs w:val="16"/>
          <w:shd w:val="clear" w:color="auto" w:fill="FFFFFF"/>
          <w:lang w:val="es-ES"/>
        </w:rPr>
        <w:t xml:space="preserve">[38] </w:t>
      </w:r>
      <w:r>
        <w:rPr>
          <w:rFonts w:ascii="Times New Roman"/>
          <w:color w:val="222222"/>
          <w:sz w:val="16"/>
          <w:szCs w:val="16"/>
          <w:shd w:val="clear" w:color="auto" w:fill="FFFFFF"/>
          <w:lang w:val="es-ES"/>
        </w:rPr>
        <w:tab/>
      </w:r>
      <w:r w:rsidR="00F24E56" w:rsidRPr="00895324">
        <w:rPr>
          <w:rFonts w:ascii="Times New Roman"/>
          <w:color w:val="222222"/>
          <w:sz w:val="16"/>
          <w:szCs w:val="16"/>
          <w:shd w:val="clear" w:color="auto" w:fill="FFFFFF"/>
          <w:lang w:val="es-ES"/>
        </w:rPr>
        <w:t>Zarate-</w:t>
      </w:r>
      <w:proofErr w:type="spellStart"/>
      <w:r w:rsidR="00F24E56" w:rsidRPr="00895324">
        <w:rPr>
          <w:rFonts w:ascii="Times New Roman"/>
          <w:color w:val="222222"/>
          <w:sz w:val="16"/>
          <w:szCs w:val="16"/>
          <w:shd w:val="clear" w:color="auto" w:fill="FFFFFF"/>
          <w:lang w:val="es-ES"/>
        </w:rPr>
        <w:t>Perez</w:t>
      </w:r>
      <w:proofErr w:type="spellEnd"/>
      <w:r w:rsidR="00F24E56" w:rsidRPr="00895324">
        <w:rPr>
          <w:rFonts w:ascii="Times New Roman"/>
          <w:color w:val="222222"/>
          <w:sz w:val="16"/>
          <w:szCs w:val="16"/>
          <w:shd w:val="clear" w:color="auto" w:fill="FFFFFF"/>
          <w:lang w:val="es-ES"/>
        </w:rPr>
        <w:t xml:space="preserve">, E., Rosales-Asensio, E., </w:t>
      </w:r>
      <w:proofErr w:type="spellStart"/>
      <w:r w:rsidR="00F24E56" w:rsidRPr="00895324">
        <w:rPr>
          <w:rFonts w:ascii="Times New Roman"/>
          <w:color w:val="222222"/>
          <w:sz w:val="16"/>
          <w:szCs w:val="16"/>
          <w:shd w:val="clear" w:color="auto" w:fill="FFFFFF"/>
          <w:lang w:val="es-ES"/>
        </w:rPr>
        <w:t>Gonzalez-Martinez</w:t>
      </w:r>
      <w:proofErr w:type="spellEnd"/>
      <w:r w:rsidR="00F24E56" w:rsidRPr="00895324">
        <w:rPr>
          <w:rFonts w:ascii="Times New Roman"/>
          <w:color w:val="222222"/>
          <w:sz w:val="16"/>
          <w:szCs w:val="16"/>
          <w:shd w:val="clear" w:color="auto" w:fill="FFFFFF"/>
          <w:lang w:val="es-ES"/>
        </w:rPr>
        <w:t xml:space="preserve">, A., De </w:t>
      </w:r>
      <w:proofErr w:type="spellStart"/>
      <w:r w:rsidR="00F24E56" w:rsidRPr="00895324">
        <w:rPr>
          <w:rFonts w:ascii="Times New Roman"/>
          <w:color w:val="222222"/>
          <w:sz w:val="16"/>
          <w:szCs w:val="16"/>
          <w:shd w:val="clear" w:color="auto" w:fill="FFFFFF"/>
          <w:lang w:val="es-ES"/>
        </w:rPr>
        <w:t>Simon</w:t>
      </w:r>
      <w:proofErr w:type="spellEnd"/>
      <w:r w:rsidR="00F24E56" w:rsidRPr="00895324">
        <w:rPr>
          <w:rFonts w:ascii="Times New Roman"/>
          <w:color w:val="222222"/>
          <w:sz w:val="16"/>
          <w:szCs w:val="16"/>
          <w:shd w:val="clear" w:color="auto" w:fill="FFFFFF"/>
          <w:lang w:val="es-ES"/>
        </w:rPr>
        <w:t xml:space="preserve">-Martin, M., &amp; Colmenar-Santos, A. (2022). </w:t>
      </w:r>
      <w:r w:rsidR="00F24E56" w:rsidRPr="00895324">
        <w:rPr>
          <w:rFonts w:ascii="Times New Roman"/>
          <w:color w:val="222222"/>
          <w:sz w:val="16"/>
          <w:szCs w:val="16"/>
          <w:shd w:val="clear" w:color="auto" w:fill="FFFFFF"/>
        </w:rPr>
        <w:t>Battery energy storage performance in microgrids: A scientific mapping perspective. </w:t>
      </w:r>
      <w:r w:rsidR="00F24E56" w:rsidRPr="00895324">
        <w:rPr>
          <w:rFonts w:ascii="Times New Roman"/>
          <w:i/>
          <w:iCs/>
          <w:color w:val="222222"/>
          <w:sz w:val="16"/>
          <w:szCs w:val="16"/>
          <w:shd w:val="clear" w:color="auto" w:fill="FFFFFF"/>
        </w:rPr>
        <w:t>Energy Reports</w:t>
      </w:r>
      <w:r w:rsidR="00F24E56" w:rsidRPr="00895324">
        <w:rPr>
          <w:rFonts w:ascii="Times New Roman"/>
          <w:color w:val="222222"/>
          <w:sz w:val="16"/>
          <w:szCs w:val="16"/>
          <w:shd w:val="clear" w:color="auto" w:fill="FFFFFF"/>
        </w:rPr>
        <w:t>, </w:t>
      </w:r>
      <w:r w:rsidR="00F24E56" w:rsidRPr="00895324">
        <w:rPr>
          <w:rFonts w:ascii="Times New Roman"/>
          <w:i/>
          <w:iCs/>
          <w:color w:val="222222"/>
          <w:sz w:val="16"/>
          <w:szCs w:val="16"/>
          <w:shd w:val="clear" w:color="auto" w:fill="FFFFFF"/>
        </w:rPr>
        <w:t>8</w:t>
      </w:r>
      <w:r w:rsidR="00F24E56" w:rsidRPr="00895324">
        <w:rPr>
          <w:rFonts w:ascii="Times New Roman"/>
          <w:color w:val="222222"/>
          <w:sz w:val="16"/>
          <w:szCs w:val="16"/>
          <w:shd w:val="clear" w:color="auto" w:fill="FFFFFF"/>
        </w:rPr>
        <w:t>, 259-268.</w:t>
      </w:r>
    </w:p>
    <w:sectPr w:rsidR="00CF47C4" w:rsidRPr="00895324" w:rsidSect="00F24E5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DD85" w14:textId="77777777" w:rsidR="0087618F" w:rsidRDefault="0087618F">
      <w:pPr>
        <w:spacing w:after="0" w:line="240" w:lineRule="auto"/>
      </w:pPr>
      <w:r>
        <w:separator/>
      </w:r>
    </w:p>
  </w:endnote>
  <w:endnote w:type="continuationSeparator" w:id="0">
    <w:p w14:paraId="4783C94E" w14:textId="77777777" w:rsidR="0087618F" w:rsidRDefault="0087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2CC38" w14:textId="77777777" w:rsidR="005B4442" w:rsidRPr="00B402A1" w:rsidRDefault="00000D92"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6C784A">
      <w:rPr>
        <w:rFonts w:ascii="Times New Roman"/>
        <w:noProof/>
        <w:sz w:val="20"/>
      </w:rPr>
      <w:t>9</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D054"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000D92">
      <w:rPr>
        <w:rFonts w:ascii="Times New Roman"/>
        <w:sz w:val="20"/>
      </w:rPr>
      <w:fldChar w:fldCharType="begin"/>
    </w:r>
    <w:r w:rsidR="005B4442">
      <w:rPr>
        <w:rFonts w:ascii="Times New Roman"/>
        <w:sz w:val="20"/>
      </w:rPr>
      <w:instrText xml:space="preserve"> PAGE  \* Arabic  \* MERGEFORMAT </w:instrText>
    </w:r>
    <w:r w:rsidR="00000D92">
      <w:rPr>
        <w:rFonts w:ascii="Times New Roman"/>
        <w:sz w:val="20"/>
      </w:rPr>
      <w:fldChar w:fldCharType="separate"/>
    </w:r>
    <w:r w:rsidR="006C784A">
      <w:rPr>
        <w:rFonts w:ascii="Times New Roman"/>
        <w:noProof/>
        <w:sz w:val="20"/>
      </w:rPr>
      <w:t>1</w:t>
    </w:r>
    <w:r w:rsidR="00000D92">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4C574" w14:textId="77777777" w:rsidR="0087618F" w:rsidRDefault="0087618F">
      <w:pPr>
        <w:spacing w:after="0" w:line="240" w:lineRule="auto"/>
      </w:pPr>
      <w:r>
        <w:separator/>
      </w:r>
    </w:p>
  </w:footnote>
  <w:footnote w:type="continuationSeparator" w:id="0">
    <w:p w14:paraId="53AD7215" w14:textId="77777777" w:rsidR="0087618F" w:rsidRDefault="00876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4CFEE" w14:textId="77777777" w:rsidR="005B4442" w:rsidRPr="00C876A3" w:rsidRDefault="005B4442" w:rsidP="00C87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1377D"/>
    <w:multiLevelType w:val="hybridMultilevel"/>
    <w:tmpl w:val="F2AC35E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00D92"/>
    <w:rsid w:val="00016496"/>
    <w:rsid w:val="000423E1"/>
    <w:rsid w:val="00047DEA"/>
    <w:rsid w:val="00061B45"/>
    <w:rsid w:val="00066EC9"/>
    <w:rsid w:val="00076BC1"/>
    <w:rsid w:val="000A4F4A"/>
    <w:rsid w:val="000D3808"/>
    <w:rsid w:val="001436DE"/>
    <w:rsid w:val="0014563F"/>
    <w:rsid w:val="001813DF"/>
    <w:rsid w:val="00191607"/>
    <w:rsid w:val="001B049F"/>
    <w:rsid w:val="001B7C21"/>
    <w:rsid w:val="001B7D90"/>
    <w:rsid w:val="001D25A9"/>
    <w:rsid w:val="00214DED"/>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61281"/>
    <w:rsid w:val="00376239"/>
    <w:rsid w:val="00383785"/>
    <w:rsid w:val="003A1300"/>
    <w:rsid w:val="003F6BF5"/>
    <w:rsid w:val="00427D67"/>
    <w:rsid w:val="00432BC1"/>
    <w:rsid w:val="004413E4"/>
    <w:rsid w:val="00452C5D"/>
    <w:rsid w:val="0046625C"/>
    <w:rsid w:val="00472CB1"/>
    <w:rsid w:val="004824B7"/>
    <w:rsid w:val="00486532"/>
    <w:rsid w:val="004927ED"/>
    <w:rsid w:val="005370EE"/>
    <w:rsid w:val="0054449B"/>
    <w:rsid w:val="00550689"/>
    <w:rsid w:val="0055239A"/>
    <w:rsid w:val="00553DDD"/>
    <w:rsid w:val="00554144"/>
    <w:rsid w:val="00580FE7"/>
    <w:rsid w:val="0058600F"/>
    <w:rsid w:val="005879C7"/>
    <w:rsid w:val="00595641"/>
    <w:rsid w:val="005B4442"/>
    <w:rsid w:val="005B4E25"/>
    <w:rsid w:val="005F4261"/>
    <w:rsid w:val="00611C34"/>
    <w:rsid w:val="00612794"/>
    <w:rsid w:val="00616876"/>
    <w:rsid w:val="00634FCE"/>
    <w:rsid w:val="00682A98"/>
    <w:rsid w:val="006C784A"/>
    <w:rsid w:val="006F61CC"/>
    <w:rsid w:val="007075A9"/>
    <w:rsid w:val="0073404A"/>
    <w:rsid w:val="007465B9"/>
    <w:rsid w:val="00746CE4"/>
    <w:rsid w:val="00756AB9"/>
    <w:rsid w:val="0076579E"/>
    <w:rsid w:val="00777498"/>
    <w:rsid w:val="007F7C27"/>
    <w:rsid w:val="00821E20"/>
    <w:rsid w:val="0087618F"/>
    <w:rsid w:val="00895324"/>
    <w:rsid w:val="008A0474"/>
    <w:rsid w:val="008A7684"/>
    <w:rsid w:val="008B111C"/>
    <w:rsid w:val="008B4351"/>
    <w:rsid w:val="008C1232"/>
    <w:rsid w:val="00930E98"/>
    <w:rsid w:val="009440A4"/>
    <w:rsid w:val="00945C41"/>
    <w:rsid w:val="00946D1A"/>
    <w:rsid w:val="009834DD"/>
    <w:rsid w:val="009B3E22"/>
    <w:rsid w:val="009E6068"/>
    <w:rsid w:val="009E7631"/>
    <w:rsid w:val="00A0330F"/>
    <w:rsid w:val="00A03666"/>
    <w:rsid w:val="00A076A0"/>
    <w:rsid w:val="00A516D0"/>
    <w:rsid w:val="00A67C1E"/>
    <w:rsid w:val="00AA58F4"/>
    <w:rsid w:val="00AB41C6"/>
    <w:rsid w:val="00AB54F9"/>
    <w:rsid w:val="00AC7D99"/>
    <w:rsid w:val="00AD2B96"/>
    <w:rsid w:val="00AD778C"/>
    <w:rsid w:val="00B03B38"/>
    <w:rsid w:val="00B209DB"/>
    <w:rsid w:val="00B31089"/>
    <w:rsid w:val="00B402A1"/>
    <w:rsid w:val="00C026AC"/>
    <w:rsid w:val="00C47225"/>
    <w:rsid w:val="00C6167D"/>
    <w:rsid w:val="00C62E12"/>
    <w:rsid w:val="00C876A3"/>
    <w:rsid w:val="00CC44E3"/>
    <w:rsid w:val="00CC6279"/>
    <w:rsid w:val="00CE144B"/>
    <w:rsid w:val="00CF18AB"/>
    <w:rsid w:val="00CF47C4"/>
    <w:rsid w:val="00D16966"/>
    <w:rsid w:val="00D17811"/>
    <w:rsid w:val="00D31D88"/>
    <w:rsid w:val="00D64397"/>
    <w:rsid w:val="00DA52A0"/>
    <w:rsid w:val="00DD57FD"/>
    <w:rsid w:val="00DD66BC"/>
    <w:rsid w:val="00E34DF4"/>
    <w:rsid w:val="00E82A82"/>
    <w:rsid w:val="00EB7E4A"/>
    <w:rsid w:val="00EC72E7"/>
    <w:rsid w:val="00ED3B30"/>
    <w:rsid w:val="00EE3FAD"/>
    <w:rsid w:val="00EF3470"/>
    <w:rsid w:val="00F24E56"/>
    <w:rsid w:val="00F437F3"/>
    <w:rsid w:val="00F527BA"/>
    <w:rsid w:val="00F61B05"/>
    <w:rsid w:val="00F80670"/>
    <w:rsid w:val="00F81792"/>
    <w:rsid w:val="00F81B28"/>
    <w:rsid w:val="00FA7C1A"/>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4A304"/>
  <w15:docId w15:val="{A97C2FED-D8D1-45AC-95BA-8B3AE221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3eaaf41ad21936c6/yandex/Akademik/&#199;al&#305;&#351;&#305;lanlar/Battery%20Microgrids/analizl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[analizler.xlsx]ratgos!$M$65</c:f>
              <c:strCache>
                <c:ptCount val="1"/>
                <c:pt idx="0">
                  <c:v>RATGOS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[analizler.xlsx]ratgos!$J$66:$J$71</c:f>
              <c:strCache>
                <c:ptCount val="6"/>
                <c:pt idx="0">
                  <c:v>CNGS</c:v>
                </c:pt>
                <c:pt idx="1">
                  <c:v>STGY</c:v>
                </c:pt>
                <c:pt idx="2">
                  <c:v>PTMS</c:v>
                </c:pt>
                <c:pt idx="3">
                  <c:v>LWTT</c:v>
                </c:pt>
                <c:pt idx="4">
                  <c:v>FTPG</c:v>
                </c:pt>
                <c:pt idx="5">
                  <c:v>FBXT</c:v>
                </c:pt>
              </c:strCache>
            </c:strRef>
          </c:cat>
          <c:val>
            <c:numRef>
              <c:f>[analizler.xlsx]ratgos!$M$66:$M$71</c:f>
              <c:numCache>
                <c:formatCode>General</c:formatCode>
                <c:ptCount val="6"/>
                <c:pt idx="0">
                  <c:v>2</c:v>
                </c:pt>
                <c:pt idx="1">
                  <c:v>5</c:v>
                </c:pt>
                <c:pt idx="2">
                  <c:v>1</c:v>
                </c:pt>
                <c:pt idx="3">
                  <c:v>6</c:v>
                </c:pt>
                <c:pt idx="4">
                  <c:v>4</c:v>
                </c:pt>
                <c:pt idx="5">
                  <c:v>3</c:v>
                </c:pt>
              </c:numCache>
            </c:numRef>
          </c:val>
          <c:extLst xmlns:c16r2="http://schemas.microsoft.com/office/drawing/2015/06/chart">
            <c:ext xmlns:c16="http://schemas.microsoft.com/office/drawing/2014/chart" uri="{C3380CC4-5D6E-409C-BE32-E72D297353CC}">
              <c16:uniqueId val="{00000000-7263-4C3E-AD42-ED0BF1915A21}"/>
            </c:ext>
          </c:extLst>
        </c:ser>
        <c:ser>
          <c:idx val="1"/>
          <c:order val="1"/>
          <c:tx>
            <c:strRef>
              <c:f>[analizler.xlsx]ratgos!$N$65</c:f>
              <c:strCache>
                <c:ptCount val="1"/>
                <c:pt idx="0">
                  <c:v>TOPSIS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[analizler.xlsx]ratgos!$J$66:$J$71</c:f>
              <c:strCache>
                <c:ptCount val="6"/>
                <c:pt idx="0">
                  <c:v>CNGS</c:v>
                </c:pt>
                <c:pt idx="1">
                  <c:v>STGY</c:v>
                </c:pt>
                <c:pt idx="2">
                  <c:v>PTMS</c:v>
                </c:pt>
                <c:pt idx="3">
                  <c:v>LWTT</c:v>
                </c:pt>
                <c:pt idx="4">
                  <c:v>FTPG</c:v>
                </c:pt>
                <c:pt idx="5">
                  <c:v>FBXT</c:v>
                </c:pt>
              </c:strCache>
            </c:strRef>
          </c:cat>
          <c:val>
            <c:numRef>
              <c:f>[analizler.xlsx]ratgos!$N$66:$N$71</c:f>
              <c:numCache>
                <c:formatCode>General</c:formatCode>
                <c:ptCount val="6"/>
                <c:pt idx="0">
                  <c:v>2</c:v>
                </c:pt>
                <c:pt idx="1">
                  <c:v>5</c:v>
                </c:pt>
                <c:pt idx="2">
                  <c:v>1</c:v>
                </c:pt>
                <c:pt idx="3">
                  <c:v>6</c:v>
                </c:pt>
                <c:pt idx="4">
                  <c:v>3</c:v>
                </c:pt>
                <c:pt idx="5">
                  <c:v>4</c:v>
                </c:pt>
              </c:numCache>
            </c:numRef>
          </c:val>
          <c:extLst xmlns:c16r2="http://schemas.microsoft.com/office/drawing/2015/06/chart">
            <c:ext xmlns:c16="http://schemas.microsoft.com/office/drawing/2014/chart" uri="{C3380CC4-5D6E-409C-BE32-E72D297353CC}">
              <c16:uniqueId val="{00000001-7263-4C3E-AD42-ED0BF1915A21}"/>
            </c:ext>
          </c:extLst>
        </c:ser>
        <c:dLbls>
          <c:showLegendKey val="0"/>
          <c:showVal val="0"/>
          <c:showCatName val="0"/>
          <c:showSerName val="0"/>
          <c:showPercent val="0"/>
          <c:showBubbleSize val="0"/>
        </c:dLbls>
        <c:gapWidth val="219"/>
        <c:overlap val="-27"/>
        <c:axId val="369306520"/>
        <c:axId val="369308088"/>
      </c:barChart>
      <c:catAx>
        <c:axId val="36930652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a:latin typeface="Times New Roman" panose="02020603050405020304" pitchFamily="18" charset="0"/>
                    <a:cs typeface="Times New Roman" panose="02020603050405020304" pitchFamily="18" charset="0"/>
                  </a:rPr>
                  <a:t>Alternatives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9308088"/>
        <c:crosses val="autoZero"/>
        <c:auto val="1"/>
        <c:lblAlgn val="ctr"/>
        <c:lblOffset val="100"/>
        <c:noMultiLvlLbl val="0"/>
      </c:catAx>
      <c:valAx>
        <c:axId val="36930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a:latin typeface="Times New Roman" panose="02020603050405020304" pitchFamily="18" charset="0"/>
                    <a:cs typeface="Times New Roman" panose="02020603050405020304" pitchFamily="18" charset="0"/>
                  </a:rPr>
                  <a:t>Ranking</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9306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3B9B3-2304-4128-B3B7-41BD109E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admin</cp:lastModifiedBy>
  <cp:revision>6</cp:revision>
  <cp:lastPrinted>2017-02-20T06:53:00Z</cp:lastPrinted>
  <dcterms:created xsi:type="dcterms:W3CDTF">2025-03-29T13:38:00Z</dcterms:created>
  <dcterms:modified xsi:type="dcterms:W3CDTF">2025-03-30T08:03:00Z</dcterms:modified>
</cp:coreProperties>
</file>