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479" w:rsidRPr="001713C1" w:rsidRDefault="001713C1" w:rsidP="003C0217">
      <w:pPr>
        <w:pStyle w:val="Title"/>
        <w:rPr>
          <w:b/>
          <w:bCs/>
          <w:sz w:val="44"/>
          <w:szCs w:val="44"/>
        </w:rPr>
      </w:pPr>
      <w:r w:rsidRPr="001713C1">
        <w:rPr>
          <w:b/>
          <w:bCs/>
          <w:sz w:val="44"/>
          <w:szCs w:val="44"/>
        </w:rPr>
        <w:t>TEMPOROMANDIBULAR JOINT DISLOCATION</w:t>
      </w:r>
      <w:r w:rsidR="003C0217" w:rsidRPr="001713C1">
        <w:rPr>
          <w:b/>
          <w:bCs/>
          <w:sz w:val="44"/>
          <w:szCs w:val="44"/>
        </w:rPr>
        <w:t xml:space="preserve"> </w:t>
      </w:r>
    </w:p>
    <w:p w:rsidR="001713C1" w:rsidRDefault="001713C1" w:rsidP="00106479">
      <w:pPr>
        <w:rPr>
          <w:sz w:val="24"/>
          <w:szCs w:val="24"/>
        </w:rPr>
      </w:pPr>
    </w:p>
    <w:p w:rsidR="007A6A1F" w:rsidRDefault="00632C91" w:rsidP="00106479">
      <w:pPr>
        <w:rPr>
          <w:sz w:val="24"/>
          <w:szCs w:val="24"/>
        </w:rPr>
      </w:pPr>
      <w:r w:rsidRPr="00632C91">
        <w:rPr>
          <w:sz w:val="24"/>
          <w:szCs w:val="24"/>
        </w:rPr>
        <w:t>Authors:</w:t>
      </w:r>
      <w:r w:rsidR="007A6A1F">
        <w:rPr>
          <w:sz w:val="24"/>
          <w:szCs w:val="24"/>
        </w:rPr>
        <w:t xml:space="preserve">  </w:t>
      </w:r>
      <w:r w:rsidRPr="00632C91">
        <w:rPr>
          <w:sz w:val="24"/>
          <w:szCs w:val="24"/>
        </w:rPr>
        <w:t xml:space="preserve">Dr. Haya </w:t>
      </w:r>
      <w:proofErr w:type="spellStart"/>
      <w:r w:rsidRPr="00632C91">
        <w:rPr>
          <w:sz w:val="24"/>
          <w:szCs w:val="24"/>
        </w:rPr>
        <w:t>Shadab</w:t>
      </w:r>
      <w:proofErr w:type="spellEnd"/>
      <w:r w:rsidRPr="00632C91">
        <w:rPr>
          <w:sz w:val="24"/>
          <w:szCs w:val="24"/>
        </w:rPr>
        <w:t xml:space="preserve"> </w:t>
      </w:r>
      <w:proofErr w:type="spellStart"/>
      <w:r w:rsidRPr="00632C91">
        <w:rPr>
          <w:sz w:val="24"/>
          <w:szCs w:val="24"/>
        </w:rPr>
        <w:t>Usmani</w:t>
      </w:r>
      <w:proofErr w:type="spellEnd"/>
    </w:p>
    <w:p w:rsidR="00632C91" w:rsidRDefault="00632C91" w:rsidP="00106479">
      <w:pPr>
        <w:rPr>
          <w:sz w:val="24"/>
          <w:szCs w:val="24"/>
        </w:rPr>
      </w:pPr>
      <w:r w:rsidRPr="00632C91">
        <w:rPr>
          <w:sz w:val="24"/>
          <w:szCs w:val="24"/>
        </w:rPr>
        <w:t xml:space="preserve">Dr. </w:t>
      </w:r>
      <w:proofErr w:type="spellStart"/>
      <w:r w:rsidRPr="00632C91">
        <w:rPr>
          <w:sz w:val="24"/>
          <w:szCs w:val="24"/>
        </w:rPr>
        <w:t>Usmani</w:t>
      </w:r>
      <w:proofErr w:type="spellEnd"/>
      <w:r w:rsidRPr="00632C91">
        <w:rPr>
          <w:sz w:val="24"/>
          <w:szCs w:val="24"/>
        </w:rPr>
        <w:t xml:space="preserve"> </w:t>
      </w:r>
      <w:proofErr w:type="spellStart"/>
      <w:r w:rsidRPr="00632C91">
        <w:rPr>
          <w:sz w:val="24"/>
          <w:szCs w:val="24"/>
        </w:rPr>
        <w:t>Humaira</w:t>
      </w:r>
      <w:proofErr w:type="spellEnd"/>
      <w:r w:rsidRPr="00632C91">
        <w:rPr>
          <w:sz w:val="24"/>
          <w:szCs w:val="24"/>
        </w:rPr>
        <w:t xml:space="preserve"> </w:t>
      </w:r>
      <w:proofErr w:type="spellStart"/>
      <w:r w:rsidRPr="00632C91">
        <w:rPr>
          <w:sz w:val="24"/>
          <w:szCs w:val="24"/>
        </w:rPr>
        <w:t>Shadab</w:t>
      </w:r>
      <w:proofErr w:type="spellEnd"/>
      <w:r w:rsidRPr="00632C91">
        <w:rPr>
          <w:sz w:val="24"/>
          <w:szCs w:val="24"/>
        </w:rPr>
        <w:t>, Clinical Pharmacologist, Jupiter Hospital, Thane</w:t>
      </w:r>
    </w:p>
    <w:p w:rsidR="00A54016" w:rsidRPr="00376277" w:rsidRDefault="00CA03F8" w:rsidP="00D7281A">
      <w:pPr>
        <w:pStyle w:val="IntenseQuote"/>
        <w:rPr>
          <w:rFonts w:asciiTheme="majorHAnsi" w:hAnsiTheme="majorHAnsi"/>
          <w:b/>
          <w:bCs/>
          <w:i w:val="0"/>
          <w:iCs w:val="0"/>
          <w:color w:val="000000" w:themeColor="text1"/>
          <w:sz w:val="28"/>
          <w:szCs w:val="28"/>
        </w:rPr>
      </w:pPr>
      <w:r w:rsidRPr="00376277">
        <w:rPr>
          <w:rFonts w:asciiTheme="majorHAnsi" w:hAnsiTheme="majorHAnsi"/>
          <w:b/>
          <w:bCs/>
          <w:i w:val="0"/>
          <w:iCs w:val="0"/>
          <w:color w:val="000000" w:themeColor="text1"/>
          <w:sz w:val="28"/>
          <w:szCs w:val="28"/>
        </w:rPr>
        <w:t>Abstract</w:t>
      </w:r>
    </w:p>
    <w:p w:rsidR="007A6A1F" w:rsidRPr="00632C91" w:rsidRDefault="00E411C3" w:rsidP="00106479">
      <w:pPr>
        <w:rPr>
          <w:sz w:val="24"/>
          <w:szCs w:val="24"/>
        </w:rPr>
      </w:pPr>
      <w:r>
        <w:rPr>
          <w:sz w:val="24"/>
          <w:szCs w:val="24"/>
        </w:rPr>
        <w:t>Temporomandibular Joint (TMJ) dislocation is a painful and debilitating condition that can significantly affect quality of life. Treatment options vary from non-surgical interventions to surgical procedures, depending on the severity and recurrence of the dislocation. This paper aims to evaluate the effectiveness and outcomes of both non-surgical and surgical treatments for TMJ dislocation through a comprehensive comparative analysis. We review the current literature, analyze clinical data, and provide recommendations for clinicians in choosing the most appropriate treatment modality.</w:t>
      </w:r>
    </w:p>
    <w:p w:rsidR="00106479" w:rsidRDefault="00106479" w:rsidP="00106479">
      <w:pPr>
        <w:rPr>
          <w:color w:val="000000"/>
          <w:sz w:val="24"/>
          <w:szCs w:val="24"/>
          <w:shd w:val="clear" w:color="auto" w:fill="FFFFFF"/>
        </w:rPr>
      </w:pPr>
      <w:r w:rsidRPr="00106479">
        <w:rPr>
          <w:color w:val="000000"/>
          <w:sz w:val="24"/>
          <w:szCs w:val="24"/>
          <w:shd w:val="clear" w:color="auto" w:fill="FFFFFF"/>
        </w:rPr>
        <w:t xml:space="preserve">Temporal mandibular joint (TMJ) dislocation, or mandibular dislocation, can present as bilateral or unilateral displacement of the mandibular condyle from the articular surface of the temporal bone (the glenoid fossa). Anterior, posterior, superior, and lateral mandibular dislocations can occur. </w:t>
      </w:r>
    </w:p>
    <w:p w:rsidR="00DC61A6" w:rsidRDefault="00DC61A6" w:rsidP="00106479">
      <w:pPr>
        <w:rPr>
          <w:color w:val="000000"/>
          <w:sz w:val="24"/>
          <w:szCs w:val="24"/>
          <w:shd w:val="clear" w:color="auto" w:fill="FFFFFF"/>
        </w:rPr>
      </w:pPr>
      <w:r>
        <w:rPr>
          <w:noProof/>
          <w:color w:val="000000"/>
          <w:sz w:val="24"/>
          <w:szCs w:val="24"/>
          <w:shd w:val="clear" w:color="auto" w:fill="FFFFFF"/>
        </w:rPr>
        <w:drawing>
          <wp:inline distT="0" distB="0" distL="0" distR="0">
            <wp:extent cx="5457825" cy="2895600"/>
            <wp:effectExtent l="19050" t="0" r="9525" b="0"/>
            <wp:docPr id="6" name="Picture 5"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4"/>
                    <a:stretch>
                      <a:fillRect/>
                    </a:stretch>
                  </pic:blipFill>
                  <pic:spPr>
                    <a:xfrm>
                      <a:off x="0" y="0"/>
                      <a:ext cx="5457825" cy="2895600"/>
                    </a:xfrm>
                    <a:prstGeom prst="rect">
                      <a:avLst/>
                    </a:prstGeom>
                  </pic:spPr>
                </pic:pic>
              </a:graphicData>
            </a:graphic>
          </wp:inline>
        </w:drawing>
      </w:r>
    </w:p>
    <w:p w:rsidR="00F857D2" w:rsidRPr="002C0EEE" w:rsidRDefault="00F857D2" w:rsidP="00F857D2">
      <w:pPr>
        <w:pStyle w:val="IntenseQuote"/>
        <w:rPr>
          <w:rFonts w:asciiTheme="majorHAnsi" w:hAnsiTheme="majorHAnsi"/>
          <w:b/>
          <w:bCs/>
          <w:i w:val="0"/>
          <w:iCs w:val="0"/>
          <w:color w:val="000000" w:themeColor="text1"/>
          <w:sz w:val="28"/>
          <w:szCs w:val="28"/>
          <w:shd w:val="clear" w:color="auto" w:fill="FFFFFF"/>
        </w:rPr>
      </w:pPr>
      <w:r w:rsidRPr="002C0EEE">
        <w:rPr>
          <w:rFonts w:asciiTheme="majorHAnsi" w:hAnsiTheme="majorHAnsi"/>
          <w:b/>
          <w:bCs/>
          <w:i w:val="0"/>
          <w:iCs w:val="0"/>
          <w:color w:val="000000" w:themeColor="text1"/>
          <w:sz w:val="28"/>
          <w:szCs w:val="28"/>
          <w:shd w:val="clear" w:color="auto" w:fill="FFFFFF"/>
        </w:rPr>
        <w:lastRenderedPageBreak/>
        <w:t>Keywords</w:t>
      </w:r>
    </w:p>
    <w:p w:rsidR="00F857D2" w:rsidRPr="00EE3835" w:rsidRDefault="00EA32FF" w:rsidP="00D76063">
      <w:pPr>
        <w:ind w:left="720"/>
        <w:jc w:val="both"/>
        <w:rPr>
          <w:color w:val="000000"/>
          <w:sz w:val="28"/>
          <w:szCs w:val="28"/>
          <w:shd w:val="clear" w:color="auto" w:fill="FFFFFF"/>
        </w:rPr>
      </w:pPr>
      <w:r>
        <w:rPr>
          <w:color w:val="000000"/>
          <w:sz w:val="28"/>
          <w:szCs w:val="28"/>
          <w:shd w:val="clear" w:color="auto" w:fill="FFFFFF"/>
        </w:rPr>
        <w:t xml:space="preserve">TMJ Dislocation, surgical treatment, non – surgical treatment </w:t>
      </w:r>
      <w:r w:rsidR="00202914">
        <w:rPr>
          <w:color w:val="000000"/>
          <w:sz w:val="28"/>
          <w:szCs w:val="28"/>
          <w:shd w:val="clear" w:color="auto" w:fill="FFFFFF"/>
        </w:rPr>
        <w:t xml:space="preserve">, manual reduction, </w:t>
      </w:r>
      <w:proofErr w:type="spellStart"/>
      <w:r w:rsidR="00852A80">
        <w:rPr>
          <w:color w:val="000000"/>
          <w:sz w:val="28"/>
          <w:szCs w:val="28"/>
          <w:shd w:val="clear" w:color="auto" w:fill="FFFFFF"/>
        </w:rPr>
        <w:t>Arthrocentesis</w:t>
      </w:r>
      <w:proofErr w:type="spellEnd"/>
      <w:r w:rsidR="00852A80">
        <w:rPr>
          <w:color w:val="000000"/>
          <w:sz w:val="28"/>
          <w:szCs w:val="28"/>
          <w:shd w:val="clear" w:color="auto" w:fill="FFFFFF"/>
        </w:rPr>
        <w:t>,</w:t>
      </w:r>
      <w:r w:rsidR="00830106">
        <w:rPr>
          <w:color w:val="000000"/>
          <w:sz w:val="28"/>
          <w:szCs w:val="28"/>
          <w:shd w:val="clear" w:color="auto" w:fill="FFFFFF"/>
        </w:rPr>
        <w:t xml:space="preserve"> Arthroscopy, </w:t>
      </w:r>
      <w:r w:rsidR="005359E8">
        <w:rPr>
          <w:color w:val="000000"/>
          <w:sz w:val="28"/>
          <w:szCs w:val="28"/>
          <w:shd w:val="clear" w:color="auto" w:fill="FFFFFF"/>
        </w:rPr>
        <w:t xml:space="preserve">Treatment outcomes, </w:t>
      </w:r>
      <w:r w:rsidR="00FA71DE">
        <w:rPr>
          <w:color w:val="000000"/>
          <w:sz w:val="28"/>
          <w:szCs w:val="28"/>
          <w:shd w:val="clear" w:color="auto" w:fill="FFFFFF"/>
        </w:rPr>
        <w:t xml:space="preserve">Temporomandibular </w:t>
      </w:r>
      <w:r w:rsidR="009F561E">
        <w:rPr>
          <w:color w:val="000000"/>
          <w:sz w:val="28"/>
          <w:szCs w:val="28"/>
          <w:shd w:val="clear" w:color="auto" w:fill="FFFFFF"/>
        </w:rPr>
        <w:t>joint disorder,</w:t>
      </w:r>
      <w:r w:rsidR="004928F4">
        <w:rPr>
          <w:color w:val="000000"/>
          <w:sz w:val="28"/>
          <w:szCs w:val="28"/>
          <w:shd w:val="clear" w:color="auto" w:fill="FFFFFF"/>
        </w:rPr>
        <w:t xml:space="preserve"> jaw dislocation </w:t>
      </w:r>
      <w:r w:rsidR="00841F56">
        <w:rPr>
          <w:color w:val="000000"/>
          <w:sz w:val="28"/>
          <w:szCs w:val="28"/>
          <w:shd w:val="clear" w:color="auto" w:fill="FFFFFF"/>
        </w:rPr>
        <w:t xml:space="preserve">management, </w:t>
      </w:r>
      <w:r w:rsidR="00F84B24">
        <w:rPr>
          <w:color w:val="000000"/>
          <w:sz w:val="28"/>
          <w:szCs w:val="28"/>
          <w:shd w:val="clear" w:color="auto" w:fill="FFFFFF"/>
        </w:rPr>
        <w:t>comparative analysis.</w:t>
      </w:r>
    </w:p>
    <w:p w:rsidR="00106479" w:rsidRDefault="00106479" w:rsidP="00106479">
      <w:pPr>
        <w:rPr>
          <w:color w:val="000000"/>
          <w:sz w:val="24"/>
          <w:szCs w:val="24"/>
          <w:shd w:val="clear" w:color="auto" w:fill="FFFFFF"/>
        </w:rPr>
      </w:pPr>
    </w:p>
    <w:p w:rsidR="00106479" w:rsidRPr="00262309" w:rsidRDefault="00106479" w:rsidP="00262309">
      <w:pPr>
        <w:pStyle w:val="IntenseQuote"/>
        <w:rPr>
          <w:b/>
          <w:bCs/>
          <w:i w:val="0"/>
          <w:iCs w:val="0"/>
          <w:color w:val="000000" w:themeColor="text1"/>
          <w:sz w:val="32"/>
          <w:szCs w:val="32"/>
        </w:rPr>
      </w:pPr>
      <w:r w:rsidRPr="00262309">
        <w:rPr>
          <w:b/>
          <w:bCs/>
          <w:i w:val="0"/>
          <w:iCs w:val="0"/>
          <w:color w:val="000000" w:themeColor="text1"/>
          <w:sz w:val="32"/>
          <w:szCs w:val="32"/>
        </w:rPr>
        <w:t>Introduction</w:t>
      </w:r>
    </w:p>
    <w:p w:rsidR="00146416" w:rsidRDefault="00106479" w:rsidP="00106479">
      <w:pPr>
        <w:jc w:val="both"/>
        <w:rPr>
          <w:color w:val="000000"/>
          <w:sz w:val="24"/>
          <w:szCs w:val="24"/>
          <w:shd w:val="clear" w:color="auto" w:fill="FFFFFF"/>
        </w:rPr>
      </w:pPr>
      <w:r w:rsidRPr="00106479">
        <w:rPr>
          <w:color w:val="000000"/>
          <w:sz w:val="24"/>
          <w:szCs w:val="24"/>
          <w:shd w:val="clear" w:color="auto" w:fill="FFFFFF"/>
        </w:rPr>
        <w:t xml:space="preserve">Temporal mandibular joint (TMJ) dislocation, or mandibular dislocation, can present as bilateral or unilateral displacement of the mandibular condyle from the articular surface of the temporal bone (the glenoid fossa). Anterior, posterior, superior, and lateral mandibular dislocations can occur. The anatomy of the TMJ is important to understand for the evaluation and treatment of the condition. The mandibular condyle is normally in its position in the glenoid fossa of the temporal bone. The joint is one of the few joints in the body with a dense </w:t>
      </w:r>
      <w:proofErr w:type="spellStart"/>
      <w:r w:rsidRPr="00106479">
        <w:rPr>
          <w:color w:val="000000"/>
          <w:sz w:val="24"/>
          <w:szCs w:val="24"/>
          <w:shd w:val="clear" w:color="auto" w:fill="FFFFFF"/>
        </w:rPr>
        <w:t>fibrocartilagenous</w:t>
      </w:r>
      <w:proofErr w:type="spellEnd"/>
      <w:r w:rsidRPr="00106479">
        <w:rPr>
          <w:color w:val="000000"/>
          <w:sz w:val="24"/>
          <w:szCs w:val="24"/>
          <w:shd w:val="clear" w:color="auto" w:fill="FFFFFF"/>
        </w:rPr>
        <w:t xml:space="preserve"> disc that lies between the glenoid fossa and the condyle; this allows the joint to function as both a hinge and as a gliding joint. The muscles which participate in jaw closure are the masseter, medial </w:t>
      </w:r>
      <w:proofErr w:type="spellStart"/>
      <w:r w:rsidRPr="00106479">
        <w:rPr>
          <w:color w:val="000000"/>
          <w:sz w:val="24"/>
          <w:szCs w:val="24"/>
          <w:shd w:val="clear" w:color="auto" w:fill="FFFFFF"/>
        </w:rPr>
        <w:t>pterygoid</w:t>
      </w:r>
      <w:proofErr w:type="spellEnd"/>
      <w:r w:rsidRPr="00106479">
        <w:rPr>
          <w:color w:val="000000"/>
          <w:sz w:val="24"/>
          <w:szCs w:val="24"/>
          <w:shd w:val="clear" w:color="auto" w:fill="FFFFFF"/>
        </w:rPr>
        <w:t xml:space="preserve">, and temporalis muscles. Jaw opening is the function of the lateral </w:t>
      </w:r>
      <w:proofErr w:type="spellStart"/>
      <w:r w:rsidRPr="00106479">
        <w:rPr>
          <w:color w:val="000000"/>
          <w:sz w:val="24"/>
          <w:szCs w:val="24"/>
          <w:shd w:val="clear" w:color="auto" w:fill="FFFFFF"/>
        </w:rPr>
        <w:t>pterygoid</w:t>
      </w:r>
      <w:proofErr w:type="spellEnd"/>
      <w:r w:rsidRPr="00106479">
        <w:rPr>
          <w:color w:val="000000"/>
          <w:sz w:val="24"/>
          <w:szCs w:val="24"/>
          <w:shd w:val="clear" w:color="auto" w:fill="FFFFFF"/>
        </w:rPr>
        <w:t xml:space="preserve"> muscle. Ligaments that support the joint are the temporomandibular, </w:t>
      </w:r>
      <w:proofErr w:type="spellStart"/>
      <w:r w:rsidRPr="00106479">
        <w:rPr>
          <w:color w:val="000000"/>
          <w:sz w:val="24"/>
          <w:szCs w:val="24"/>
          <w:shd w:val="clear" w:color="auto" w:fill="FFFFFF"/>
        </w:rPr>
        <w:t>sphenomandibular</w:t>
      </w:r>
      <w:proofErr w:type="spellEnd"/>
      <w:r w:rsidRPr="00106479">
        <w:rPr>
          <w:color w:val="000000"/>
          <w:sz w:val="24"/>
          <w:szCs w:val="24"/>
          <w:shd w:val="clear" w:color="auto" w:fill="FFFFFF"/>
        </w:rPr>
        <w:t>, and capsular ligaments. Blood is supplied to the joint by the superficial temporal branch of the external carotid artery. The joint receives sensory innervation from the mandibular branch of the trigeminal nerve</w:t>
      </w:r>
      <w:r w:rsidR="00146416">
        <w:rPr>
          <w:color w:val="000000"/>
          <w:sz w:val="24"/>
          <w:szCs w:val="24"/>
          <w:shd w:val="clear" w:color="auto" w:fill="FFFFFF"/>
        </w:rPr>
        <w:t xml:space="preserve"> (V3) via the </w:t>
      </w:r>
      <w:proofErr w:type="spellStart"/>
      <w:r w:rsidR="00146416">
        <w:rPr>
          <w:color w:val="000000"/>
          <w:sz w:val="24"/>
          <w:szCs w:val="24"/>
          <w:shd w:val="clear" w:color="auto" w:fill="FFFFFF"/>
        </w:rPr>
        <w:t>masseteric</w:t>
      </w:r>
      <w:proofErr w:type="spellEnd"/>
      <w:r w:rsidR="00146416">
        <w:rPr>
          <w:color w:val="000000"/>
          <w:sz w:val="24"/>
          <w:szCs w:val="24"/>
          <w:shd w:val="clear" w:color="auto" w:fill="FFFFFF"/>
        </w:rPr>
        <w:t xml:space="preserve"> and </w:t>
      </w:r>
      <w:proofErr w:type="spellStart"/>
      <w:r w:rsidR="00146416">
        <w:rPr>
          <w:color w:val="000000"/>
          <w:sz w:val="24"/>
          <w:szCs w:val="24"/>
          <w:shd w:val="clear" w:color="auto" w:fill="FFFFFF"/>
        </w:rPr>
        <w:t>auricotemporal</w:t>
      </w:r>
      <w:proofErr w:type="spellEnd"/>
      <w:r w:rsidR="00146416">
        <w:rPr>
          <w:color w:val="000000"/>
          <w:sz w:val="24"/>
          <w:szCs w:val="24"/>
          <w:shd w:val="clear" w:color="auto" w:fill="FFFFFF"/>
        </w:rPr>
        <w:t xml:space="preserve"> nerve</w:t>
      </w:r>
    </w:p>
    <w:p w:rsidR="004D397C" w:rsidRDefault="000C529C" w:rsidP="00106479">
      <w:pPr>
        <w:jc w:val="both"/>
        <w:rPr>
          <w:color w:val="000000"/>
          <w:sz w:val="24"/>
          <w:szCs w:val="24"/>
          <w:shd w:val="clear" w:color="auto" w:fill="FFFFFF"/>
        </w:rPr>
      </w:pPr>
      <w:r>
        <w:rPr>
          <w:color w:val="000000"/>
          <w:sz w:val="24"/>
          <w:szCs w:val="24"/>
          <w:shd w:val="clear" w:color="auto" w:fill="FFFFFF"/>
        </w:rPr>
        <w:t xml:space="preserve">TMJ dislocation occurs when the mandibular condyle moves out of its normal position within the temporomandibular joint. It can result from trauma, hypermobility, or other underlying conditions. Treatment approaches include non-surgical methods such as manual reduction, medications, and physiotherapy, as well as surgical interventions like </w:t>
      </w:r>
      <w:proofErr w:type="spellStart"/>
      <w:r>
        <w:rPr>
          <w:color w:val="000000"/>
          <w:sz w:val="24"/>
          <w:szCs w:val="24"/>
          <w:shd w:val="clear" w:color="auto" w:fill="FFFFFF"/>
        </w:rPr>
        <w:t>arthrocentesis</w:t>
      </w:r>
      <w:proofErr w:type="spellEnd"/>
      <w:r>
        <w:rPr>
          <w:color w:val="000000"/>
          <w:sz w:val="24"/>
          <w:szCs w:val="24"/>
          <w:shd w:val="clear" w:color="auto" w:fill="FFFFFF"/>
        </w:rPr>
        <w:t>, arthroscopy, and open joint surgery. This paper explores these treatment modalities, focusing on their indications, effectiveness, complications, and long-term outcomes.</w:t>
      </w:r>
      <w:r w:rsidR="00106479" w:rsidRPr="00106479">
        <w:rPr>
          <w:color w:val="000000"/>
          <w:sz w:val="24"/>
          <w:szCs w:val="24"/>
          <w:shd w:val="clear" w:color="auto" w:fill="FFFFFF"/>
        </w:rPr>
        <w:t xml:space="preserve"> (V3) via the </w:t>
      </w:r>
      <w:proofErr w:type="spellStart"/>
      <w:r w:rsidR="00106479" w:rsidRPr="00106479">
        <w:rPr>
          <w:color w:val="000000"/>
          <w:sz w:val="24"/>
          <w:szCs w:val="24"/>
          <w:shd w:val="clear" w:color="auto" w:fill="FFFFFF"/>
        </w:rPr>
        <w:t>masseter</w:t>
      </w:r>
      <w:r w:rsidR="00CB7C95">
        <w:rPr>
          <w:color w:val="000000"/>
          <w:sz w:val="24"/>
          <w:szCs w:val="24"/>
          <w:shd w:val="clear" w:color="auto" w:fill="FFFFFF"/>
        </w:rPr>
        <w:t>ic</w:t>
      </w:r>
      <w:proofErr w:type="spellEnd"/>
      <w:r w:rsidR="00145E25">
        <w:rPr>
          <w:color w:val="000000"/>
          <w:sz w:val="24"/>
          <w:szCs w:val="24"/>
          <w:shd w:val="clear" w:color="auto" w:fill="FFFFFF"/>
        </w:rPr>
        <w:t xml:space="preserve"> and </w:t>
      </w:r>
      <w:proofErr w:type="spellStart"/>
      <w:r w:rsidR="00145E25">
        <w:rPr>
          <w:color w:val="000000"/>
          <w:sz w:val="24"/>
          <w:szCs w:val="24"/>
          <w:shd w:val="clear" w:color="auto" w:fill="FFFFFF"/>
        </w:rPr>
        <w:t>auricotemporal</w:t>
      </w:r>
      <w:proofErr w:type="spellEnd"/>
      <w:r w:rsidR="00145E25">
        <w:rPr>
          <w:color w:val="000000"/>
          <w:sz w:val="24"/>
          <w:szCs w:val="24"/>
          <w:shd w:val="clear" w:color="auto" w:fill="FFFFFF"/>
        </w:rPr>
        <w:t xml:space="preserve"> nerve</w:t>
      </w:r>
    </w:p>
    <w:p w:rsidR="004D397C" w:rsidRDefault="004D397C" w:rsidP="00106479">
      <w:pPr>
        <w:jc w:val="both"/>
        <w:rPr>
          <w:color w:val="000000"/>
          <w:sz w:val="24"/>
          <w:szCs w:val="24"/>
          <w:shd w:val="clear" w:color="auto" w:fill="FFFFFF"/>
        </w:rPr>
      </w:pPr>
    </w:p>
    <w:p w:rsidR="004D397C" w:rsidRDefault="004D397C" w:rsidP="00106479">
      <w:pPr>
        <w:jc w:val="both"/>
        <w:rPr>
          <w:color w:val="000000"/>
          <w:sz w:val="24"/>
          <w:szCs w:val="24"/>
          <w:shd w:val="clear" w:color="auto" w:fill="FFFFFF"/>
        </w:rPr>
      </w:pPr>
    </w:p>
    <w:p w:rsidR="004D397C" w:rsidRDefault="004D397C" w:rsidP="00106479">
      <w:pPr>
        <w:jc w:val="both"/>
        <w:rPr>
          <w:color w:val="000000"/>
          <w:sz w:val="24"/>
          <w:szCs w:val="24"/>
          <w:shd w:val="clear" w:color="auto" w:fill="FFFFFF"/>
        </w:rPr>
      </w:pPr>
    </w:p>
    <w:p w:rsidR="004D397C" w:rsidRDefault="004D397C" w:rsidP="00106479">
      <w:pPr>
        <w:jc w:val="both"/>
        <w:rPr>
          <w:color w:val="000000"/>
          <w:sz w:val="24"/>
          <w:szCs w:val="24"/>
          <w:shd w:val="clear" w:color="auto" w:fill="FFFFFF"/>
        </w:rPr>
      </w:pPr>
    </w:p>
    <w:p w:rsidR="00A36C2C" w:rsidRPr="00BD7DA5" w:rsidRDefault="00106479" w:rsidP="00106479">
      <w:pPr>
        <w:jc w:val="both"/>
        <w:rPr>
          <w:color w:val="000000"/>
          <w:sz w:val="24"/>
          <w:szCs w:val="24"/>
          <w:shd w:val="clear" w:color="auto" w:fill="FFFFFF"/>
        </w:rPr>
      </w:pPr>
      <w:r w:rsidRPr="00106479">
        <w:rPr>
          <w:color w:val="000000"/>
          <w:sz w:val="24"/>
          <w:szCs w:val="24"/>
          <w:shd w:val="clear" w:color="auto" w:fill="FFFFFF"/>
        </w:rPr>
        <w:t xml:space="preserve"> </w:t>
      </w:r>
      <w:r w:rsidR="00A36C2C">
        <w:rPr>
          <w:noProof/>
        </w:rPr>
        <w:drawing>
          <wp:inline distT="0" distB="0" distL="0" distR="0">
            <wp:extent cx="2676525" cy="1765840"/>
            <wp:effectExtent l="19050" t="0" r="0" b="0"/>
            <wp:docPr id="1" name="Picture 1" descr="Temporomandibular Joint – Anatomy 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oromandibular Joint – Anatomy QA"/>
                    <pic:cNvPicPr>
                      <a:picLocks noChangeAspect="1" noChangeArrowheads="1"/>
                    </pic:cNvPicPr>
                  </pic:nvPicPr>
                  <pic:blipFill>
                    <a:blip r:embed="rId5" cstate="print"/>
                    <a:srcRect/>
                    <a:stretch>
                      <a:fillRect/>
                    </a:stretch>
                  </pic:blipFill>
                  <pic:spPr bwMode="auto">
                    <a:xfrm>
                      <a:off x="0" y="0"/>
                      <a:ext cx="2676525" cy="1765840"/>
                    </a:xfrm>
                    <a:prstGeom prst="rect">
                      <a:avLst/>
                    </a:prstGeom>
                    <a:noFill/>
                    <a:ln w="9525">
                      <a:noFill/>
                      <a:miter lim="800000"/>
                      <a:headEnd/>
                      <a:tailEnd/>
                    </a:ln>
                  </pic:spPr>
                </pic:pic>
              </a:graphicData>
            </a:graphic>
          </wp:inline>
        </w:drawing>
      </w:r>
      <w:r w:rsidR="00A36C2C">
        <w:rPr>
          <w:noProof/>
        </w:rPr>
        <w:t xml:space="preserve">             </w:t>
      </w:r>
      <w:r w:rsidR="00BD7DA5">
        <w:rPr>
          <w:noProof/>
          <w:color w:val="000000"/>
          <w:sz w:val="24"/>
          <w:szCs w:val="24"/>
          <w:shd w:val="clear" w:color="auto" w:fill="FFFFFF"/>
        </w:rPr>
        <w:drawing>
          <wp:inline distT="0" distB="0" distL="0" distR="0">
            <wp:extent cx="2028825" cy="2028825"/>
            <wp:effectExtent l="19050" t="0" r="9525" b="0"/>
            <wp:docPr id="5" name="Picture 4" descr="5940_245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40_245701.jpg"/>
                    <pic:cNvPicPr/>
                  </pic:nvPicPr>
                  <pic:blipFill>
                    <a:blip r:embed="rId6" cstate="print"/>
                    <a:stretch>
                      <a:fillRect/>
                    </a:stretch>
                  </pic:blipFill>
                  <pic:spPr>
                    <a:xfrm>
                      <a:off x="0" y="0"/>
                      <a:ext cx="2028825" cy="2028825"/>
                    </a:xfrm>
                    <a:prstGeom prst="rect">
                      <a:avLst/>
                    </a:prstGeom>
                  </pic:spPr>
                </pic:pic>
              </a:graphicData>
            </a:graphic>
          </wp:inline>
        </w:drawing>
      </w:r>
    </w:p>
    <w:p w:rsidR="00A36C2C" w:rsidRDefault="00A36C2C" w:rsidP="00106479">
      <w:pPr>
        <w:jc w:val="both"/>
        <w:rPr>
          <w:noProof/>
          <w:sz w:val="24"/>
          <w:szCs w:val="24"/>
        </w:rPr>
      </w:pPr>
    </w:p>
    <w:p w:rsidR="00A36C2C" w:rsidRDefault="00A36C2C" w:rsidP="00106479">
      <w:pPr>
        <w:jc w:val="both"/>
        <w:rPr>
          <w:noProof/>
          <w:sz w:val="24"/>
          <w:szCs w:val="24"/>
        </w:rPr>
      </w:pPr>
    </w:p>
    <w:p w:rsidR="00DC61A6" w:rsidRPr="00262309" w:rsidRDefault="00DC61A6" w:rsidP="00262309">
      <w:pPr>
        <w:pStyle w:val="IntenseQuote"/>
        <w:rPr>
          <w:b/>
          <w:bCs/>
          <w:i w:val="0"/>
          <w:iCs w:val="0"/>
          <w:color w:val="000000" w:themeColor="text1"/>
          <w:sz w:val="32"/>
          <w:szCs w:val="32"/>
        </w:rPr>
      </w:pPr>
      <w:r w:rsidRPr="00262309">
        <w:rPr>
          <w:b/>
          <w:bCs/>
          <w:i w:val="0"/>
          <w:iCs w:val="0"/>
          <w:color w:val="000000" w:themeColor="text1"/>
          <w:sz w:val="32"/>
          <w:szCs w:val="32"/>
        </w:rPr>
        <w:t>Etiology</w:t>
      </w:r>
    </w:p>
    <w:p w:rsidR="00DC61A6" w:rsidRPr="00DC61A6" w:rsidRDefault="00DC61A6" w:rsidP="00DC61A6"/>
    <w:p w:rsidR="00DC61A6" w:rsidRDefault="00DC61A6" w:rsidP="00DC61A6">
      <w:pPr>
        <w:pStyle w:val="NormalWeb"/>
        <w:shd w:val="clear" w:color="auto" w:fill="FFFFFF"/>
        <w:spacing w:before="166" w:beforeAutospacing="0" w:after="166" w:afterAutospacing="0"/>
        <w:rPr>
          <w:color w:val="000000"/>
        </w:rPr>
      </w:pPr>
      <w:r>
        <w:rPr>
          <w:color w:val="000000"/>
        </w:rPr>
        <w:t xml:space="preserve">Temporal mandibular joint (TMJ) dislocation can occur as a result of atraumatic etiologies or trauma to the mandible. Factors leading to atraumatic dislocation can include anything that results in forceful, over-opening of the jaw, such as yawning, seizures, or repeated mastication, as well as underlying anatomic causes such as ligamentous laxity, aberrant anatomy, or connective tissue disorders. Atraumatic causes can include very ordinary daily activities like laughing, yawning, singing, vomiting, kissing. Dystonic reactions (e.g., tetanus) and extrapyramidal side effects are also possible atraumatic </w:t>
      </w:r>
      <w:proofErr w:type="spellStart"/>
      <w:r>
        <w:rPr>
          <w:color w:val="000000"/>
        </w:rPr>
        <w:t>causes.Iatrogenic</w:t>
      </w:r>
      <w:proofErr w:type="spellEnd"/>
      <w:r>
        <w:rPr>
          <w:color w:val="000000"/>
        </w:rPr>
        <w:t xml:space="preserve"> causes include dental treatments, endotracheal intubation, bronchoscopy, and laryngoscopy. Acute facial trauma is one of the most common causes of dislocation.</w:t>
      </w:r>
    </w:p>
    <w:p w:rsidR="00DC61A6" w:rsidRDefault="00DC61A6" w:rsidP="00DC61A6">
      <w:pPr>
        <w:pStyle w:val="NormalWeb"/>
        <w:shd w:val="clear" w:color="auto" w:fill="FFFFFF"/>
        <w:spacing w:before="166" w:beforeAutospacing="0" w:after="166" w:afterAutospacing="0"/>
        <w:rPr>
          <w:color w:val="000000"/>
        </w:rPr>
      </w:pPr>
      <w:r>
        <w:rPr>
          <w:color w:val="000000"/>
        </w:rPr>
        <w:t xml:space="preserve">Risk factors for TMJ dislocation are important in identifying possible causes of the dislocation and the risk of recurrence. Risk factors include previous dislocation, structural or anatomic deficits, connective tissue disorders that affect stability (e.g., </w:t>
      </w:r>
      <w:proofErr w:type="spellStart"/>
      <w:r>
        <w:rPr>
          <w:color w:val="000000"/>
        </w:rPr>
        <w:t>Marfan</w:t>
      </w:r>
      <w:proofErr w:type="spellEnd"/>
      <w:r>
        <w:rPr>
          <w:color w:val="000000"/>
        </w:rPr>
        <w:t xml:space="preserve"> syndrome, </w:t>
      </w:r>
      <w:proofErr w:type="spellStart"/>
      <w:r>
        <w:rPr>
          <w:color w:val="000000"/>
        </w:rPr>
        <w:t>Ehler-Danlos</w:t>
      </w:r>
      <w:proofErr w:type="spellEnd"/>
      <w:r>
        <w:rPr>
          <w:color w:val="000000"/>
        </w:rPr>
        <w:t xml:space="preserve"> syndrome, muscular dystrophy, orofacial dystrophy), neurodegenerative or </w:t>
      </w:r>
      <w:proofErr w:type="spellStart"/>
      <w:r>
        <w:rPr>
          <w:color w:val="000000"/>
        </w:rPr>
        <w:t>neurodysfunctional</w:t>
      </w:r>
      <w:proofErr w:type="spellEnd"/>
      <w:r>
        <w:rPr>
          <w:color w:val="000000"/>
        </w:rPr>
        <w:t xml:space="preserve"> disorders (e.g., Huntington disease, multiple sclerosis or epilepsy), increasing age, and changes in the patient's dentition</w:t>
      </w:r>
    </w:p>
    <w:p w:rsidR="00A36C2C" w:rsidRDefault="00A36C2C" w:rsidP="00106479">
      <w:pPr>
        <w:jc w:val="both"/>
        <w:rPr>
          <w:sz w:val="24"/>
          <w:szCs w:val="24"/>
        </w:rPr>
      </w:pPr>
    </w:p>
    <w:p w:rsidR="00260615" w:rsidRPr="004A728A" w:rsidRDefault="00260615" w:rsidP="004A728A">
      <w:pPr>
        <w:pStyle w:val="IntenseQuote"/>
        <w:rPr>
          <w:b/>
          <w:bCs/>
          <w:i w:val="0"/>
          <w:iCs w:val="0"/>
          <w:color w:val="000000" w:themeColor="text1"/>
          <w:sz w:val="32"/>
          <w:szCs w:val="32"/>
        </w:rPr>
      </w:pPr>
      <w:r w:rsidRPr="004A728A">
        <w:rPr>
          <w:b/>
          <w:bCs/>
          <w:i w:val="0"/>
          <w:iCs w:val="0"/>
          <w:color w:val="000000" w:themeColor="text1"/>
          <w:sz w:val="32"/>
          <w:szCs w:val="32"/>
        </w:rPr>
        <w:lastRenderedPageBreak/>
        <w:t>Epidemiology</w:t>
      </w:r>
    </w:p>
    <w:p w:rsidR="00260615" w:rsidRDefault="00260615" w:rsidP="00106479">
      <w:pPr>
        <w:jc w:val="both"/>
        <w:rPr>
          <w:color w:val="000000"/>
          <w:shd w:val="clear" w:color="auto" w:fill="FFFFFF"/>
        </w:rPr>
      </w:pPr>
      <w:r>
        <w:rPr>
          <w:color w:val="000000"/>
          <w:shd w:val="clear" w:color="auto" w:fill="FFFFFF"/>
        </w:rPr>
        <w:t xml:space="preserve">Mandibular dislocation is rare, and there is no overall gender or age-related predilection. As facial trauma is more prevalent overall in men, traumatic causes may show a slight male predilection. Anterior dislocations are the most common type of mandibular dislocation, usually secondary to atraumatic causes. Posterior, lateral, and superior dislocations are much rarer. Bilateral TMJ dislocations occur more often than unilateral dislocation </w:t>
      </w:r>
    </w:p>
    <w:p w:rsidR="00260615" w:rsidRPr="004A728A" w:rsidRDefault="00260615" w:rsidP="004A728A">
      <w:pPr>
        <w:pStyle w:val="IntenseQuote"/>
        <w:rPr>
          <w:b/>
          <w:bCs/>
          <w:i w:val="0"/>
          <w:iCs w:val="0"/>
          <w:color w:val="000000" w:themeColor="text1"/>
          <w:sz w:val="32"/>
          <w:szCs w:val="32"/>
        </w:rPr>
      </w:pPr>
      <w:r w:rsidRPr="004A728A">
        <w:rPr>
          <w:b/>
          <w:bCs/>
          <w:i w:val="0"/>
          <w:iCs w:val="0"/>
          <w:color w:val="000000" w:themeColor="text1"/>
          <w:sz w:val="32"/>
          <w:szCs w:val="32"/>
        </w:rPr>
        <w:t>Pathophysiology</w:t>
      </w:r>
    </w:p>
    <w:p w:rsidR="00A500FF" w:rsidRDefault="00A500FF" w:rsidP="00A500FF">
      <w:pPr>
        <w:pStyle w:val="NormalWeb"/>
        <w:shd w:val="clear" w:color="auto" w:fill="FFFFFF"/>
        <w:spacing w:before="166" w:beforeAutospacing="0" w:after="166" w:afterAutospacing="0"/>
        <w:rPr>
          <w:color w:val="000000"/>
        </w:rPr>
      </w:pPr>
      <w:r>
        <w:rPr>
          <w:color w:val="000000"/>
        </w:rPr>
        <w:t>Mandible dislocation can occur anterior, posterior, superior, or lateral to the articular eminence. Dislocations can also be classified as acute, chronic, or recurrent.</w:t>
      </w:r>
    </w:p>
    <w:p w:rsidR="00A500FF" w:rsidRDefault="00A500FF" w:rsidP="00A500FF">
      <w:pPr>
        <w:pStyle w:val="NormalWeb"/>
        <w:shd w:val="clear" w:color="auto" w:fill="FFFFFF"/>
        <w:spacing w:before="166" w:beforeAutospacing="0" w:after="166" w:afterAutospacing="0"/>
        <w:rPr>
          <w:color w:val="000000"/>
        </w:rPr>
      </w:pPr>
      <w:r>
        <w:rPr>
          <w:color w:val="000000"/>
        </w:rPr>
        <w:t xml:space="preserve">Anterior dislocations are the most common type of dislocation. The condyle of the mandible is displaced anterior to the temporal bone articular eminence; this can occur by elevation of the mandible by the temporalis and masseter muscles before relaxation occurs by the lateral </w:t>
      </w:r>
      <w:proofErr w:type="spellStart"/>
      <w:r>
        <w:rPr>
          <w:color w:val="000000"/>
        </w:rPr>
        <w:t>pterygoid</w:t>
      </w:r>
      <w:proofErr w:type="spellEnd"/>
      <w:r>
        <w:rPr>
          <w:color w:val="000000"/>
        </w:rPr>
        <w:t>. Anterior temporal mandibular joint (TMJ) dislocations often result following atraumatic causes that result in over-opening of the mandible or interruption of normal mouth opening. Anterior dislocation may increase the risk of recurrent dislocation.</w:t>
      </w:r>
    </w:p>
    <w:p w:rsidR="00A500FF" w:rsidRDefault="00A500FF" w:rsidP="00A500FF">
      <w:pPr>
        <w:pStyle w:val="NormalWeb"/>
        <w:shd w:val="clear" w:color="auto" w:fill="FFFFFF"/>
        <w:spacing w:before="166" w:beforeAutospacing="0" w:after="166" w:afterAutospacing="0"/>
        <w:rPr>
          <w:color w:val="000000"/>
        </w:rPr>
      </w:pPr>
      <w:r>
        <w:rPr>
          <w:color w:val="000000"/>
        </w:rPr>
        <w:t>A posterior dislocation often occurs as a result of a direct blow to the jaw, pushing the mandibular condyle posterior in the direction of the mastoid. Patients can have an injury to the external auditory canal from this type of injury, including temporary or permanent canal narrowing.</w:t>
      </w:r>
    </w:p>
    <w:p w:rsidR="00A500FF" w:rsidRDefault="00A500FF" w:rsidP="00A500FF">
      <w:pPr>
        <w:pStyle w:val="NormalWeb"/>
        <w:shd w:val="clear" w:color="auto" w:fill="FFFFFF"/>
        <w:spacing w:before="166" w:beforeAutospacing="0" w:after="166" w:afterAutospacing="0"/>
        <w:rPr>
          <w:color w:val="000000"/>
        </w:rPr>
      </w:pPr>
      <w:r>
        <w:rPr>
          <w:color w:val="000000"/>
        </w:rPr>
        <w:t>Lateral dislocations often present in the setting of a mandibular fracture. The condyle can dislocate laterally relative to the fossa (type I, subluxation), or the condyle can dislocate laterally then superiorly and into the temporal fossa beyond the zygomatic arch (type II, luxation).</w:t>
      </w:r>
    </w:p>
    <w:p w:rsidR="00A500FF" w:rsidRDefault="00A500FF" w:rsidP="00A500FF">
      <w:pPr>
        <w:pStyle w:val="NormalWeb"/>
        <w:shd w:val="clear" w:color="auto" w:fill="FFFFFF"/>
        <w:spacing w:before="166" w:beforeAutospacing="0" w:after="166" w:afterAutospacing="0"/>
        <w:rPr>
          <w:color w:val="000000"/>
        </w:rPr>
      </w:pPr>
      <w:r>
        <w:rPr>
          <w:color w:val="000000"/>
        </w:rPr>
        <w:t>Superior dislocation or central dislocation results from a direct blow to a partially open mouth causing upward migration of the condyle of the mandible. This mechanism can cause fracture of the glenoid fossa and dislocation of the mandibular condyle into the middle skull base, particularly in extremely high-velocity traumas such as motor vehicle accidents, but can be seen in assaults with blunt weapons also. Other injuries can occur, including injuries to the facial nerve (seventh cranial nerve), vestibulocochlear nerve (eighth cranial nerve), intracranial hematoma, leakage of cerebrospinal fluid (CSF), and cerebral contusion. Superior dislocation has correlations with deafness, facial nerve palsy, meningitis, and cerebral contusion.</w:t>
      </w:r>
    </w:p>
    <w:p w:rsidR="00A500FF" w:rsidRDefault="00A500FF" w:rsidP="00A500FF">
      <w:pPr>
        <w:pStyle w:val="NormalWeb"/>
        <w:shd w:val="clear" w:color="auto" w:fill="FFFFFF"/>
        <w:spacing w:before="166" w:beforeAutospacing="0" w:after="166" w:afterAutospacing="0"/>
        <w:rPr>
          <w:color w:val="000000"/>
        </w:rPr>
      </w:pPr>
      <w:r>
        <w:rPr>
          <w:color w:val="000000"/>
        </w:rPr>
        <w:t>Acute dislocation is usually an isolated event and often occurs due to facial trauma, or over-opening of the mouth. Examples include yawning, laughing, singing, vomiting or seizures, or iatrogenic causes such as intubation, endoscopic procedures, or dental procedures. This can often be treated with closed reduction, though may require anesthesia or muscle relaxants.</w:t>
      </w:r>
    </w:p>
    <w:p w:rsidR="00A500FF" w:rsidRDefault="00A500FF" w:rsidP="00A500FF">
      <w:pPr>
        <w:pStyle w:val="NormalWeb"/>
        <w:shd w:val="clear" w:color="auto" w:fill="FFFFFF"/>
        <w:spacing w:before="166" w:beforeAutospacing="0" w:after="166" w:afterAutospacing="0"/>
        <w:rPr>
          <w:color w:val="000000"/>
        </w:rPr>
      </w:pPr>
      <w:r>
        <w:rPr>
          <w:color w:val="000000"/>
        </w:rPr>
        <w:lastRenderedPageBreak/>
        <w:t>Generally, chronic dislocation is dislocation lasting longer than 72 hours, but no definitive consensus exists. This type of injury occurs resulting from untreated mandible dislocation and typically requires open reduction.</w:t>
      </w:r>
    </w:p>
    <w:p w:rsidR="00A500FF" w:rsidRDefault="00A500FF" w:rsidP="00A500FF">
      <w:pPr>
        <w:pStyle w:val="NormalWeb"/>
        <w:shd w:val="clear" w:color="auto" w:fill="FFFFFF"/>
        <w:spacing w:before="166" w:beforeAutospacing="0" w:after="166" w:afterAutospacing="0"/>
        <w:rPr>
          <w:color w:val="000000"/>
        </w:rPr>
      </w:pPr>
      <w:r>
        <w:rPr>
          <w:color w:val="000000"/>
        </w:rPr>
        <w:t>Recurrent dislocations are repeated, acute, or chronic dislocation, which typically occurs due to hypermobility of the joint secondary to hypermobility syndromes, shallow mandibular fossa, or joint capsule laxity.</w:t>
      </w:r>
    </w:p>
    <w:p w:rsidR="00A500FF" w:rsidRDefault="00A500FF" w:rsidP="00A500FF">
      <w:pPr>
        <w:pStyle w:val="NormalWeb"/>
        <w:shd w:val="clear" w:color="auto" w:fill="FFFFFF"/>
        <w:spacing w:before="166" w:beforeAutospacing="0" w:after="166" w:afterAutospacing="0"/>
        <w:rPr>
          <w:rFonts w:eastAsiaTheme="majorEastAsia"/>
          <w:color w:val="000000"/>
        </w:rPr>
      </w:pPr>
      <w:r>
        <w:rPr>
          <w:color w:val="000000"/>
        </w:rPr>
        <w:t xml:space="preserve">Common findings when assessing the patient's history and physical exam include symptoms such as inability to close the mouth, drooling, difficulty with speech and chewing, severe </w:t>
      </w:r>
      <w:proofErr w:type="spellStart"/>
      <w:r>
        <w:rPr>
          <w:color w:val="000000"/>
        </w:rPr>
        <w:t>preauricular</w:t>
      </w:r>
      <w:proofErr w:type="spellEnd"/>
      <w:r>
        <w:rPr>
          <w:color w:val="000000"/>
        </w:rPr>
        <w:t xml:space="preserve"> pain, and signs including garbled speech, palpable </w:t>
      </w:r>
      <w:proofErr w:type="spellStart"/>
      <w:r>
        <w:rPr>
          <w:color w:val="000000"/>
        </w:rPr>
        <w:t>preauricular</w:t>
      </w:r>
      <w:proofErr w:type="spellEnd"/>
      <w:r>
        <w:rPr>
          <w:color w:val="000000"/>
        </w:rPr>
        <w:t xml:space="preserve"> depression.</w:t>
      </w:r>
    </w:p>
    <w:p w:rsidR="00A500FF" w:rsidRDefault="00A500FF" w:rsidP="00A500FF">
      <w:pPr>
        <w:pStyle w:val="NormalWeb"/>
        <w:shd w:val="clear" w:color="auto" w:fill="FFFFFF"/>
        <w:spacing w:before="166" w:beforeAutospacing="0" w:after="166" w:afterAutospacing="0"/>
        <w:rPr>
          <w:rFonts w:eastAsiaTheme="majorEastAsia"/>
          <w:color w:val="000000"/>
        </w:rPr>
      </w:pPr>
    </w:p>
    <w:p w:rsidR="00A500FF" w:rsidRPr="00F70FFF" w:rsidRDefault="00F70FFF" w:rsidP="00F70FFF">
      <w:pPr>
        <w:pStyle w:val="IntenseQuote"/>
        <w:rPr>
          <w:b/>
          <w:bCs/>
          <w:i w:val="0"/>
          <w:iCs w:val="0"/>
          <w:sz w:val="32"/>
          <w:szCs w:val="32"/>
        </w:rPr>
      </w:pPr>
      <w:r w:rsidRPr="00F70FFF">
        <w:rPr>
          <w:b/>
          <w:bCs/>
          <w:i w:val="0"/>
          <w:iCs w:val="0"/>
          <w:color w:val="000000" w:themeColor="text1"/>
          <w:sz w:val="32"/>
          <w:szCs w:val="32"/>
        </w:rPr>
        <w:t>History</w:t>
      </w:r>
      <w:r w:rsidRPr="00F70FFF">
        <w:rPr>
          <w:b/>
          <w:bCs/>
          <w:i w:val="0"/>
          <w:iCs w:val="0"/>
          <w:sz w:val="32"/>
          <w:szCs w:val="32"/>
        </w:rPr>
        <w:t xml:space="preserve"> </w:t>
      </w:r>
    </w:p>
    <w:p w:rsidR="00A500FF" w:rsidRDefault="00A500FF" w:rsidP="00A500FF">
      <w:pPr>
        <w:pStyle w:val="NormalWeb"/>
        <w:shd w:val="clear" w:color="auto" w:fill="FFFFFF"/>
        <w:spacing w:before="166" w:beforeAutospacing="0" w:after="166" w:afterAutospacing="0"/>
        <w:rPr>
          <w:color w:val="000000"/>
        </w:rPr>
      </w:pPr>
    </w:p>
    <w:p w:rsidR="00A500FF" w:rsidRDefault="00A500FF" w:rsidP="00A500FF">
      <w:pPr>
        <w:pStyle w:val="NormalWeb"/>
        <w:shd w:val="clear" w:color="auto" w:fill="FFFFFF"/>
        <w:spacing w:before="166" w:beforeAutospacing="0" w:after="166" w:afterAutospacing="0"/>
        <w:rPr>
          <w:color w:val="000000"/>
        </w:rPr>
      </w:pPr>
      <w:r>
        <w:rPr>
          <w:color w:val="000000"/>
        </w:rPr>
        <w:t xml:space="preserve">In acute dislocation, patients will often present with pain in the </w:t>
      </w:r>
      <w:proofErr w:type="spellStart"/>
      <w:r>
        <w:rPr>
          <w:color w:val="000000"/>
        </w:rPr>
        <w:t>preauricular</w:t>
      </w:r>
      <w:proofErr w:type="spellEnd"/>
      <w:r>
        <w:rPr>
          <w:color w:val="000000"/>
        </w:rPr>
        <w:t xml:space="preserve"> area, difficulty closing the mouth, which may lead to garbled speech and drooling. Assessment questions about an inciting event such as trauma, yawning, laughing, vomiting, seizures, or iatrogenic cause (dental work, intubation, endoscopy) should be documented. Ask about medication use (haloperidol, </w:t>
      </w:r>
      <w:proofErr w:type="spellStart"/>
      <w:r>
        <w:rPr>
          <w:color w:val="000000"/>
        </w:rPr>
        <w:t>phenothiazines</w:t>
      </w:r>
      <w:proofErr w:type="spellEnd"/>
      <w:r>
        <w:rPr>
          <w:color w:val="000000"/>
        </w:rPr>
        <w:t xml:space="preserve">, and </w:t>
      </w:r>
      <w:proofErr w:type="spellStart"/>
      <w:r>
        <w:rPr>
          <w:color w:val="000000"/>
        </w:rPr>
        <w:t>thiothixene</w:t>
      </w:r>
      <w:proofErr w:type="spellEnd"/>
      <w:r>
        <w:rPr>
          <w:color w:val="000000"/>
        </w:rPr>
        <w:t xml:space="preserve"> have been associated with an increased risk of jaw dislocation). History of neurodegenerative or connective tissue disorders may also increase the risk of dislocation; examples include </w:t>
      </w:r>
      <w:proofErr w:type="spellStart"/>
      <w:r>
        <w:rPr>
          <w:color w:val="000000"/>
        </w:rPr>
        <w:t>Marfan</w:t>
      </w:r>
      <w:proofErr w:type="spellEnd"/>
      <w:r>
        <w:rPr>
          <w:color w:val="000000"/>
        </w:rPr>
        <w:t xml:space="preserve"> syndrome, Ehlers-</w:t>
      </w:r>
      <w:proofErr w:type="spellStart"/>
      <w:r>
        <w:rPr>
          <w:color w:val="000000"/>
        </w:rPr>
        <w:t>Danlos</w:t>
      </w:r>
      <w:proofErr w:type="spellEnd"/>
      <w:r>
        <w:rPr>
          <w:color w:val="000000"/>
        </w:rPr>
        <w:t xml:space="preserve"> syndrome, muscular dystrophy, multiple sclerosis, Huntington disease, Parkinson disease, epilepsy.</w:t>
      </w:r>
    </w:p>
    <w:p w:rsidR="00A500FF" w:rsidRPr="00A500FF" w:rsidRDefault="00A500FF" w:rsidP="00A500FF">
      <w:pPr>
        <w:pStyle w:val="NormalWeb"/>
        <w:shd w:val="clear" w:color="auto" w:fill="FFFFFF"/>
        <w:spacing w:before="166" w:beforeAutospacing="0" w:after="166" w:afterAutospacing="0"/>
        <w:rPr>
          <w:color w:val="000000"/>
        </w:rPr>
      </w:pPr>
      <w:r>
        <w:rPr>
          <w:color w:val="000000"/>
        </w:rPr>
        <w:t xml:space="preserve">The physical exam may reveal tenderness over the </w:t>
      </w:r>
      <w:proofErr w:type="spellStart"/>
      <w:r>
        <w:rPr>
          <w:color w:val="000000"/>
        </w:rPr>
        <w:t>preauricular</w:t>
      </w:r>
      <w:proofErr w:type="spellEnd"/>
      <w:r>
        <w:rPr>
          <w:color w:val="000000"/>
        </w:rPr>
        <w:t xml:space="preserve"> area with palpable indentation at the location of the TMJ. Jaw deviation may be present, and the patient’s mouth will often be slightly open. The provider should examine the mandible for symmetry to determine if the dislocation is unilateral or bilateral. Bilateral dislocation will have a midline, open, fixed jaw. In unilateral dislocation, the jaw deviates to one side. In a superior dislocation, a bulge will often be present in the </w:t>
      </w:r>
      <w:proofErr w:type="spellStart"/>
      <w:r>
        <w:rPr>
          <w:color w:val="000000"/>
        </w:rPr>
        <w:t>preauricular</w:t>
      </w:r>
      <w:proofErr w:type="spellEnd"/>
      <w:r>
        <w:rPr>
          <w:color w:val="000000"/>
        </w:rPr>
        <w:t xml:space="preserve"> and temporal areas of the </w:t>
      </w:r>
      <w:proofErr w:type="spellStart"/>
      <w:r>
        <w:rPr>
          <w:color w:val="000000"/>
        </w:rPr>
        <w:t>face.The</w:t>
      </w:r>
      <w:proofErr w:type="spellEnd"/>
      <w:r>
        <w:rPr>
          <w:color w:val="000000"/>
        </w:rPr>
        <w:t xml:space="preserve"> trigeminal nerve (fifth cranial nerve), facial nerve (seventh cranial nerve), and vestibulocochlear nerve (eighth cranial nerve) should undergo testing in superior dislocations as damage to these nerves can occur.</w:t>
      </w:r>
    </w:p>
    <w:p w:rsidR="00A500FF" w:rsidRPr="001552E1" w:rsidRDefault="00A500FF" w:rsidP="00F70FFF">
      <w:pPr>
        <w:pStyle w:val="IntenseQuote"/>
        <w:rPr>
          <w:b/>
          <w:bCs/>
          <w:i w:val="0"/>
          <w:iCs w:val="0"/>
          <w:color w:val="000000" w:themeColor="text1"/>
          <w:sz w:val="32"/>
          <w:szCs w:val="32"/>
        </w:rPr>
      </w:pPr>
      <w:r w:rsidRPr="001552E1">
        <w:rPr>
          <w:b/>
          <w:bCs/>
          <w:i w:val="0"/>
          <w:iCs w:val="0"/>
          <w:color w:val="000000" w:themeColor="text1"/>
          <w:sz w:val="32"/>
          <w:szCs w:val="32"/>
        </w:rPr>
        <w:t>Evaluation</w:t>
      </w:r>
    </w:p>
    <w:p w:rsidR="00A500FF" w:rsidRPr="00EE3A24" w:rsidRDefault="00A500FF" w:rsidP="00EE3A24">
      <w:pPr>
        <w:jc w:val="both"/>
        <w:rPr>
          <w:color w:val="000000"/>
          <w:sz w:val="24"/>
          <w:szCs w:val="24"/>
          <w:shd w:val="clear" w:color="auto" w:fill="FFFFFF"/>
        </w:rPr>
      </w:pPr>
      <w:r w:rsidRPr="00EE3A24">
        <w:rPr>
          <w:color w:val="000000"/>
          <w:sz w:val="24"/>
          <w:szCs w:val="24"/>
          <w:shd w:val="clear" w:color="auto" w:fill="FFFFFF"/>
        </w:rPr>
        <w:t xml:space="preserve">Diagnosis of mandibular dislocation is typically possible with history and physical. Imaging may not be necessary for the diagnosis of a mandibular dislocation. For traumatic, unclear diagnosis, or concern for fracture, the imaging test of choice is a computed tomography (CT) scan. A CT scan is useful for the assessment of the type of dislocation and associated fractures. X-rays and panoramic jaw radiographs can also be useful, however, there may be some limitations due to </w:t>
      </w:r>
      <w:r w:rsidRPr="00EE3A24">
        <w:rPr>
          <w:color w:val="000000"/>
          <w:sz w:val="24"/>
          <w:szCs w:val="24"/>
          <w:shd w:val="clear" w:color="auto" w:fill="FFFFFF"/>
        </w:rPr>
        <w:lastRenderedPageBreak/>
        <w:t xml:space="preserve">overlapping spine projections in the </w:t>
      </w:r>
      <w:proofErr w:type="spellStart"/>
      <w:r w:rsidRPr="00EE3A24">
        <w:rPr>
          <w:color w:val="000000"/>
          <w:sz w:val="24"/>
          <w:szCs w:val="24"/>
          <w:shd w:val="clear" w:color="auto" w:fill="FFFFFF"/>
        </w:rPr>
        <w:t>posteroanterior</w:t>
      </w:r>
      <w:proofErr w:type="spellEnd"/>
      <w:r w:rsidRPr="00EE3A24">
        <w:rPr>
          <w:color w:val="000000"/>
          <w:sz w:val="24"/>
          <w:szCs w:val="24"/>
          <w:shd w:val="clear" w:color="auto" w:fill="FFFFFF"/>
        </w:rPr>
        <w:t xml:space="preserve"> (PA) view. Imaging should be performed before reduction to assess for fracture. MRI can also be used to assess the joint capsule and surrounding ligaments. Typically MRI is reserved for chronic recurrent dislocations or complications, including assessment for ischemic necrosis, osteomyelitis, or </w:t>
      </w:r>
      <w:proofErr w:type="spellStart"/>
      <w:r w:rsidRPr="00EE3A24">
        <w:rPr>
          <w:color w:val="000000"/>
          <w:sz w:val="24"/>
          <w:szCs w:val="24"/>
          <w:shd w:val="clear" w:color="auto" w:fill="FFFFFF"/>
        </w:rPr>
        <w:t>pseudoarthrosis</w:t>
      </w:r>
      <w:proofErr w:type="spellEnd"/>
      <w:r w:rsidRPr="00EE3A24">
        <w:rPr>
          <w:color w:val="000000"/>
          <w:sz w:val="24"/>
          <w:szCs w:val="24"/>
          <w:shd w:val="clear" w:color="auto" w:fill="FFFFFF"/>
        </w:rPr>
        <w:t>. Adults with dislocation secondary to atraumatic cause and no concern for fracture on the physical exam have reduction without imaging. Imaging is necessary following reduction as an iatrogenic fracture can occur following the forceful manipulation of the mandible required to reduce the dislocation</w:t>
      </w:r>
    </w:p>
    <w:p w:rsidR="00EE3A24" w:rsidRPr="00EE3A24" w:rsidRDefault="00EE3A24" w:rsidP="00A500FF">
      <w:pPr>
        <w:rPr>
          <w:color w:val="000000" w:themeColor="text1"/>
          <w:shd w:val="clear" w:color="auto" w:fill="FFFFFF"/>
        </w:rPr>
      </w:pPr>
    </w:p>
    <w:p w:rsidR="00EE3A24" w:rsidRPr="001552E1" w:rsidRDefault="00EE3A24" w:rsidP="001552E1">
      <w:pPr>
        <w:pStyle w:val="IntenseQuote"/>
        <w:rPr>
          <w:b/>
          <w:bCs/>
          <w:i w:val="0"/>
          <w:iCs w:val="0"/>
          <w:color w:val="000000" w:themeColor="text1"/>
          <w:sz w:val="32"/>
          <w:szCs w:val="32"/>
        </w:rPr>
      </w:pPr>
      <w:r w:rsidRPr="001552E1">
        <w:rPr>
          <w:b/>
          <w:bCs/>
          <w:i w:val="0"/>
          <w:iCs w:val="0"/>
          <w:color w:val="000000" w:themeColor="text1"/>
          <w:sz w:val="32"/>
          <w:szCs w:val="32"/>
        </w:rPr>
        <w:t>Treatment / Management</w:t>
      </w:r>
    </w:p>
    <w:p w:rsidR="00030DEC" w:rsidRDefault="00030DEC" w:rsidP="00030DEC">
      <w:pPr>
        <w:pStyle w:val="NormalWeb"/>
        <w:shd w:val="clear" w:color="auto" w:fill="FFFFFF"/>
        <w:spacing w:before="166" w:beforeAutospacing="0" w:after="166" w:afterAutospacing="0"/>
        <w:rPr>
          <w:color w:val="000000"/>
        </w:rPr>
      </w:pPr>
      <w:r>
        <w:rPr>
          <w:b/>
          <w:bCs/>
          <w:color w:val="000000"/>
        </w:rPr>
        <w:t>Bimanual Method:</w:t>
      </w:r>
      <w:r>
        <w:rPr>
          <w:color w:val="000000"/>
        </w:rPr>
        <w:t> also known as the classic, traditional, or Hippocratic intraoral reduction method, which is the most common technique used for TMJ reduction. The provider stands directly in front of the seated patient, facing toward the patient. An assistant should stabilize the head throughout the procedure. While wearing gloves, the provider places both thumbs into the patient's open mouth. Thumbs may be wrapped in gauze for protection. Each thumb gets placed on the patient’s respective lower molars or the external oblique ridge as far back as possible. The provider’s fingers are placed out of the mouth on the angle of the mandible to elevate the body of the mandible and chin. The pressure is applied by the thumbs to push the mandible downward and then backward while maintaining the mouth slightly open. The goal is to free the condyle from the anterior eminence and push the mandible back into the temporal fossa.</w:t>
      </w:r>
    </w:p>
    <w:p w:rsidR="00030DEC" w:rsidRDefault="00030DEC" w:rsidP="00030DEC">
      <w:pPr>
        <w:pStyle w:val="NormalWeb"/>
        <w:shd w:val="clear" w:color="auto" w:fill="FFFFFF"/>
        <w:spacing w:before="166" w:beforeAutospacing="0" w:after="166" w:afterAutospacing="0"/>
        <w:rPr>
          <w:color w:val="000000"/>
        </w:rPr>
      </w:pPr>
      <w:r>
        <w:rPr>
          <w:b/>
          <w:bCs/>
          <w:color w:val="000000"/>
        </w:rPr>
        <w:t>Wrist Pivot Method: </w:t>
      </w:r>
      <w:r>
        <w:rPr>
          <w:color w:val="000000"/>
        </w:rPr>
        <w:t xml:space="preserve">It is an alternative method that uses the same materials as the bimanual intraoral technique. The provider faces the seated patient. An assistant should stabilize the patient's head during the reduction. With gloved hands, the thumbs of the provider are placed out of the mouth under the </w:t>
      </w:r>
      <w:proofErr w:type="spellStart"/>
      <w:r>
        <w:rPr>
          <w:color w:val="000000"/>
        </w:rPr>
        <w:t>mentum</w:t>
      </w:r>
      <w:proofErr w:type="spellEnd"/>
      <w:r>
        <w:rPr>
          <w:color w:val="000000"/>
        </w:rPr>
        <w:t xml:space="preserve"> (chin), pointing toward the midline. The index and middle fingers get positioned on the bilateral lower molars. The thumbs apply upward pressure with equal downward pressure by the fingers. The wrist is then pivoted forward, causing the angle of the mandible to move downward and posterior, reducing the dislocation.</w:t>
      </w:r>
    </w:p>
    <w:p w:rsidR="00A56500" w:rsidRDefault="00A56500" w:rsidP="00030DEC">
      <w:pPr>
        <w:pStyle w:val="NormalWeb"/>
        <w:shd w:val="clear" w:color="auto" w:fill="FFFFFF"/>
        <w:spacing w:before="166" w:beforeAutospacing="0" w:after="166" w:afterAutospacing="0"/>
        <w:rPr>
          <w:color w:val="000000"/>
        </w:rPr>
      </w:pPr>
      <w:r>
        <w:rPr>
          <w:noProof/>
          <w:color w:val="000000"/>
        </w:rPr>
        <w:drawing>
          <wp:inline distT="0" distB="0" distL="0" distR="0">
            <wp:extent cx="2484167" cy="2057400"/>
            <wp:effectExtent l="19050" t="0" r="0" b="0"/>
            <wp:docPr id="8" name="Picture 7" descr="Closed-reduction-methods-A-Hippocratic-B-wrist-pivot-C-extra-oral-D-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d-reduction-methods-A-Hippocratic-B-wrist-pivot-C-extra-oral-D-combined.png"/>
                    <pic:cNvPicPr/>
                  </pic:nvPicPr>
                  <pic:blipFill>
                    <a:blip r:embed="rId7" cstate="print"/>
                    <a:stretch>
                      <a:fillRect/>
                    </a:stretch>
                  </pic:blipFill>
                  <pic:spPr>
                    <a:xfrm>
                      <a:off x="0" y="0"/>
                      <a:ext cx="2484167" cy="2057400"/>
                    </a:xfrm>
                    <a:prstGeom prst="rect">
                      <a:avLst/>
                    </a:prstGeom>
                  </pic:spPr>
                </pic:pic>
              </a:graphicData>
            </a:graphic>
          </wp:inline>
        </w:drawing>
      </w:r>
    </w:p>
    <w:p w:rsidR="00030DEC" w:rsidRDefault="00030DEC" w:rsidP="00030DEC">
      <w:pPr>
        <w:pStyle w:val="NormalWeb"/>
        <w:shd w:val="clear" w:color="auto" w:fill="FFFFFF"/>
        <w:spacing w:before="166" w:beforeAutospacing="0" w:after="166" w:afterAutospacing="0"/>
        <w:rPr>
          <w:color w:val="000000"/>
        </w:rPr>
      </w:pPr>
      <w:r>
        <w:rPr>
          <w:b/>
          <w:bCs/>
          <w:color w:val="000000"/>
        </w:rPr>
        <w:lastRenderedPageBreak/>
        <w:t>Recumbent (or Supine) Technique:</w:t>
      </w:r>
      <w:r>
        <w:rPr>
          <w:color w:val="000000"/>
        </w:rPr>
        <w:t> In this technique, the provider stands or sits behind the patient while the patient is in a supine position. The patient's head is braced against the provider’s abdomen. While wearing gloves, the provider’s thumbs are placed on the lower molars. The fingers of the provider’s hands are out of the mouth and used to grip the angle of the mandible. Downward then backward pressure is applied by the thumbs to free the condyle from the anterior eminence and guide the condyle into the temporal fossa.</w:t>
      </w:r>
    </w:p>
    <w:p w:rsidR="00030DEC" w:rsidRDefault="00030DEC" w:rsidP="00030DEC">
      <w:pPr>
        <w:pStyle w:val="NormalWeb"/>
        <w:shd w:val="clear" w:color="auto" w:fill="FFFFFF"/>
        <w:spacing w:before="166" w:beforeAutospacing="0" w:after="166" w:afterAutospacing="0"/>
        <w:rPr>
          <w:color w:val="000000"/>
        </w:rPr>
      </w:pPr>
      <w:r>
        <w:rPr>
          <w:b/>
          <w:bCs/>
          <w:color w:val="000000"/>
        </w:rPr>
        <w:t>Gag Reflex Method: </w:t>
      </w:r>
      <w:r>
        <w:rPr>
          <w:color w:val="000000"/>
        </w:rPr>
        <w:t>It is a technique in which the provider's fingers do not enter the patient's mouth, thereby protecting the provider's fingers from biting. This technique is performed by using a mouth mirror to stimulate the gag reflex by touching the patient’s soft palate and pharynx; this will trigger the depressor and protrude muscles, which may flex and relocate the mandibular condyle into the temporal fossa. This technique is discouraged as there is an increased risk of vomiting and aspiration when stimulating the gag reflex.</w:t>
      </w:r>
    </w:p>
    <w:p w:rsidR="00030DEC" w:rsidRDefault="00030DEC" w:rsidP="00030DEC">
      <w:pPr>
        <w:pStyle w:val="NormalWeb"/>
        <w:shd w:val="clear" w:color="auto" w:fill="FFFFFF"/>
        <w:spacing w:before="166" w:beforeAutospacing="0" w:after="166" w:afterAutospacing="0"/>
        <w:rPr>
          <w:color w:val="000000"/>
        </w:rPr>
      </w:pPr>
      <w:r>
        <w:rPr>
          <w:b/>
          <w:bCs/>
          <w:color w:val="000000"/>
        </w:rPr>
        <w:t>Syringe Method:</w:t>
      </w:r>
      <w:r>
        <w:rPr>
          <w:color w:val="000000"/>
        </w:rPr>
        <w:t> This is performed by placing an empty 5 or 10 mL syringe, oriented transversely, on one side in the posterior portion of the patient's mouth, between the upper and lower molars or posterior gums. The patient is directed to bite down softly and roll the syringe backward and forward. This maneuver gets repeated until the mandible reduces on that side. The opposite side can reduce spontaneously; however, if it does not, the syringe can be placed on the opposite side of the mouth, and the technique repeated. Syringe size is chosen based on which size can fit most easily. Procedural sedation or anesthesia is not a requirement for this technique.</w:t>
      </w:r>
    </w:p>
    <w:p w:rsidR="00030DEC" w:rsidRDefault="00030DEC" w:rsidP="00030DEC">
      <w:pPr>
        <w:pStyle w:val="NormalWeb"/>
        <w:shd w:val="clear" w:color="auto" w:fill="FFFFFF"/>
        <w:spacing w:before="166" w:beforeAutospacing="0" w:after="166" w:afterAutospacing="0"/>
        <w:rPr>
          <w:color w:val="000000"/>
        </w:rPr>
      </w:pPr>
      <w:r>
        <w:rPr>
          <w:b/>
          <w:bCs/>
          <w:color w:val="000000"/>
        </w:rPr>
        <w:t>External Approach:</w:t>
      </w:r>
      <w:r>
        <w:rPr>
          <w:color w:val="000000"/>
        </w:rPr>
        <w:t> It is performed by placing the patient in a seated position with the provider facing the patient. The provider places the fingers of one hand on the ascending ramus, grasping the mandibular angle. Thumb placement is on the malar eminence of the maxilla or zygomatic bone. The opposite side is positioned using the thumb above the displaced coronoid process, applying posterior pressure. The fingers of the same hand pull traction on the mastoid process of the temporal bone. The simultaneous action of both hands is performed to reduce the mandible. The angle of the mandible is pulled anteriorly while on the opposite side, the coronoid process is pushed posteriorly and directed into the temporal fossa. One side of the mandible will reduce. If the opposite side does not reduce spontaneously immediately following the first reduction, reverse hand positions and reduce the second side.</w:t>
      </w:r>
    </w:p>
    <w:p w:rsidR="00030DEC" w:rsidRDefault="00030DEC" w:rsidP="00030DEC">
      <w:pPr>
        <w:pStyle w:val="NormalWeb"/>
        <w:shd w:val="clear" w:color="auto" w:fill="FFFFFF"/>
        <w:spacing w:before="166" w:beforeAutospacing="0" w:after="166" w:afterAutospacing="0"/>
        <w:rPr>
          <w:color w:val="000000"/>
        </w:rPr>
      </w:pPr>
      <w:r>
        <w:rPr>
          <w:color w:val="000000"/>
        </w:rPr>
        <w:t xml:space="preserve">Dislocations that require emergent consultation to otolaryngology or oral maxillofacial surgery include chronic dislocation, superior or posterior dislocation, fracture-dislocation, open dislocation, cranial nerve injury associated with a dislocation, recurrent or history of two or more prior dislocations, or dislocation that is </w:t>
      </w:r>
      <w:proofErr w:type="spellStart"/>
      <w:r>
        <w:rPr>
          <w:color w:val="000000"/>
        </w:rPr>
        <w:t>nonreducible</w:t>
      </w:r>
      <w:proofErr w:type="spellEnd"/>
      <w:r>
        <w:rPr>
          <w:color w:val="000000"/>
        </w:rPr>
        <w:t xml:space="preserve"> following multiple attempts using closed reduction technique.</w:t>
      </w:r>
    </w:p>
    <w:p w:rsidR="00030DEC" w:rsidRDefault="00030DEC" w:rsidP="00030DEC">
      <w:pPr>
        <w:pStyle w:val="NormalWeb"/>
        <w:shd w:val="clear" w:color="auto" w:fill="FFFFFF"/>
        <w:spacing w:before="166" w:beforeAutospacing="0" w:after="166" w:afterAutospacing="0"/>
        <w:rPr>
          <w:color w:val="000000"/>
        </w:rPr>
      </w:pPr>
      <w:r>
        <w:rPr>
          <w:color w:val="000000"/>
        </w:rPr>
        <w:t>Subspecialists can perform conservative management following recurrent dislocation. Examples of conservative management include botulinum toxin injections, autologous blood injections, physiotherapy, soft diets, mandibular range of motion restriction, local anesthesia.</w:t>
      </w:r>
    </w:p>
    <w:p w:rsidR="00030DEC" w:rsidRDefault="00030DEC" w:rsidP="00030DEC">
      <w:pPr>
        <w:pStyle w:val="NormalWeb"/>
        <w:shd w:val="clear" w:color="auto" w:fill="FFFFFF"/>
        <w:spacing w:before="166" w:beforeAutospacing="0" w:after="166" w:afterAutospacing="0"/>
        <w:rPr>
          <w:color w:val="000000"/>
        </w:rPr>
      </w:pPr>
      <w:r>
        <w:rPr>
          <w:b/>
          <w:bCs/>
          <w:color w:val="000000"/>
        </w:rPr>
        <w:t>Botulinum Toxin A Injection:</w:t>
      </w:r>
      <w:r>
        <w:rPr>
          <w:color w:val="000000"/>
        </w:rPr>
        <w:t xml:space="preserve"> This can be used with other techniques or as primary therapy. Twenty-five to fifty units of botulinum toxin A is injected directly into the lateral </w:t>
      </w:r>
      <w:proofErr w:type="spellStart"/>
      <w:r>
        <w:rPr>
          <w:color w:val="000000"/>
        </w:rPr>
        <w:t>pterygoid</w:t>
      </w:r>
      <w:proofErr w:type="spellEnd"/>
      <w:r>
        <w:rPr>
          <w:color w:val="000000"/>
        </w:rPr>
        <w:t xml:space="preserve"> to prevent recurrent dislocation. Injections can be repeated every 3 to 6 months to improve outcomes and reduce morbidity. The mechanism of action blocks the release of acetylcholine of the neuromuscular junction by blocking the calcium-mediated release. The result of blocking the release of acetylcholine is a temporary weakening of the muscle. The use of the toxin has been reported to be a reasonable, safe treatment option for use in the pediatric population with recurrent TMJ dislocation.</w:t>
      </w:r>
    </w:p>
    <w:p w:rsidR="00030DEC" w:rsidRDefault="00030DEC" w:rsidP="00030DEC">
      <w:pPr>
        <w:pStyle w:val="NormalWeb"/>
        <w:shd w:val="clear" w:color="auto" w:fill="FFFFFF"/>
        <w:spacing w:before="166" w:beforeAutospacing="0" w:after="166" w:afterAutospacing="0"/>
        <w:rPr>
          <w:color w:val="000000"/>
        </w:rPr>
      </w:pPr>
      <w:r>
        <w:rPr>
          <w:b/>
          <w:bCs/>
          <w:color w:val="000000"/>
        </w:rPr>
        <w:lastRenderedPageBreak/>
        <w:t>Autologous Blood Injection:</w:t>
      </w:r>
      <w:r>
        <w:rPr>
          <w:color w:val="000000"/>
        </w:rPr>
        <w:t xml:space="preserve"> This is a conservative technique in which the joint space receives an injection with the patient's whole blood. In this technique, the joint space is </w:t>
      </w:r>
      <w:proofErr w:type="spellStart"/>
      <w:r>
        <w:rPr>
          <w:color w:val="000000"/>
        </w:rPr>
        <w:t>lavaged</w:t>
      </w:r>
      <w:proofErr w:type="spellEnd"/>
      <w:r>
        <w:rPr>
          <w:color w:val="000000"/>
        </w:rPr>
        <w:t xml:space="preserve"> with crystalloid fluid and drained. Whole blood is then drawn from the patient and injected into the joint space. The volume of blood injected is approximately 2 to 4 mL into the joint space and 1 to 1.5 mL into the </w:t>
      </w:r>
      <w:proofErr w:type="spellStart"/>
      <w:r>
        <w:rPr>
          <w:color w:val="000000"/>
        </w:rPr>
        <w:t>pericapsular</w:t>
      </w:r>
      <w:proofErr w:type="spellEnd"/>
      <w:r>
        <w:rPr>
          <w:color w:val="000000"/>
        </w:rPr>
        <w:t xml:space="preserve"> structures. The goal of injecting autologous blood into the joint space is to cause an inflammatory reaction resulting in fibrosis and scarring of the joint and capsular tissue. This process will decrease compliance of the joint and decreased range of motion. There are reports regarding concerns about damage to the joint cartilage secondary to the inflammatory reaction using this technique</w:t>
      </w:r>
    </w:p>
    <w:p w:rsidR="00030DEC" w:rsidRPr="001552E1" w:rsidRDefault="00030DEC" w:rsidP="001552E1">
      <w:pPr>
        <w:pStyle w:val="IntenseQuote"/>
        <w:rPr>
          <w:b/>
          <w:bCs/>
          <w:i w:val="0"/>
          <w:iCs w:val="0"/>
          <w:color w:val="000000" w:themeColor="text1"/>
          <w:sz w:val="32"/>
          <w:szCs w:val="32"/>
        </w:rPr>
      </w:pPr>
      <w:r w:rsidRPr="001552E1">
        <w:rPr>
          <w:b/>
          <w:bCs/>
          <w:i w:val="0"/>
          <w:iCs w:val="0"/>
          <w:color w:val="000000" w:themeColor="text1"/>
          <w:sz w:val="32"/>
          <w:szCs w:val="32"/>
        </w:rPr>
        <w:t> Patient Education</w:t>
      </w:r>
    </w:p>
    <w:p w:rsidR="001135A9" w:rsidRPr="00D71C55" w:rsidRDefault="00030DEC" w:rsidP="00D71C55">
      <w:pPr>
        <w:jc w:val="both"/>
        <w:rPr>
          <w:color w:val="000000"/>
          <w:sz w:val="24"/>
          <w:szCs w:val="24"/>
          <w:shd w:val="clear" w:color="auto" w:fill="FFFFFF"/>
        </w:rPr>
      </w:pPr>
      <w:r w:rsidRPr="00030DEC">
        <w:rPr>
          <w:color w:val="000000"/>
          <w:sz w:val="24"/>
          <w:szCs w:val="24"/>
          <w:shd w:val="clear" w:color="auto" w:fill="FFFFFF"/>
        </w:rPr>
        <w:t>Patients can generally be discharged following successful, uncomplicated reduction. In the post-reduction period, patients should be placed in a head-chin bandage or a rigid cervical collar to prevent an immediate recurrence. Patients should be advised not to open their mouth widely (greater than 2 cm) for one to three weeks post-reduction. The patient should be limited to a soft mechanical diet for a few days to up to two weeks. Care should be taken to support the jaw when yawning. Using a padded rigid cervical collar may add support and prevent wide jaw opening. To decrease the pain and swelling associated with dislocation-reduction non-steroidal anti-inflammatory drugs (NSAIDs) are an option. The patient should receive instructions to follow up with an otolaryngologist (ENT) or oral maxillofacial surgeon (OMFS) within two to three days.</w:t>
      </w:r>
      <w:r w:rsidR="00A2018D" w:rsidRPr="001135A9">
        <w:rPr>
          <w:rFonts w:asciiTheme="majorHAnsi" w:hAnsiTheme="majorHAnsi"/>
          <w:b/>
          <w:bCs/>
          <w:sz w:val="28"/>
          <w:szCs w:val="28"/>
        </w:rPr>
        <w:t xml:space="preserve"> </w:t>
      </w:r>
      <w:r w:rsidR="001135A9">
        <w:rPr>
          <w:rFonts w:asciiTheme="majorHAnsi" w:hAnsiTheme="majorHAnsi"/>
          <w:b/>
          <w:bCs/>
          <w:sz w:val="28"/>
          <w:szCs w:val="28"/>
        </w:rPr>
        <w:t xml:space="preserve">: </w:t>
      </w:r>
    </w:p>
    <w:p w:rsidR="00BB68FE" w:rsidRPr="00BB68FE" w:rsidRDefault="00BB68FE" w:rsidP="00BB68FE">
      <w:pPr>
        <w:pStyle w:val="IntenseQuote"/>
        <w:rPr>
          <w:b/>
          <w:bCs/>
          <w:i w:val="0"/>
          <w:iCs w:val="0"/>
          <w:color w:val="000000" w:themeColor="text1"/>
          <w:sz w:val="32"/>
          <w:szCs w:val="32"/>
        </w:rPr>
      </w:pPr>
      <w:r>
        <w:rPr>
          <w:b/>
          <w:bCs/>
          <w:i w:val="0"/>
          <w:iCs w:val="0"/>
          <w:color w:val="000000" w:themeColor="text1"/>
          <w:sz w:val="32"/>
          <w:szCs w:val="32"/>
        </w:rPr>
        <w:t xml:space="preserve">Reference </w:t>
      </w:r>
    </w:p>
    <w:p w:rsidR="008E6028" w:rsidRDefault="008E6028" w:rsidP="00A500FF">
      <w:pPr>
        <w:rPr>
          <w:rFonts w:asciiTheme="majorHAnsi" w:hAnsiTheme="majorHAnsi"/>
          <w:sz w:val="28"/>
          <w:szCs w:val="28"/>
        </w:rPr>
      </w:pPr>
      <w:proofErr w:type="spellStart"/>
      <w:r>
        <w:rPr>
          <w:rFonts w:asciiTheme="majorHAnsi" w:hAnsiTheme="majorHAnsi"/>
          <w:sz w:val="28"/>
          <w:szCs w:val="28"/>
        </w:rPr>
        <w:t>Gauer</w:t>
      </w:r>
      <w:proofErr w:type="spellEnd"/>
      <w:r>
        <w:rPr>
          <w:rFonts w:asciiTheme="majorHAnsi" w:hAnsiTheme="majorHAnsi"/>
          <w:sz w:val="28"/>
          <w:szCs w:val="28"/>
        </w:rPr>
        <w:t xml:space="preserve">, R. L., &amp; </w:t>
      </w:r>
      <w:proofErr w:type="spellStart"/>
      <w:r>
        <w:rPr>
          <w:rFonts w:asciiTheme="majorHAnsi" w:hAnsiTheme="majorHAnsi"/>
          <w:sz w:val="28"/>
          <w:szCs w:val="28"/>
        </w:rPr>
        <w:t>Semidey</w:t>
      </w:r>
      <w:proofErr w:type="spellEnd"/>
      <w:r>
        <w:rPr>
          <w:rFonts w:asciiTheme="majorHAnsi" w:hAnsiTheme="majorHAnsi"/>
          <w:sz w:val="28"/>
          <w:szCs w:val="28"/>
        </w:rPr>
        <w:t>, M. J. (2015). Diagnosis and treatment of temporomandibular disorders. American Family Physician, 91(6), 378-386.</w:t>
      </w:r>
    </w:p>
    <w:p w:rsidR="008E6028" w:rsidRDefault="008E6028" w:rsidP="00A500FF">
      <w:pPr>
        <w:rPr>
          <w:rFonts w:asciiTheme="majorHAnsi" w:hAnsiTheme="majorHAnsi"/>
          <w:sz w:val="28"/>
          <w:szCs w:val="28"/>
        </w:rPr>
      </w:pPr>
      <w:r>
        <w:rPr>
          <w:rFonts w:asciiTheme="majorHAnsi" w:hAnsiTheme="majorHAnsi"/>
          <w:sz w:val="28"/>
          <w:szCs w:val="28"/>
        </w:rPr>
        <w:t>Zeng, X., Zhang, J., Li, J., &amp; Yang, H. (2018). Treatment of acute TMJ dislocation: A comparative study of non-surgical and surgical methods. Journal of Oral and Maxillofacial Surgery, 76(3), 450-458.</w:t>
      </w:r>
    </w:p>
    <w:p w:rsidR="006E328D" w:rsidRDefault="008E6028" w:rsidP="00A500FF">
      <w:pPr>
        <w:rPr>
          <w:rFonts w:asciiTheme="majorHAnsi" w:hAnsiTheme="majorHAnsi"/>
          <w:sz w:val="28"/>
          <w:szCs w:val="28"/>
        </w:rPr>
      </w:pPr>
      <w:proofErr w:type="spellStart"/>
      <w:r>
        <w:rPr>
          <w:rFonts w:asciiTheme="majorHAnsi" w:hAnsiTheme="majorHAnsi"/>
          <w:sz w:val="28"/>
          <w:szCs w:val="28"/>
        </w:rPr>
        <w:t>Hoppenreijs</w:t>
      </w:r>
      <w:proofErr w:type="spellEnd"/>
      <w:r>
        <w:rPr>
          <w:rFonts w:asciiTheme="majorHAnsi" w:hAnsiTheme="majorHAnsi"/>
          <w:sz w:val="28"/>
          <w:szCs w:val="28"/>
        </w:rPr>
        <w:t xml:space="preserve">, T. J., </w:t>
      </w:r>
      <w:proofErr w:type="spellStart"/>
      <w:r>
        <w:rPr>
          <w:rFonts w:asciiTheme="majorHAnsi" w:hAnsiTheme="majorHAnsi"/>
          <w:sz w:val="28"/>
          <w:szCs w:val="28"/>
        </w:rPr>
        <w:t>Nijdam</w:t>
      </w:r>
      <w:proofErr w:type="spellEnd"/>
      <w:r>
        <w:rPr>
          <w:rFonts w:asciiTheme="majorHAnsi" w:hAnsiTheme="majorHAnsi"/>
          <w:sz w:val="28"/>
          <w:szCs w:val="28"/>
        </w:rPr>
        <w:t xml:space="preserve">, E. S., &amp; </w:t>
      </w:r>
      <w:proofErr w:type="spellStart"/>
      <w:r>
        <w:rPr>
          <w:rFonts w:asciiTheme="majorHAnsi" w:hAnsiTheme="majorHAnsi"/>
          <w:sz w:val="28"/>
          <w:szCs w:val="28"/>
        </w:rPr>
        <w:t>Freihofer</w:t>
      </w:r>
      <w:proofErr w:type="spellEnd"/>
      <w:r>
        <w:rPr>
          <w:rFonts w:asciiTheme="majorHAnsi" w:hAnsiTheme="majorHAnsi"/>
          <w:sz w:val="28"/>
          <w:szCs w:val="28"/>
        </w:rPr>
        <w:t xml:space="preserve">, H. P. (1993). Management of recurrent mandibular dislocation: A retrospective study. International Journal of Oral and Maxillofacial Surgery, 22(4), 174-178.De </w:t>
      </w:r>
      <w:proofErr w:type="spellStart"/>
      <w:r>
        <w:rPr>
          <w:rFonts w:asciiTheme="majorHAnsi" w:hAnsiTheme="majorHAnsi"/>
          <w:sz w:val="28"/>
          <w:szCs w:val="28"/>
        </w:rPr>
        <w:t>Leeuw</w:t>
      </w:r>
      <w:proofErr w:type="spellEnd"/>
      <w:r>
        <w:rPr>
          <w:rFonts w:asciiTheme="majorHAnsi" w:hAnsiTheme="majorHAnsi"/>
          <w:sz w:val="28"/>
          <w:szCs w:val="28"/>
        </w:rPr>
        <w:t xml:space="preserve">, R., &amp; </w:t>
      </w:r>
      <w:proofErr w:type="spellStart"/>
      <w:r>
        <w:rPr>
          <w:rFonts w:asciiTheme="majorHAnsi" w:hAnsiTheme="majorHAnsi"/>
          <w:sz w:val="28"/>
          <w:szCs w:val="28"/>
        </w:rPr>
        <w:t>Klasser</w:t>
      </w:r>
      <w:proofErr w:type="spellEnd"/>
      <w:r>
        <w:rPr>
          <w:rFonts w:asciiTheme="majorHAnsi" w:hAnsiTheme="majorHAnsi"/>
          <w:sz w:val="28"/>
          <w:szCs w:val="28"/>
        </w:rPr>
        <w:t>, G. D. (2018). Orofacial pain: Guidelines for assessment, diagnosis, and management. Quintessence Publishing.</w:t>
      </w:r>
    </w:p>
    <w:p w:rsidR="008E6028" w:rsidRDefault="008E6028" w:rsidP="00A500FF">
      <w:pPr>
        <w:rPr>
          <w:rFonts w:asciiTheme="majorHAnsi" w:hAnsiTheme="majorHAnsi"/>
          <w:sz w:val="28"/>
          <w:szCs w:val="28"/>
        </w:rPr>
      </w:pPr>
      <w:proofErr w:type="spellStart"/>
      <w:r>
        <w:rPr>
          <w:rFonts w:asciiTheme="majorHAnsi" w:hAnsiTheme="majorHAnsi"/>
          <w:sz w:val="28"/>
          <w:szCs w:val="28"/>
        </w:rPr>
        <w:lastRenderedPageBreak/>
        <w:t>Daelen</w:t>
      </w:r>
      <w:proofErr w:type="spellEnd"/>
      <w:r>
        <w:rPr>
          <w:rFonts w:asciiTheme="majorHAnsi" w:hAnsiTheme="majorHAnsi"/>
          <w:sz w:val="28"/>
          <w:szCs w:val="28"/>
        </w:rPr>
        <w:t xml:space="preserve">, B., &amp; Rosenberg, T. (2009). </w:t>
      </w:r>
      <w:proofErr w:type="spellStart"/>
      <w:r>
        <w:rPr>
          <w:rFonts w:asciiTheme="majorHAnsi" w:hAnsiTheme="majorHAnsi"/>
          <w:sz w:val="28"/>
          <w:szCs w:val="28"/>
        </w:rPr>
        <w:t>Arthrocentesis</w:t>
      </w:r>
      <w:proofErr w:type="spellEnd"/>
      <w:r>
        <w:rPr>
          <w:rFonts w:asciiTheme="majorHAnsi" w:hAnsiTheme="majorHAnsi"/>
          <w:sz w:val="28"/>
          <w:szCs w:val="28"/>
        </w:rPr>
        <w:t xml:space="preserve"> versus arthroscopy: A retrospective study comparing outcomes in the treatment of TMJ disorders. Journal of </w:t>
      </w:r>
      <w:proofErr w:type="spellStart"/>
      <w:r>
        <w:rPr>
          <w:rFonts w:asciiTheme="majorHAnsi" w:hAnsiTheme="majorHAnsi"/>
          <w:sz w:val="28"/>
          <w:szCs w:val="28"/>
        </w:rPr>
        <w:t>Cranio</w:t>
      </w:r>
      <w:proofErr w:type="spellEnd"/>
      <w:r>
        <w:rPr>
          <w:rFonts w:asciiTheme="majorHAnsi" w:hAnsiTheme="majorHAnsi"/>
          <w:sz w:val="28"/>
          <w:szCs w:val="28"/>
        </w:rPr>
        <w:t>-Maxillofacial Surgery, 37(5), 306-310.</w:t>
      </w:r>
    </w:p>
    <w:p w:rsidR="008E6028" w:rsidRDefault="008E6028" w:rsidP="00A500FF">
      <w:pPr>
        <w:rPr>
          <w:rFonts w:asciiTheme="majorHAnsi" w:hAnsiTheme="majorHAnsi"/>
          <w:sz w:val="28"/>
          <w:szCs w:val="28"/>
        </w:rPr>
      </w:pPr>
    </w:p>
    <w:p w:rsidR="008E6028" w:rsidRDefault="008E6028" w:rsidP="00A500FF">
      <w:pPr>
        <w:rPr>
          <w:rFonts w:asciiTheme="majorHAnsi" w:hAnsiTheme="majorHAnsi"/>
          <w:sz w:val="28"/>
          <w:szCs w:val="28"/>
        </w:rPr>
      </w:pPr>
      <w:proofErr w:type="spellStart"/>
      <w:r>
        <w:rPr>
          <w:rFonts w:asciiTheme="majorHAnsi" w:hAnsiTheme="majorHAnsi"/>
          <w:sz w:val="28"/>
          <w:szCs w:val="28"/>
        </w:rPr>
        <w:t>Guarda-Nardini</w:t>
      </w:r>
      <w:proofErr w:type="spellEnd"/>
      <w:r>
        <w:rPr>
          <w:rFonts w:asciiTheme="majorHAnsi" w:hAnsiTheme="majorHAnsi"/>
          <w:sz w:val="28"/>
          <w:szCs w:val="28"/>
        </w:rPr>
        <w:t xml:space="preserve">, L., </w:t>
      </w:r>
      <w:proofErr w:type="spellStart"/>
      <w:r>
        <w:rPr>
          <w:rFonts w:asciiTheme="majorHAnsi" w:hAnsiTheme="majorHAnsi"/>
          <w:sz w:val="28"/>
          <w:szCs w:val="28"/>
        </w:rPr>
        <w:t>Manfredini</w:t>
      </w:r>
      <w:proofErr w:type="spellEnd"/>
      <w:r>
        <w:rPr>
          <w:rFonts w:asciiTheme="majorHAnsi" w:hAnsiTheme="majorHAnsi"/>
          <w:sz w:val="28"/>
          <w:szCs w:val="28"/>
        </w:rPr>
        <w:t xml:space="preserve">, D., </w:t>
      </w:r>
      <w:proofErr w:type="spellStart"/>
      <w:r>
        <w:rPr>
          <w:rFonts w:asciiTheme="majorHAnsi" w:hAnsiTheme="majorHAnsi"/>
          <w:sz w:val="28"/>
          <w:szCs w:val="28"/>
        </w:rPr>
        <w:t>Ferronato</w:t>
      </w:r>
      <w:proofErr w:type="spellEnd"/>
      <w:r>
        <w:rPr>
          <w:rFonts w:asciiTheme="majorHAnsi" w:hAnsiTheme="majorHAnsi"/>
          <w:sz w:val="28"/>
          <w:szCs w:val="28"/>
        </w:rPr>
        <w:t xml:space="preserve">, G., &amp; </w:t>
      </w:r>
      <w:proofErr w:type="spellStart"/>
      <w:r>
        <w:rPr>
          <w:rFonts w:asciiTheme="majorHAnsi" w:hAnsiTheme="majorHAnsi"/>
          <w:sz w:val="28"/>
          <w:szCs w:val="28"/>
        </w:rPr>
        <w:t>Favero</w:t>
      </w:r>
      <w:proofErr w:type="spellEnd"/>
      <w:r>
        <w:rPr>
          <w:rFonts w:asciiTheme="majorHAnsi" w:hAnsiTheme="majorHAnsi"/>
          <w:sz w:val="28"/>
          <w:szCs w:val="28"/>
        </w:rPr>
        <w:t xml:space="preserve">, L. (2008). Surgical versus nonsurgical treatment of temporomandibular joint dislocation: An outcome study. Oral Surgery, Oral Medicine, Oral Pathology, Oral Radiology, and </w:t>
      </w:r>
      <w:proofErr w:type="spellStart"/>
      <w:r>
        <w:rPr>
          <w:rFonts w:asciiTheme="majorHAnsi" w:hAnsiTheme="majorHAnsi"/>
          <w:sz w:val="28"/>
          <w:szCs w:val="28"/>
        </w:rPr>
        <w:t>Endodontology</w:t>
      </w:r>
      <w:proofErr w:type="spellEnd"/>
      <w:r>
        <w:rPr>
          <w:rFonts w:asciiTheme="majorHAnsi" w:hAnsiTheme="majorHAnsi"/>
          <w:sz w:val="28"/>
          <w:szCs w:val="28"/>
        </w:rPr>
        <w:t>, 106(1), 51-56.</w:t>
      </w:r>
    </w:p>
    <w:p w:rsidR="008E6028" w:rsidRDefault="008E6028" w:rsidP="00A500FF">
      <w:pPr>
        <w:rPr>
          <w:rFonts w:asciiTheme="majorHAnsi" w:hAnsiTheme="majorHAnsi"/>
          <w:sz w:val="28"/>
          <w:szCs w:val="28"/>
        </w:rPr>
      </w:pPr>
    </w:p>
    <w:p w:rsidR="008E6028" w:rsidRDefault="008E6028" w:rsidP="00A500FF">
      <w:pPr>
        <w:rPr>
          <w:rFonts w:asciiTheme="majorHAnsi" w:hAnsiTheme="majorHAnsi"/>
          <w:sz w:val="28"/>
          <w:szCs w:val="28"/>
        </w:rPr>
      </w:pPr>
      <w:proofErr w:type="spellStart"/>
      <w:r>
        <w:rPr>
          <w:rFonts w:asciiTheme="majorHAnsi" w:hAnsiTheme="majorHAnsi"/>
          <w:sz w:val="28"/>
          <w:szCs w:val="28"/>
        </w:rPr>
        <w:t>Dimitroulis</w:t>
      </w:r>
      <w:proofErr w:type="spellEnd"/>
      <w:r>
        <w:rPr>
          <w:rFonts w:asciiTheme="majorHAnsi" w:hAnsiTheme="majorHAnsi"/>
          <w:sz w:val="28"/>
          <w:szCs w:val="28"/>
        </w:rPr>
        <w:t>, G. (2018). The role of surgery in the management of temporomandibular joint disorders. Oral and Maxillofacial Surgery Clinics of North America, 30(1), 3-14.</w:t>
      </w:r>
    </w:p>
    <w:p w:rsidR="008E6028" w:rsidRDefault="008E6028" w:rsidP="00A500FF">
      <w:pPr>
        <w:rPr>
          <w:rFonts w:asciiTheme="majorHAnsi" w:hAnsiTheme="majorHAnsi"/>
          <w:sz w:val="28"/>
          <w:szCs w:val="28"/>
        </w:rPr>
      </w:pPr>
    </w:p>
    <w:p w:rsidR="008E6028" w:rsidRDefault="008E6028" w:rsidP="00A500FF">
      <w:pPr>
        <w:rPr>
          <w:rFonts w:asciiTheme="majorHAnsi" w:hAnsiTheme="majorHAnsi"/>
          <w:sz w:val="28"/>
          <w:szCs w:val="28"/>
        </w:rPr>
      </w:pPr>
      <w:r>
        <w:rPr>
          <w:rFonts w:asciiTheme="majorHAnsi" w:hAnsiTheme="majorHAnsi"/>
          <w:sz w:val="28"/>
          <w:szCs w:val="28"/>
        </w:rPr>
        <w:t xml:space="preserve">Kobayashi, A., Yoda, T., &amp; Saito, C. (2010). Arthroscopic </w:t>
      </w:r>
      <w:proofErr w:type="spellStart"/>
      <w:r>
        <w:rPr>
          <w:rFonts w:asciiTheme="majorHAnsi" w:hAnsiTheme="majorHAnsi"/>
          <w:sz w:val="28"/>
          <w:szCs w:val="28"/>
        </w:rPr>
        <w:t>eminoplasty</w:t>
      </w:r>
      <w:proofErr w:type="spellEnd"/>
      <w:r>
        <w:rPr>
          <w:rFonts w:asciiTheme="majorHAnsi" w:hAnsiTheme="majorHAnsi"/>
          <w:sz w:val="28"/>
          <w:szCs w:val="28"/>
        </w:rPr>
        <w:t xml:space="preserve"> for the treatment of recurrent TMJ dislocation: A prospective study. International Journal of Oral and Maxillofacial Surgery, 39(10), 978-983.</w:t>
      </w:r>
    </w:p>
    <w:p w:rsidR="008E6028" w:rsidRDefault="008E6028" w:rsidP="00A500FF">
      <w:pPr>
        <w:rPr>
          <w:rFonts w:asciiTheme="majorHAnsi" w:hAnsiTheme="majorHAnsi"/>
          <w:sz w:val="28"/>
          <w:szCs w:val="28"/>
        </w:rPr>
      </w:pPr>
    </w:p>
    <w:p w:rsidR="008E6028" w:rsidRDefault="008E6028" w:rsidP="00A500FF">
      <w:pPr>
        <w:rPr>
          <w:rFonts w:asciiTheme="majorHAnsi" w:hAnsiTheme="majorHAnsi"/>
          <w:sz w:val="28"/>
          <w:szCs w:val="28"/>
        </w:rPr>
      </w:pPr>
      <w:proofErr w:type="spellStart"/>
      <w:r>
        <w:rPr>
          <w:rFonts w:asciiTheme="majorHAnsi" w:hAnsiTheme="majorHAnsi"/>
          <w:sz w:val="28"/>
          <w:szCs w:val="28"/>
        </w:rPr>
        <w:t>Machon</w:t>
      </w:r>
      <w:proofErr w:type="spellEnd"/>
      <w:r>
        <w:rPr>
          <w:rFonts w:asciiTheme="majorHAnsi" w:hAnsiTheme="majorHAnsi"/>
          <w:sz w:val="28"/>
          <w:szCs w:val="28"/>
        </w:rPr>
        <w:t xml:space="preserve">, V., </w:t>
      </w:r>
      <w:proofErr w:type="spellStart"/>
      <w:r>
        <w:rPr>
          <w:rFonts w:asciiTheme="majorHAnsi" w:hAnsiTheme="majorHAnsi"/>
          <w:sz w:val="28"/>
          <w:szCs w:val="28"/>
        </w:rPr>
        <w:t>Hirjak</w:t>
      </w:r>
      <w:proofErr w:type="spellEnd"/>
      <w:r>
        <w:rPr>
          <w:rFonts w:asciiTheme="majorHAnsi" w:hAnsiTheme="majorHAnsi"/>
          <w:sz w:val="28"/>
          <w:szCs w:val="28"/>
        </w:rPr>
        <w:t xml:space="preserve">, D., Lukas, J., </w:t>
      </w:r>
      <w:proofErr w:type="spellStart"/>
      <w:r>
        <w:rPr>
          <w:rFonts w:asciiTheme="majorHAnsi" w:hAnsiTheme="majorHAnsi"/>
          <w:sz w:val="28"/>
          <w:szCs w:val="28"/>
        </w:rPr>
        <w:t>Foltan</w:t>
      </w:r>
      <w:proofErr w:type="spellEnd"/>
      <w:r>
        <w:rPr>
          <w:rFonts w:asciiTheme="majorHAnsi" w:hAnsiTheme="majorHAnsi"/>
          <w:sz w:val="28"/>
          <w:szCs w:val="28"/>
        </w:rPr>
        <w:t xml:space="preserve">, R., &amp; </w:t>
      </w:r>
      <w:proofErr w:type="spellStart"/>
      <w:r>
        <w:rPr>
          <w:rFonts w:asciiTheme="majorHAnsi" w:hAnsiTheme="majorHAnsi"/>
          <w:sz w:val="28"/>
          <w:szCs w:val="28"/>
        </w:rPr>
        <w:t>Klíma</w:t>
      </w:r>
      <w:proofErr w:type="spellEnd"/>
      <w:r>
        <w:rPr>
          <w:rFonts w:asciiTheme="majorHAnsi" w:hAnsiTheme="majorHAnsi"/>
          <w:sz w:val="28"/>
          <w:szCs w:val="28"/>
        </w:rPr>
        <w:t>, K. (2011). Comparison of conservative and surgical treatment in patients with temporomandibular joint disc displacement without reduction. International Journal of Oral and Maxillofacial Surgery, 40(4), 343-349.</w:t>
      </w:r>
    </w:p>
    <w:p w:rsidR="001135A9" w:rsidRPr="001135A9" w:rsidRDefault="001135A9" w:rsidP="00A500FF">
      <w:pPr>
        <w:rPr>
          <w:rFonts w:asciiTheme="majorHAnsi" w:hAnsiTheme="majorHAnsi"/>
          <w:sz w:val="28"/>
          <w:szCs w:val="28"/>
        </w:rPr>
      </w:pPr>
      <w:r w:rsidRPr="001135A9">
        <w:rPr>
          <w:rFonts w:asciiTheme="majorHAnsi" w:hAnsiTheme="majorHAnsi"/>
          <w:sz w:val="28"/>
          <w:szCs w:val="28"/>
        </w:rPr>
        <w:t>WebMD: TMJ Disorders</w:t>
      </w:r>
    </w:p>
    <w:p w:rsidR="001135A9" w:rsidRPr="001135A9" w:rsidRDefault="001135A9" w:rsidP="00A500FF">
      <w:pPr>
        <w:rPr>
          <w:rFonts w:asciiTheme="majorHAnsi" w:hAnsiTheme="majorHAnsi"/>
          <w:color w:val="000000" w:themeColor="text1"/>
          <w:sz w:val="28"/>
          <w:szCs w:val="28"/>
        </w:rPr>
      </w:pPr>
      <w:r w:rsidRPr="001135A9">
        <w:rPr>
          <w:rFonts w:asciiTheme="majorHAnsi" w:hAnsiTheme="majorHAnsi"/>
          <w:color w:val="000000" w:themeColor="text1"/>
          <w:sz w:val="28"/>
          <w:szCs w:val="28"/>
        </w:rPr>
        <w:t>- Mayo Clinic: Temporomandibular joint (TMJ) disorder</w:t>
      </w:r>
    </w:p>
    <w:p w:rsidR="001135A9" w:rsidRPr="001135A9" w:rsidRDefault="001135A9" w:rsidP="00A500FF">
      <w:pPr>
        <w:rPr>
          <w:rFonts w:asciiTheme="majorHAnsi" w:hAnsiTheme="majorHAnsi"/>
          <w:color w:val="000000" w:themeColor="text1"/>
          <w:sz w:val="28"/>
          <w:szCs w:val="28"/>
        </w:rPr>
      </w:pPr>
      <w:r w:rsidRPr="001135A9">
        <w:rPr>
          <w:rFonts w:asciiTheme="majorHAnsi" w:hAnsiTheme="majorHAnsi"/>
          <w:color w:val="000000" w:themeColor="text1"/>
          <w:sz w:val="28"/>
          <w:szCs w:val="28"/>
        </w:rPr>
        <w:t>- MedlinePlus: Temporomandibular Joint Dysfunction</w:t>
      </w:r>
    </w:p>
    <w:p w:rsidR="001135A9" w:rsidRPr="001135A9" w:rsidRDefault="001135A9" w:rsidP="00A500FF">
      <w:pPr>
        <w:rPr>
          <w:rFonts w:asciiTheme="majorHAnsi" w:hAnsiTheme="majorHAnsi"/>
          <w:color w:val="000000" w:themeColor="text1"/>
          <w:sz w:val="28"/>
          <w:szCs w:val="28"/>
        </w:rPr>
      </w:pPr>
      <w:r w:rsidRPr="001135A9">
        <w:rPr>
          <w:rFonts w:asciiTheme="majorHAnsi" w:hAnsiTheme="majorHAnsi"/>
          <w:color w:val="000000" w:themeColor="text1"/>
          <w:sz w:val="28"/>
          <w:szCs w:val="28"/>
        </w:rPr>
        <w:t>- National Institute of Dental and Craniofacial Research: TMJ Disorders</w:t>
      </w:r>
    </w:p>
    <w:p w:rsidR="00260615" w:rsidRPr="00106479" w:rsidRDefault="00260615" w:rsidP="00106479">
      <w:pPr>
        <w:jc w:val="both"/>
        <w:rPr>
          <w:sz w:val="24"/>
          <w:szCs w:val="24"/>
        </w:rPr>
      </w:pPr>
    </w:p>
    <w:sectPr w:rsidR="00260615" w:rsidRPr="00106479" w:rsidSect="00A07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79"/>
    <w:rsid w:val="00030DEC"/>
    <w:rsid w:val="000C529C"/>
    <w:rsid w:val="000E1A3A"/>
    <w:rsid w:val="00106479"/>
    <w:rsid w:val="001135A9"/>
    <w:rsid w:val="0011687A"/>
    <w:rsid w:val="00145E25"/>
    <w:rsid w:val="00146416"/>
    <w:rsid w:val="001552E1"/>
    <w:rsid w:val="001713C1"/>
    <w:rsid w:val="00202914"/>
    <w:rsid w:val="00235AA3"/>
    <w:rsid w:val="002538BA"/>
    <w:rsid w:val="00260615"/>
    <w:rsid w:val="00262309"/>
    <w:rsid w:val="002727C1"/>
    <w:rsid w:val="002C0EEE"/>
    <w:rsid w:val="0030562C"/>
    <w:rsid w:val="00376277"/>
    <w:rsid w:val="003C0217"/>
    <w:rsid w:val="00430CDA"/>
    <w:rsid w:val="0048160F"/>
    <w:rsid w:val="004928F4"/>
    <w:rsid w:val="004A728A"/>
    <w:rsid w:val="004D397C"/>
    <w:rsid w:val="005359E8"/>
    <w:rsid w:val="00632C91"/>
    <w:rsid w:val="006E328D"/>
    <w:rsid w:val="00736291"/>
    <w:rsid w:val="007A6A1F"/>
    <w:rsid w:val="00830106"/>
    <w:rsid w:val="00841F56"/>
    <w:rsid w:val="00852A80"/>
    <w:rsid w:val="008B0832"/>
    <w:rsid w:val="008E6028"/>
    <w:rsid w:val="00911C5B"/>
    <w:rsid w:val="009748AE"/>
    <w:rsid w:val="009F561E"/>
    <w:rsid w:val="00A0703B"/>
    <w:rsid w:val="00A2018D"/>
    <w:rsid w:val="00A36C2C"/>
    <w:rsid w:val="00A500FF"/>
    <w:rsid w:val="00A54016"/>
    <w:rsid w:val="00A56500"/>
    <w:rsid w:val="00BA5522"/>
    <w:rsid w:val="00BB68FE"/>
    <w:rsid w:val="00BD7DA5"/>
    <w:rsid w:val="00C310AB"/>
    <w:rsid w:val="00CA03F8"/>
    <w:rsid w:val="00CB7C95"/>
    <w:rsid w:val="00D71C55"/>
    <w:rsid w:val="00D7281A"/>
    <w:rsid w:val="00D76063"/>
    <w:rsid w:val="00DC61A6"/>
    <w:rsid w:val="00E0547B"/>
    <w:rsid w:val="00E411C3"/>
    <w:rsid w:val="00EA32FF"/>
    <w:rsid w:val="00EE3835"/>
    <w:rsid w:val="00EE3A24"/>
    <w:rsid w:val="00F70FFF"/>
    <w:rsid w:val="00F84B24"/>
    <w:rsid w:val="00F857D2"/>
    <w:rsid w:val="00FA3FFD"/>
    <w:rsid w:val="00FA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A93C5-9639-0B48-972D-B115501C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03B"/>
  </w:style>
  <w:style w:type="paragraph" w:styleId="Heading1">
    <w:name w:val="heading 1"/>
    <w:basedOn w:val="Normal"/>
    <w:next w:val="Normal"/>
    <w:link w:val="Heading1Char"/>
    <w:uiPriority w:val="9"/>
    <w:qFormat/>
    <w:rsid w:val="0010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4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47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3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C2C"/>
    <w:rPr>
      <w:rFonts w:ascii="Tahoma" w:hAnsi="Tahoma" w:cs="Tahoma"/>
      <w:sz w:val="16"/>
      <w:szCs w:val="16"/>
    </w:rPr>
  </w:style>
  <w:style w:type="paragraph" w:styleId="NormalWeb">
    <w:name w:val="Normal (Web)"/>
    <w:basedOn w:val="Normal"/>
    <w:uiPriority w:val="99"/>
    <w:unhideWhenUsed/>
    <w:rsid w:val="00DC61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61A6"/>
    <w:rPr>
      <w:color w:val="0000FF"/>
      <w:u w:val="single"/>
    </w:rPr>
  </w:style>
  <w:style w:type="paragraph" w:styleId="IntenseQuote">
    <w:name w:val="Intense Quote"/>
    <w:basedOn w:val="Normal"/>
    <w:next w:val="Normal"/>
    <w:link w:val="IntenseQuoteChar"/>
    <w:uiPriority w:val="30"/>
    <w:qFormat/>
    <w:rsid w:val="00D7281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7281A"/>
    <w:rPr>
      <w:i/>
      <w:iCs/>
      <w:color w:val="365F91" w:themeColor="accent1" w:themeShade="BF"/>
    </w:rPr>
  </w:style>
  <w:style w:type="paragraph" w:styleId="Title">
    <w:name w:val="Title"/>
    <w:basedOn w:val="Normal"/>
    <w:next w:val="Normal"/>
    <w:link w:val="TitleChar"/>
    <w:uiPriority w:val="10"/>
    <w:qFormat/>
    <w:rsid w:val="003C0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8467">
      <w:bodyDiv w:val="1"/>
      <w:marLeft w:val="0"/>
      <w:marRight w:val="0"/>
      <w:marTop w:val="0"/>
      <w:marBottom w:val="0"/>
      <w:divBdr>
        <w:top w:val="none" w:sz="0" w:space="0" w:color="auto"/>
        <w:left w:val="none" w:sz="0" w:space="0" w:color="auto"/>
        <w:bottom w:val="none" w:sz="0" w:space="0" w:color="auto"/>
        <w:right w:val="none" w:sz="0" w:space="0" w:color="auto"/>
      </w:divBdr>
    </w:div>
    <w:div w:id="233273229">
      <w:bodyDiv w:val="1"/>
      <w:marLeft w:val="0"/>
      <w:marRight w:val="0"/>
      <w:marTop w:val="0"/>
      <w:marBottom w:val="0"/>
      <w:divBdr>
        <w:top w:val="none" w:sz="0" w:space="0" w:color="auto"/>
        <w:left w:val="none" w:sz="0" w:space="0" w:color="auto"/>
        <w:bottom w:val="none" w:sz="0" w:space="0" w:color="auto"/>
        <w:right w:val="none" w:sz="0" w:space="0" w:color="auto"/>
      </w:divBdr>
    </w:div>
    <w:div w:id="250748599">
      <w:bodyDiv w:val="1"/>
      <w:marLeft w:val="0"/>
      <w:marRight w:val="0"/>
      <w:marTop w:val="0"/>
      <w:marBottom w:val="0"/>
      <w:divBdr>
        <w:top w:val="none" w:sz="0" w:space="0" w:color="auto"/>
        <w:left w:val="none" w:sz="0" w:space="0" w:color="auto"/>
        <w:bottom w:val="none" w:sz="0" w:space="0" w:color="auto"/>
        <w:right w:val="none" w:sz="0" w:space="0" w:color="auto"/>
      </w:divBdr>
    </w:div>
    <w:div w:id="380448961">
      <w:bodyDiv w:val="1"/>
      <w:marLeft w:val="0"/>
      <w:marRight w:val="0"/>
      <w:marTop w:val="0"/>
      <w:marBottom w:val="0"/>
      <w:divBdr>
        <w:top w:val="none" w:sz="0" w:space="0" w:color="auto"/>
        <w:left w:val="none" w:sz="0" w:space="0" w:color="auto"/>
        <w:bottom w:val="none" w:sz="0" w:space="0" w:color="auto"/>
        <w:right w:val="none" w:sz="0" w:space="0" w:color="auto"/>
      </w:divBdr>
    </w:div>
    <w:div w:id="672420127">
      <w:bodyDiv w:val="1"/>
      <w:marLeft w:val="0"/>
      <w:marRight w:val="0"/>
      <w:marTop w:val="0"/>
      <w:marBottom w:val="0"/>
      <w:divBdr>
        <w:top w:val="none" w:sz="0" w:space="0" w:color="auto"/>
        <w:left w:val="none" w:sz="0" w:space="0" w:color="auto"/>
        <w:bottom w:val="none" w:sz="0" w:space="0" w:color="auto"/>
        <w:right w:val="none" w:sz="0" w:space="0" w:color="auto"/>
      </w:divBdr>
    </w:div>
    <w:div w:id="906695442">
      <w:bodyDiv w:val="1"/>
      <w:marLeft w:val="0"/>
      <w:marRight w:val="0"/>
      <w:marTop w:val="0"/>
      <w:marBottom w:val="0"/>
      <w:divBdr>
        <w:top w:val="none" w:sz="0" w:space="0" w:color="auto"/>
        <w:left w:val="none" w:sz="0" w:space="0" w:color="auto"/>
        <w:bottom w:val="none" w:sz="0" w:space="0" w:color="auto"/>
        <w:right w:val="none" w:sz="0" w:space="0" w:color="auto"/>
      </w:divBdr>
    </w:div>
    <w:div w:id="963579083">
      <w:bodyDiv w:val="1"/>
      <w:marLeft w:val="0"/>
      <w:marRight w:val="0"/>
      <w:marTop w:val="0"/>
      <w:marBottom w:val="0"/>
      <w:divBdr>
        <w:top w:val="none" w:sz="0" w:space="0" w:color="auto"/>
        <w:left w:val="none" w:sz="0" w:space="0" w:color="auto"/>
        <w:bottom w:val="none" w:sz="0" w:space="0" w:color="auto"/>
        <w:right w:val="none" w:sz="0" w:space="0" w:color="auto"/>
      </w:divBdr>
    </w:div>
    <w:div w:id="1014694261">
      <w:bodyDiv w:val="1"/>
      <w:marLeft w:val="0"/>
      <w:marRight w:val="0"/>
      <w:marTop w:val="0"/>
      <w:marBottom w:val="0"/>
      <w:divBdr>
        <w:top w:val="none" w:sz="0" w:space="0" w:color="auto"/>
        <w:left w:val="none" w:sz="0" w:space="0" w:color="auto"/>
        <w:bottom w:val="none" w:sz="0" w:space="0" w:color="auto"/>
        <w:right w:val="none" w:sz="0" w:space="0" w:color="auto"/>
      </w:divBdr>
    </w:div>
    <w:div w:id="1055928784">
      <w:bodyDiv w:val="1"/>
      <w:marLeft w:val="0"/>
      <w:marRight w:val="0"/>
      <w:marTop w:val="0"/>
      <w:marBottom w:val="0"/>
      <w:divBdr>
        <w:top w:val="none" w:sz="0" w:space="0" w:color="auto"/>
        <w:left w:val="none" w:sz="0" w:space="0" w:color="auto"/>
        <w:bottom w:val="none" w:sz="0" w:space="0" w:color="auto"/>
        <w:right w:val="none" w:sz="0" w:space="0" w:color="auto"/>
      </w:divBdr>
    </w:div>
    <w:div w:id="1205141978">
      <w:bodyDiv w:val="1"/>
      <w:marLeft w:val="0"/>
      <w:marRight w:val="0"/>
      <w:marTop w:val="0"/>
      <w:marBottom w:val="0"/>
      <w:divBdr>
        <w:top w:val="none" w:sz="0" w:space="0" w:color="auto"/>
        <w:left w:val="none" w:sz="0" w:space="0" w:color="auto"/>
        <w:bottom w:val="none" w:sz="0" w:space="0" w:color="auto"/>
        <w:right w:val="none" w:sz="0" w:space="0" w:color="auto"/>
      </w:divBdr>
    </w:div>
    <w:div w:id="1391880840">
      <w:bodyDiv w:val="1"/>
      <w:marLeft w:val="0"/>
      <w:marRight w:val="0"/>
      <w:marTop w:val="0"/>
      <w:marBottom w:val="0"/>
      <w:divBdr>
        <w:top w:val="none" w:sz="0" w:space="0" w:color="auto"/>
        <w:left w:val="none" w:sz="0" w:space="0" w:color="auto"/>
        <w:bottom w:val="none" w:sz="0" w:space="0" w:color="auto"/>
        <w:right w:val="none" w:sz="0" w:space="0" w:color="auto"/>
      </w:divBdr>
    </w:div>
    <w:div w:id="20141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hayasusmani@gmail.com</cp:lastModifiedBy>
  <cp:revision>2</cp:revision>
  <dcterms:created xsi:type="dcterms:W3CDTF">2024-07-07T11:47:00Z</dcterms:created>
  <dcterms:modified xsi:type="dcterms:W3CDTF">2024-07-07T11:47:00Z</dcterms:modified>
</cp:coreProperties>
</file>