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EEBDC" w14:textId="77777777" w:rsidR="00CF47C4" w:rsidRPr="00A516D0" w:rsidRDefault="00CF47C4" w:rsidP="007F7C27">
      <w:pPr>
        <w:spacing w:after="0" w:line="240" w:lineRule="auto"/>
        <w:jc w:val="both"/>
        <w:rPr>
          <w:rFonts w:ascii="Times New Roman"/>
          <w:sz w:val="20"/>
          <w:szCs w:val="20"/>
        </w:rPr>
      </w:pPr>
    </w:p>
    <w:p w14:paraId="109B4059" w14:textId="3CBD4504" w:rsidR="00CF47C4" w:rsidRPr="00B32076" w:rsidRDefault="009D70D1" w:rsidP="00B3695B">
      <w:pPr>
        <w:spacing w:after="0" w:line="240" w:lineRule="auto"/>
        <w:ind w:hanging="284"/>
        <w:rPr>
          <w:rFonts w:asciiTheme="majorHAnsi" w:hAnsiTheme="majorHAnsi"/>
          <w:b/>
          <w:sz w:val="40"/>
          <w:szCs w:val="40"/>
        </w:rPr>
      </w:pPr>
      <w:r>
        <w:rPr>
          <w:rFonts w:asciiTheme="majorHAnsi" w:hAnsiTheme="majorHAnsi"/>
          <w:b/>
          <w:sz w:val="40"/>
          <w:szCs w:val="40"/>
        </w:rPr>
        <w:t>RISING PROBLEMS OF MONEY LAUNDERING IN CYBER PLAT FORM</w:t>
      </w:r>
      <w:r w:rsidR="00432BC1" w:rsidRPr="00B32076">
        <w:rPr>
          <w:rFonts w:asciiTheme="majorHAnsi" w:hAnsiTheme="majorHAnsi"/>
          <w:b/>
          <w:sz w:val="40"/>
          <w:szCs w:val="40"/>
        </w:rPr>
        <w:t xml:space="preserve"> </w:t>
      </w:r>
    </w:p>
    <w:p w14:paraId="2F005F9D" w14:textId="77777777" w:rsidR="00CF47C4" w:rsidRPr="00A516D0" w:rsidRDefault="00CF47C4" w:rsidP="00B3695B">
      <w:pPr>
        <w:spacing w:after="0" w:line="240" w:lineRule="auto"/>
        <w:ind w:hanging="284"/>
        <w:jc w:val="center"/>
        <w:rPr>
          <w:rFonts w:ascii="Times New Roman"/>
          <w:sz w:val="20"/>
          <w:szCs w:val="20"/>
        </w:rPr>
      </w:pPr>
    </w:p>
    <w:p w14:paraId="3C60D63D" w14:textId="2CD82A64" w:rsidR="00CF47C4" w:rsidRPr="00746CE4" w:rsidRDefault="009D70D1" w:rsidP="00B3695B">
      <w:pPr>
        <w:spacing w:after="0" w:line="240" w:lineRule="auto"/>
        <w:ind w:hanging="284"/>
        <w:rPr>
          <w:rFonts w:ascii="Times New Roman"/>
          <w:sz w:val="24"/>
          <w:szCs w:val="24"/>
        </w:rPr>
      </w:pPr>
      <w:r>
        <w:rPr>
          <w:rFonts w:ascii="Times New Roman"/>
          <w:sz w:val="24"/>
          <w:szCs w:val="24"/>
        </w:rPr>
        <w:t>Sudesna Sarkar</w:t>
      </w:r>
      <w:r w:rsidR="00A516D0" w:rsidRPr="00746CE4">
        <w:rPr>
          <w:rFonts w:ascii="Times New Roman"/>
          <w:sz w:val="24"/>
          <w:szCs w:val="24"/>
          <w:vertAlign w:val="superscript"/>
        </w:rPr>
        <w:t>1</w:t>
      </w:r>
      <w:r w:rsidR="00A516D0" w:rsidRPr="00746CE4">
        <w:rPr>
          <w:rFonts w:ascii="Times New Roman"/>
          <w:sz w:val="24"/>
          <w:szCs w:val="24"/>
        </w:rPr>
        <w:t xml:space="preserve">, </w:t>
      </w:r>
      <w:r>
        <w:rPr>
          <w:rFonts w:ascii="Times New Roman"/>
          <w:sz w:val="24"/>
          <w:szCs w:val="24"/>
        </w:rPr>
        <w:t>Rijuka Roy Barman</w:t>
      </w:r>
      <w:r w:rsidR="00A516D0" w:rsidRPr="00746CE4">
        <w:rPr>
          <w:rFonts w:ascii="Times New Roman"/>
          <w:sz w:val="24"/>
          <w:szCs w:val="24"/>
          <w:vertAlign w:val="superscript"/>
        </w:rPr>
        <w:t>2</w:t>
      </w:r>
      <w:r w:rsidR="00432BC1" w:rsidRPr="00746CE4">
        <w:rPr>
          <w:rFonts w:ascii="Times New Roman"/>
          <w:color w:val="FF0000"/>
          <w:sz w:val="24"/>
          <w:szCs w:val="24"/>
        </w:rPr>
        <w:tab/>
      </w:r>
    </w:p>
    <w:p w14:paraId="6A07B195" w14:textId="7BDEF9D1" w:rsidR="00A516D0" w:rsidRPr="00A516D0" w:rsidRDefault="00A516D0" w:rsidP="00B3695B">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Pr="00A516D0">
        <w:rPr>
          <w:i/>
          <w:sz w:val="20"/>
          <w:szCs w:val="20"/>
        </w:rPr>
        <w:t>(</w:t>
      </w:r>
      <w:r w:rsidR="009D70D1">
        <w:rPr>
          <w:i/>
          <w:sz w:val="20"/>
          <w:szCs w:val="20"/>
        </w:rPr>
        <w:t>BCOM.LLB. (H)</w:t>
      </w:r>
      <w:r w:rsidR="0086384D">
        <w:rPr>
          <w:i/>
          <w:sz w:val="20"/>
          <w:szCs w:val="20"/>
        </w:rPr>
        <w:t xml:space="preserve"> [4</w:t>
      </w:r>
      <w:r w:rsidR="0086384D" w:rsidRPr="0086384D">
        <w:rPr>
          <w:i/>
          <w:sz w:val="20"/>
          <w:szCs w:val="20"/>
          <w:vertAlign w:val="superscript"/>
        </w:rPr>
        <w:t>th</w:t>
      </w:r>
      <w:r w:rsidR="0086384D">
        <w:rPr>
          <w:i/>
          <w:sz w:val="20"/>
          <w:szCs w:val="20"/>
        </w:rPr>
        <w:t xml:space="preserve"> year]</w:t>
      </w:r>
      <w:r w:rsidR="009D70D1">
        <w:rPr>
          <w:i/>
          <w:sz w:val="20"/>
          <w:szCs w:val="20"/>
        </w:rPr>
        <w:t>, Amity Law School</w:t>
      </w:r>
      <w:r w:rsidRPr="00A516D0">
        <w:rPr>
          <w:i/>
          <w:sz w:val="20"/>
          <w:szCs w:val="20"/>
        </w:rPr>
        <w:t>/</w:t>
      </w:r>
      <w:r w:rsidR="009D70D1">
        <w:rPr>
          <w:i/>
          <w:sz w:val="20"/>
          <w:szCs w:val="20"/>
        </w:rPr>
        <w:t xml:space="preserve"> Amity</w:t>
      </w:r>
      <w:r w:rsidRPr="00A516D0">
        <w:rPr>
          <w:i/>
          <w:sz w:val="20"/>
          <w:szCs w:val="20"/>
        </w:rPr>
        <w:t xml:space="preserve"> University </w:t>
      </w:r>
      <w:r w:rsidR="009D70D1">
        <w:rPr>
          <w:i/>
          <w:sz w:val="20"/>
          <w:szCs w:val="20"/>
        </w:rPr>
        <w:t>Kolkata</w:t>
      </w:r>
      <w:r w:rsidRPr="00A516D0">
        <w:rPr>
          <w:i/>
          <w:sz w:val="20"/>
          <w:szCs w:val="20"/>
        </w:rPr>
        <w:t xml:space="preserve">, </w:t>
      </w:r>
      <w:r w:rsidR="009D70D1">
        <w:rPr>
          <w:i/>
          <w:sz w:val="20"/>
          <w:szCs w:val="20"/>
        </w:rPr>
        <w:t>India</w:t>
      </w:r>
      <w:r w:rsidRPr="00A516D0">
        <w:rPr>
          <w:i/>
          <w:sz w:val="20"/>
          <w:szCs w:val="20"/>
        </w:rPr>
        <w:t xml:space="preserve">) </w:t>
      </w:r>
    </w:p>
    <w:p w14:paraId="44348FA6" w14:textId="3422CFAC" w:rsidR="00CF47C4" w:rsidRPr="00A516D0" w:rsidRDefault="00A516D0" w:rsidP="00B3695B">
      <w:pPr>
        <w:spacing w:after="0" w:line="240" w:lineRule="auto"/>
        <w:ind w:hanging="284"/>
        <w:rPr>
          <w:rFonts w:ascii="Times New Roman"/>
          <w:i/>
          <w:sz w:val="20"/>
          <w:szCs w:val="20"/>
        </w:rPr>
      </w:pPr>
      <w:r w:rsidRPr="00A516D0">
        <w:rPr>
          <w:rFonts w:ascii="Times New Roman"/>
          <w:i/>
          <w:sz w:val="20"/>
          <w:szCs w:val="20"/>
          <w:vertAlign w:val="superscript"/>
        </w:rPr>
        <w:t>2</w:t>
      </w:r>
      <w:r w:rsidRPr="00A516D0">
        <w:rPr>
          <w:rFonts w:ascii="Times New Roman"/>
          <w:i/>
          <w:sz w:val="20"/>
          <w:szCs w:val="20"/>
        </w:rPr>
        <w:t>(</w:t>
      </w:r>
      <w:r w:rsidR="009D70D1">
        <w:rPr>
          <w:rFonts w:ascii="Times New Roman"/>
          <w:i/>
          <w:sz w:val="20"/>
          <w:szCs w:val="20"/>
        </w:rPr>
        <w:t>BBA. LLB. (H)</w:t>
      </w:r>
      <w:r w:rsidR="0086384D">
        <w:rPr>
          <w:rFonts w:ascii="Times New Roman"/>
          <w:i/>
          <w:sz w:val="20"/>
          <w:szCs w:val="20"/>
        </w:rPr>
        <w:t>[4</w:t>
      </w:r>
      <w:r w:rsidR="0086384D" w:rsidRPr="0086384D">
        <w:rPr>
          <w:rFonts w:ascii="Times New Roman"/>
          <w:i/>
          <w:sz w:val="20"/>
          <w:szCs w:val="20"/>
          <w:vertAlign w:val="superscript"/>
        </w:rPr>
        <w:t>th</w:t>
      </w:r>
      <w:r w:rsidR="0086384D">
        <w:rPr>
          <w:rFonts w:ascii="Times New Roman"/>
          <w:i/>
          <w:sz w:val="20"/>
          <w:szCs w:val="20"/>
        </w:rPr>
        <w:t xml:space="preserve"> year]</w:t>
      </w:r>
      <w:r w:rsidRPr="00A516D0">
        <w:rPr>
          <w:rFonts w:ascii="Times New Roman"/>
          <w:i/>
          <w:sz w:val="20"/>
          <w:szCs w:val="20"/>
        </w:rPr>
        <w:t xml:space="preserve">, </w:t>
      </w:r>
      <w:r w:rsidR="009D70D1">
        <w:rPr>
          <w:rFonts w:ascii="Times New Roman"/>
          <w:i/>
          <w:sz w:val="20"/>
          <w:szCs w:val="20"/>
        </w:rPr>
        <w:t>Amity Law School</w:t>
      </w:r>
      <w:r w:rsidRPr="00A516D0">
        <w:rPr>
          <w:rFonts w:ascii="Times New Roman"/>
          <w:i/>
          <w:sz w:val="20"/>
          <w:szCs w:val="20"/>
        </w:rPr>
        <w:t xml:space="preserve">/ </w:t>
      </w:r>
      <w:r w:rsidR="009D70D1">
        <w:rPr>
          <w:rFonts w:ascii="Times New Roman"/>
          <w:i/>
          <w:sz w:val="20"/>
          <w:szCs w:val="20"/>
        </w:rPr>
        <w:t>Amity University Kolkata</w:t>
      </w:r>
      <w:r w:rsidRPr="00A516D0">
        <w:rPr>
          <w:rFonts w:ascii="Times New Roman"/>
          <w:i/>
          <w:sz w:val="20"/>
          <w:szCs w:val="20"/>
        </w:rPr>
        <w:t xml:space="preserve">, </w:t>
      </w:r>
      <w:r w:rsidR="009D70D1">
        <w:rPr>
          <w:rFonts w:ascii="Times New Roman"/>
          <w:i/>
          <w:sz w:val="20"/>
          <w:szCs w:val="20"/>
        </w:rPr>
        <w:t>India</w:t>
      </w:r>
      <w:r w:rsidRPr="00A516D0">
        <w:rPr>
          <w:rFonts w:ascii="Times New Roman"/>
          <w:i/>
          <w:sz w:val="20"/>
          <w:szCs w:val="20"/>
        </w:rPr>
        <w:t xml:space="preserve">) </w:t>
      </w:r>
    </w:p>
    <w:p w14:paraId="2F77AA13" w14:textId="6E2E0F82" w:rsidR="00CF47C4" w:rsidRDefault="00616876" w:rsidP="00B3695B">
      <w:pPr>
        <w:spacing w:after="0" w:line="240" w:lineRule="auto"/>
        <w:ind w:hanging="284"/>
        <w:rPr>
          <w:rFonts w:ascii="Times New Roman"/>
          <w:i/>
          <w:sz w:val="20"/>
          <w:szCs w:val="20"/>
        </w:rPr>
      </w:pPr>
      <w:r>
        <w:rPr>
          <w:rFonts w:ascii="Times New Roman"/>
          <w:i/>
          <w:sz w:val="20"/>
          <w:szCs w:val="20"/>
        </w:rPr>
        <w:t xml:space="preserve">Corresponding Author: </w:t>
      </w:r>
      <w:r w:rsidR="009D70D1">
        <w:rPr>
          <w:rFonts w:ascii="Times New Roman"/>
          <w:i/>
          <w:sz w:val="20"/>
          <w:szCs w:val="20"/>
        </w:rPr>
        <w:t>sudesna.sarkar002@gmail.com</w:t>
      </w:r>
    </w:p>
    <w:p w14:paraId="1CC45B6B" w14:textId="77777777"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45173A87" w14:textId="77777777" w:rsidTr="00B3695B">
        <w:trPr>
          <w:trHeight w:val="2182"/>
        </w:trPr>
        <w:tc>
          <w:tcPr>
            <w:tcW w:w="10409" w:type="dxa"/>
          </w:tcPr>
          <w:p w14:paraId="33F3DA69" w14:textId="77777777" w:rsidR="00B3695B" w:rsidRDefault="00B3695B" w:rsidP="0046625C">
            <w:pPr>
              <w:pBdr>
                <w:top w:val="single" w:sz="4" w:space="1" w:color="auto"/>
              </w:pBdr>
              <w:spacing w:line="0" w:lineRule="atLeast"/>
              <w:jc w:val="both"/>
              <w:rPr>
                <w:rFonts w:ascii="Times New Roman"/>
                <w:b/>
                <w:i/>
              </w:rPr>
            </w:pPr>
          </w:p>
          <w:p w14:paraId="2D0EAD03" w14:textId="349398A6" w:rsidR="00B3695B" w:rsidRPr="00F527BA" w:rsidRDefault="00B3695B" w:rsidP="0046625C">
            <w:pPr>
              <w:pBdr>
                <w:top w:val="single" w:sz="4" w:space="1" w:color="auto"/>
              </w:pBdr>
              <w:spacing w:line="0" w:lineRule="atLeast"/>
              <w:jc w:val="both"/>
              <w:rPr>
                <w:rFonts w:ascii="Times New Roman"/>
                <w:b/>
                <w:bCs/>
                <w:i/>
                <w:iCs/>
                <w:sz w:val="20"/>
              </w:rPr>
            </w:pPr>
            <w:r w:rsidRPr="00A516D0">
              <w:rPr>
                <w:rFonts w:ascii="Times New Roman"/>
                <w:b/>
                <w:i/>
              </w:rPr>
              <w:t>Abstract:</w:t>
            </w:r>
            <w:r>
              <w:rPr>
                <w:rFonts w:ascii="Times New Roman"/>
                <w:b/>
                <w:i/>
              </w:rPr>
              <w:t xml:space="preserve"> </w:t>
            </w:r>
            <w:r w:rsidR="006362BB">
              <w:rPr>
                <w:rFonts w:ascii="Times New Roman"/>
                <w:bCs/>
                <w:i/>
              </w:rPr>
              <w:t xml:space="preserve">Now a days, business is getting globalized. E-commerce is a very essential things in online trading platform. Without money business is not possible. Everything has a positive and negative site. Excessive money exchange attracts </w:t>
            </w:r>
            <w:r w:rsidR="0086384D">
              <w:rPr>
                <w:rFonts w:ascii="Times New Roman"/>
                <w:bCs/>
                <w:i/>
              </w:rPr>
              <w:t xml:space="preserve">criminals. Crimes can be committed in cyber platform very efficiently without any evidence and traces. After Covid-19, committing financial fraud has increased. </w:t>
            </w:r>
            <w:r w:rsidR="001652F1">
              <w:rPr>
                <w:rFonts w:ascii="Times New Roman"/>
                <w:bCs/>
                <w:i/>
              </w:rPr>
              <w:t>Criminals’</w:t>
            </w:r>
            <w:r w:rsidR="0086384D">
              <w:rPr>
                <w:rFonts w:ascii="Times New Roman"/>
                <w:bCs/>
                <w:i/>
              </w:rPr>
              <w:t xml:space="preserve"> detection becomes very difficult.</w:t>
            </w:r>
            <w:r w:rsidR="001652F1">
              <w:rPr>
                <w:rFonts w:ascii="Times New Roman"/>
                <w:bCs/>
                <w:i/>
              </w:rPr>
              <w:t xml:space="preserve"> It becomes very difficult in international aspect. This cyber fraud spreads in many countries though online. Several conference</w:t>
            </w:r>
            <w:r w:rsidR="002379FC">
              <w:rPr>
                <w:rFonts w:ascii="Times New Roman"/>
                <w:bCs/>
                <w:i/>
              </w:rPr>
              <w:t>s are taken places. Various treaties are implemented in these regards. Still the problem remains unresolved.</w:t>
            </w:r>
            <w:r w:rsidR="0086384D">
              <w:rPr>
                <w:rFonts w:ascii="Times New Roman"/>
                <w:bCs/>
                <w:i/>
              </w:rPr>
              <w:t xml:space="preserve"> </w:t>
            </w:r>
            <w:r w:rsidR="002379FC">
              <w:rPr>
                <w:rFonts w:ascii="Times New Roman"/>
                <w:bCs/>
                <w:i/>
              </w:rPr>
              <w:t xml:space="preserve">Sufficient domestic laws are in enforced to prevent this crime. </w:t>
            </w:r>
            <w:r w:rsidR="00C3162E">
              <w:rPr>
                <w:rFonts w:ascii="Times New Roman"/>
                <w:bCs/>
                <w:i/>
              </w:rPr>
              <w:t xml:space="preserve">How laws are applied and dealt to prevent and detect the cyber criminals and crimes are </w:t>
            </w:r>
            <w:r w:rsidR="00CC2CFB">
              <w:rPr>
                <w:rFonts w:ascii="Times New Roman"/>
                <w:bCs/>
                <w:i/>
              </w:rPr>
              <w:t xml:space="preserve">discussed to bring certainty. </w:t>
            </w:r>
          </w:p>
          <w:p w14:paraId="27100EC7" w14:textId="63CD175E" w:rsidR="00B3695B" w:rsidRPr="001652F1" w:rsidRDefault="00B3695B" w:rsidP="0046625C">
            <w:pPr>
              <w:pBdr>
                <w:top w:val="single" w:sz="4" w:space="1" w:color="auto"/>
              </w:pBdr>
              <w:jc w:val="both"/>
              <w:rPr>
                <w:rFonts w:ascii="Times New Roman"/>
                <w:bCs/>
                <w:iCs/>
                <w:lang w:val="fr-FR"/>
              </w:rPr>
            </w:pPr>
            <w:r w:rsidRPr="00F527BA">
              <w:rPr>
                <w:rFonts w:ascii="Times New Roman"/>
                <w:b/>
                <w:bCs/>
                <w:i/>
                <w:iCs/>
              </w:rPr>
              <w:t>Key Word</w:t>
            </w:r>
            <w:r w:rsidR="00E14DC7">
              <w:rPr>
                <w:rFonts w:ascii="Times New Roman"/>
                <w:b/>
                <w:bCs/>
                <w:i/>
                <w:iCs/>
              </w:rPr>
              <w:t>s</w:t>
            </w:r>
            <w:r w:rsidRPr="00F527BA">
              <w:rPr>
                <w:rFonts w:ascii="Times New Roman"/>
                <w:i/>
                <w:iCs/>
              </w:rPr>
              <w:t>:</w:t>
            </w:r>
            <w:r w:rsidRPr="00F527BA">
              <w:rPr>
                <w:rFonts w:ascii="Times New Roman"/>
                <w:b/>
                <w:i/>
                <w:color w:val="FF0000"/>
                <w:lang w:val="fr-FR"/>
              </w:rPr>
              <w:t xml:space="preserve"> </w:t>
            </w:r>
            <w:r w:rsidR="00C3162E" w:rsidRPr="001652F1">
              <w:rPr>
                <w:rFonts w:ascii="Times New Roman"/>
                <w:bCs/>
                <w:i/>
                <w:lang w:val="fr-FR"/>
              </w:rPr>
              <w:t>E-commerce, Information Technology Act, 2000, Customs, Treat</w:t>
            </w:r>
            <w:r w:rsidR="0014448D">
              <w:rPr>
                <w:rFonts w:ascii="Times New Roman"/>
                <w:bCs/>
                <w:i/>
                <w:lang w:val="fr-FR"/>
              </w:rPr>
              <w:t>ies</w:t>
            </w:r>
            <w:r w:rsidR="00C3162E" w:rsidRPr="001652F1">
              <w:rPr>
                <w:rFonts w:ascii="Times New Roman"/>
                <w:bCs/>
                <w:i/>
                <w:lang w:val="fr-FR"/>
              </w:rPr>
              <w:t xml:space="preserve">, UNCITRAL Model Law on Electronic Commerce, </w:t>
            </w:r>
            <w:r w:rsidR="00B95739" w:rsidRPr="001652F1">
              <w:rPr>
                <w:rFonts w:ascii="Times New Roman"/>
                <w:bCs/>
                <w:i/>
                <w:lang w:val="fr-FR"/>
              </w:rPr>
              <w:t>Computer Emergence Response Team</w:t>
            </w:r>
            <w:r w:rsidR="006053C2">
              <w:rPr>
                <w:rFonts w:ascii="Times New Roman"/>
                <w:bCs/>
                <w:i/>
                <w:lang w:val="fr-FR"/>
              </w:rPr>
              <w:t>, The Indian Evidence Act, 1872</w:t>
            </w:r>
            <w:r w:rsidR="00C3162E" w:rsidRPr="001652F1">
              <w:rPr>
                <w:rFonts w:ascii="Times New Roman"/>
                <w:bCs/>
                <w:i/>
                <w:lang w:val="fr-FR"/>
              </w:rPr>
              <w:t xml:space="preserve"> </w:t>
            </w:r>
          </w:p>
          <w:p w14:paraId="2E13B519" w14:textId="77777777" w:rsidR="00B3695B" w:rsidRDefault="00B3695B" w:rsidP="0046625C">
            <w:pPr>
              <w:rPr>
                <w:rFonts w:ascii="Times New Roman"/>
                <w:i/>
                <w:sz w:val="20"/>
              </w:rPr>
            </w:pPr>
          </w:p>
        </w:tc>
      </w:tr>
    </w:tbl>
    <w:p w14:paraId="272D1A98" w14:textId="77777777" w:rsidR="0046625C" w:rsidRDefault="0046625C" w:rsidP="0046625C">
      <w:pPr>
        <w:spacing w:after="0" w:line="240" w:lineRule="auto"/>
        <w:rPr>
          <w:rFonts w:ascii="Times New Roman"/>
          <w:i/>
          <w:sz w:val="20"/>
          <w:szCs w:val="20"/>
        </w:rPr>
      </w:pPr>
    </w:p>
    <w:p w14:paraId="086212FD" w14:textId="77777777" w:rsidR="007075A9" w:rsidRPr="007075A9" w:rsidRDefault="007075A9" w:rsidP="007075A9">
      <w:pPr>
        <w:spacing w:after="0" w:line="240" w:lineRule="auto"/>
        <w:jc w:val="center"/>
        <w:rPr>
          <w:rFonts w:ascii="Times New Roman"/>
          <w:b/>
          <w:szCs w:val="20"/>
        </w:rPr>
        <w:sectPr w:rsidR="007075A9" w:rsidRPr="007075A9" w:rsidSect="00B3695B">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14:paraId="5FD8D326" w14:textId="1C2953EA" w:rsidR="00B95739" w:rsidRPr="00B95739" w:rsidRDefault="008A7684" w:rsidP="00B95739">
      <w:pPr>
        <w:pStyle w:val="ListParagraph"/>
        <w:numPr>
          <w:ilvl w:val="0"/>
          <w:numId w:val="5"/>
        </w:numPr>
        <w:spacing w:after="0" w:line="240" w:lineRule="auto"/>
        <w:ind w:left="360" w:hanging="360"/>
        <w:jc w:val="center"/>
        <w:rPr>
          <w:rFonts w:ascii="Times New Roman"/>
          <w:b/>
          <w:sz w:val="24"/>
          <w:szCs w:val="24"/>
        </w:rPr>
      </w:pPr>
      <w:r w:rsidRPr="00A516D0">
        <w:rPr>
          <w:rFonts w:ascii="Times New Roman"/>
          <w:b/>
          <w:szCs w:val="20"/>
        </w:rPr>
        <w:t>Introduction</w:t>
      </w:r>
    </w:p>
    <w:p w14:paraId="4A4E74DC" w14:textId="7B4D4EE6" w:rsidR="00B95739" w:rsidRPr="00CC0BDE" w:rsidRDefault="00B95739" w:rsidP="00B95739">
      <w:pPr>
        <w:pStyle w:val="ListParagraph"/>
        <w:spacing w:after="0" w:line="240" w:lineRule="auto"/>
        <w:ind w:left="360"/>
        <w:jc w:val="both"/>
        <w:rPr>
          <w:rFonts w:ascii="Times New Roman"/>
          <w:b/>
          <w:sz w:val="24"/>
          <w:szCs w:val="24"/>
        </w:rPr>
      </w:pPr>
      <w:r>
        <w:rPr>
          <w:rFonts w:ascii="Times New Roman"/>
          <w:bCs/>
          <w:sz w:val="24"/>
          <w:szCs w:val="24"/>
        </w:rPr>
        <w:t xml:space="preserve">Money laundering has continued since ancient times. Now, everything is going online. After 2020, marketing and booking of services have increased in the online medium. Due to these, online payment is increased. Recently, various platforms have been generated for dealing with online platforms. Recently, various digital currencies have been generated for easy and quick online payment and money transactions. This online transaction greatly impacts the financial system and economic condition. Everything has a positive and negative impact. When the money transaction gets digital, the money laundering starts in the online platform. This type of crime is known as </w:t>
      </w:r>
      <w:r w:rsidRPr="002815BA">
        <w:rPr>
          <w:rFonts w:ascii="Times New Roman"/>
          <w:bCs/>
          <w:i/>
          <w:iCs/>
          <w:sz w:val="24"/>
          <w:szCs w:val="24"/>
        </w:rPr>
        <w:t>‘cyber-laundering.’</w:t>
      </w:r>
      <w:r>
        <w:rPr>
          <w:rFonts w:ascii="Times New Roman"/>
          <w:bCs/>
          <w:sz w:val="24"/>
          <w:szCs w:val="24"/>
        </w:rPr>
        <w:t xml:space="preserve"> In ancient times, there was no proper infrastructure for detecting cybercriminals. Now, there are proper infrastructure and legal frameworks to prevent and give punishment to criminals. Still, the detection of criminals for cyber laundering is challenging. Various problems need to be faced during the process of investigation. Territorial and evidentiary are two crucial problems that create huge obstructions in carrying out the investigation. This problem is happening all over the world. </w:t>
      </w:r>
      <w:r w:rsidRPr="00DE3074">
        <w:rPr>
          <w:rFonts w:ascii="Times New Roman"/>
          <w:sz w:val="24"/>
          <w:szCs w:val="24"/>
        </w:rPr>
        <w:t>Technology advancements have also led to a rise in criminal activity.</w:t>
      </w:r>
      <w:r>
        <w:t xml:space="preserve"> </w:t>
      </w:r>
      <w:r>
        <w:rPr>
          <w:rFonts w:ascii="Times New Roman"/>
          <w:bCs/>
          <w:sz w:val="24"/>
          <w:szCs w:val="24"/>
        </w:rPr>
        <w:t>Wealth transfer from one country to another and converting black money into white have become convenient by the electronic medium. Money transfers for illegal become very easy through online mediums</w:t>
      </w:r>
      <w:r>
        <w:rPr>
          <w:rStyle w:val="FootnoteReference"/>
          <w:rFonts w:ascii="Times New Roman"/>
          <w:bCs/>
          <w:sz w:val="24"/>
          <w:szCs w:val="24"/>
        </w:rPr>
        <w:footnoteReference w:id="1"/>
      </w:r>
      <w:r>
        <w:rPr>
          <w:rFonts w:ascii="Times New Roman"/>
          <w:bCs/>
          <w:sz w:val="24"/>
          <w:szCs w:val="24"/>
        </w:rPr>
        <w:t>. The flawless internet access attracts criminals to commit these kinds of crimes</w:t>
      </w:r>
      <w:r>
        <w:rPr>
          <w:rStyle w:val="FootnoteReference"/>
          <w:rFonts w:ascii="Times New Roman"/>
          <w:bCs/>
          <w:sz w:val="24"/>
          <w:szCs w:val="24"/>
        </w:rPr>
        <w:footnoteReference w:id="2"/>
      </w:r>
      <w:r>
        <w:rPr>
          <w:rFonts w:ascii="Times New Roman"/>
          <w:bCs/>
          <w:sz w:val="24"/>
          <w:szCs w:val="24"/>
        </w:rPr>
        <w:t xml:space="preserve">. </w:t>
      </w:r>
    </w:p>
    <w:p w14:paraId="7E9648E3" w14:textId="0690B2D7" w:rsidR="00B95739" w:rsidRPr="00B95739" w:rsidRDefault="00B95739" w:rsidP="00B95739">
      <w:pPr>
        <w:spacing w:line="360" w:lineRule="auto"/>
        <w:jc w:val="center"/>
        <w:rPr>
          <w:rFonts w:ascii="Times New Roman"/>
          <w:b/>
          <w:bCs/>
        </w:rPr>
      </w:pPr>
      <w:r w:rsidRPr="00B95739">
        <w:rPr>
          <w:rFonts w:ascii="Times New Roman"/>
          <w:b/>
          <w:bCs/>
        </w:rPr>
        <w:t xml:space="preserve">II.   </w:t>
      </w:r>
      <w:r w:rsidRPr="00B95739">
        <w:rPr>
          <w:rFonts w:ascii="Times New Roman"/>
          <w:b/>
          <w:bCs/>
        </w:rPr>
        <w:t>CYBERCRIME</w:t>
      </w:r>
    </w:p>
    <w:p w14:paraId="66772B51" w14:textId="77777777" w:rsidR="00B95739" w:rsidRPr="00B95739" w:rsidRDefault="00B95739" w:rsidP="00B95739">
      <w:pPr>
        <w:spacing w:line="240" w:lineRule="auto"/>
        <w:jc w:val="both"/>
        <w:rPr>
          <w:rFonts w:ascii="Times New Roman"/>
          <w:sz w:val="24"/>
          <w:szCs w:val="24"/>
        </w:rPr>
      </w:pPr>
      <w:r w:rsidRPr="00B95739">
        <w:rPr>
          <w:rFonts w:ascii="Times New Roman"/>
          <w:sz w:val="24"/>
          <w:szCs w:val="24"/>
        </w:rPr>
        <w:t xml:space="preserve">Cybercrime is a modern form of criminal activity. This definition encompasses any unlawful activity carried out through computers, the Internet, or other technologies authorized by the Information </w:t>
      </w:r>
      <w:r w:rsidRPr="00B95739">
        <w:rPr>
          <w:rFonts w:ascii="Times New Roman"/>
          <w:sz w:val="24"/>
          <w:szCs w:val="24"/>
        </w:rPr>
        <w:lastRenderedPageBreak/>
        <w:t>Technology Act. Cybercrime is the most prevalent and destructive type of crime in contemporary India.</w:t>
      </w:r>
    </w:p>
    <w:p w14:paraId="04C5B033" w14:textId="77777777" w:rsidR="00B95739" w:rsidRPr="00B95739" w:rsidRDefault="00B95739" w:rsidP="00B95739">
      <w:pPr>
        <w:spacing w:line="240" w:lineRule="auto"/>
        <w:jc w:val="both"/>
        <w:rPr>
          <w:rFonts w:ascii="Times New Roman"/>
          <w:sz w:val="24"/>
          <w:szCs w:val="24"/>
        </w:rPr>
      </w:pPr>
      <w:r w:rsidRPr="00B95739">
        <w:rPr>
          <w:rFonts w:ascii="Times New Roman"/>
          <w:sz w:val="24"/>
          <w:szCs w:val="24"/>
        </w:rPr>
        <w:t>Technically proficient criminals use the internet to commit several illegal activities. Using a more expansive definition, cybercrime can be defined as any illicit behaviour in which one can utilize a computer, the internet, or both as a target, a tool, or both. Examples include cyberterrorism, cyberstalking, email spoofing, email bombing, cyberpornography, cyberdefamation, and other newly created cybercrimes. Some conventional crimes may also be classified as cybercrimes if they are committed using a computer or the Internet.</w:t>
      </w:r>
      <w:r w:rsidRPr="00B95739">
        <w:rPr>
          <w:rStyle w:val="FootnoteReference"/>
          <w:rFonts w:ascii="Times New Roman"/>
          <w:sz w:val="24"/>
          <w:szCs w:val="24"/>
        </w:rPr>
        <w:footnoteReference w:id="3"/>
      </w:r>
    </w:p>
    <w:p w14:paraId="2F054BFA" w14:textId="597B9EBD" w:rsidR="00B95739" w:rsidRPr="00B95739" w:rsidRDefault="00B95739" w:rsidP="00B95739">
      <w:pPr>
        <w:spacing w:line="240" w:lineRule="auto"/>
        <w:jc w:val="center"/>
        <w:rPr>
          <w:rFonts w:ascii="Times New Roman"/>
          <w:b/>
          <w:bCs/>
        </w:rPr>
      </w:pPr>
      <w:r w:rsidRPr="00B95739">
        <w:rPr>
          <w:rFonts w:ascii="Times New Roman"/>
          <w:b/>
          <w:bCs/>
        </w:rPr>
        <w:t xml:space="preserve">III.  </w:t>
      </w:r>
      <w:r w:rsidRPr="00B95739">
        <w:rPr>
          <w:rFonts w:ascii="Times New Roman"/>
          <w:b/>
          <w:bCs/>
        </w:rPr>
        <w:t>E-COMMERCE</w:t>
      </w:r>
    </w:p>
    <w:p w14:paraId="7940792D" w14:textId="77777777" w:rsidR="00B95739" w:rsidRPr="00B95739" w:rsidRDefault="00B95739" w:rsidP="00B95739">
      <w:pPr>
        <w:spacing w:line="240" w:lineRule="auto"/>
        <w:jc w:val="both"/>
        <w:rPr>
          <w:rFonts w:ascii="Times New Roman"/>
          <w:sz w:val="24"/>
          <w:szCs w:val="24"/>
        </w:rPr>
      </w:pPr>
      <w:r w:rsidRPr="00B95739">
        <w:rPr>
          <w:rFonts w:ascii="Times New Roman"/>
          <w:sz w:val="24"/>
          <w:szCs w:val="24"/>
        </w:rPr>
        <w:t>Buying and selling goods and services over an electronic network—most commonly the Internet—is known as e-commerce. It has gained popularity due to increased customer demand and convenience in online transactions. The main forms of e-commerce include business-to-business (B2B), business-to-consumer (B2C), business-to-government (B2G), consumer-to-consumer (C2C), and mobile commerce (m-trade). The Information Technology (IT) Act 2000 became the first e-trade law in India.</w:t>
      </w:r>
      <w:r w:rsidRPr="00B95739">
        <w:rPr>
          <w:rStyle w:val="FootnoteReference"/>
          <w:rFonts w:ascii="Times New Roman"/>
          <w:sz w:val="24"/>
          <w:szCs w:val="24"/>
        </w:rPr>
        <w:t xml:space="preserve"> </w:t>
      </w:r>
      <w:r w:rsidRPr="00B95739">
        <w:rPr>
          <w:rStyle w:val="FootnoteReference"/>
          <w:rFonts w:ascii="Times New Roman"/>
          <w:sz w:val="24"/>
          <w:szCs w:val="24"/>
        </w:rPr>
        <w:footnoteReference w:id="4"/>
      </w:r>
      <w:r w:rsidRPr="00B95739">
        <w:rPr>
          <w:rFonts w:ascii="Times New Roman"/>
          <w:sz w:val="24"/>
          <w:szCs w:val="24"/>
        </w:rPr>
        <w:t xml:space="preserve"> In 1997, the United Nations General Assembly approved a model law on digital trade for uniformity in regulation and substitutes for data storage and transmission technologies based on paper. The IT Act aims to provide legal recognition for transactions through digital information exchange and other electronic communication, also known as digital trade (e-trade).</w:t>
      </w:r>
      <w:r w:rsidRPr="00B95739">
        <w:rPr>
          <w:rStyle w:val="FootnoteReference"/>
          <w:rFonts w:ascii="Times New Roman"/>
          <w:sz w:val="24"/>
          <w:szCs w:val="24"/>
        </w:rPr>
        <w:footnoteReference w:id="5"/>
      </w:r>
    </w:p>
    <w:p w14:paraId="3975BEDD" w14:textId="026AFB92" w:rsidR="00B95739" w:rsidRPr="00B95739" w:rsidRDefault="00B95739" w:rsidP="00B95739">
      <w:pPr>
        <w:spacing w:line="240" w:lineRule="auto"/>
        <w:jc w:val="center"/>
        <w:rPr>
          <w:rFonts w:ascii="Times New Roman"/>
          <w:b/>
          <w:bCs/>
        </w:rPr>
      </w:pPr>
      <w:r w:rsidRPr="00B95739">
        <w:rPr>
          <w:rFonts w:ascii="Times New Roman"/>
          <w:b/>
          <w:bCs/>
        </w:rPr>
        <w:t xml:space="preserve">IV.   </w:t>
      </w:r>
      <w:r w:rsidRPr="00B95739">
        <w:rPr>
          <w:rFonts w:ascii="Times New Roman"/>
          <w:b/>
          <w:bCs/>
        </w:rPr>
        <w:t>CHALLENGES IN THE DETECTION OF CYBER-LAUNDERING</w:t>
      </w:r>
    </w:p>
    <w:p w14:paraId="75280683" w14:textId="77777777" w:rsidR="00B95739" w:rsidRPr="00B95739" w:rsidRDefault="00B95739" w:rsidP="00B95739">
      <w:pPr>
        <w:spacing w:line="240" w:lineRule="auto"/>
        <w:jc w:val="both"/>
        <w:rPr>
          <w:rFonts w:ascii="Times New Roman"/>
          <w:sz w:val="24"/>
          <w:szCs w:val="24"/>
        </w:rPr>
      </w:pPr>
      <w:r w:rsidRPr="00B95739">
        <w:rPr>
          <w:rFonts w:ascii="Times New Roman"/>
          <w:b/>
          <w:bCs/>
          <w:sz w:val="24"/>
          <w:szCs w:val="24"/>
        </w:rPr>
        <w:t xml:space="preserve">Jurisdictional Challenges: </w:t>
      </w:r>
      <w:r w:rsidRPr="00B95739">
        <w:rPr>
          <w:rFonts w:ascii="Times New Roman"/>
          <w:sz w:val="24"/>
          <w:szCs w:val="24"/>
        </w:rPr>
        <w:t>In the legal field, jurisdiction</w:t>
      </w:r>
      <w:r w:rsidRPr="00B95739">
        <w:rPr>
          <w:rFonts w:ascii="Times New Roman"/>
          <w:b/>
          <w:bCs/>
          <w:sz w:val="24"/>
          <w:szCs w:val="24"/>
        </w:rPr>
        <w:t xml:space="preserve"> </w:t>
      </w:r>
      <w:r w:rsidRPr="00B95739">
        <w:rPr>
          <w:rFonts w:ascii="Times New Roman"/>
          <w:sz w:val="24"/>
          <w:szCs w:val="24"/>
        </w:rPr>
        <w:t xml:space="preserve">is very important to resolve a dispute. A court should have jurisdiction while deciding a case. The court cannot handle the case if it lacks jurisdiction. There is no limitation of jurisdiction about e-commerce. It is not necessary for the offender and the victim to live in the same nation to commit a cybercrime. There are no geographical boundaries in cyberspace. It becomes very flexible for hackers, virus attackers, software pirates and crooks to commit crime in cyber platform. In the international aspect, jurisdiction plays a crucial role for continuing investigations and finding out the criminal. There are no uniform laws in international aspects. The first treaty related to cyber offenses was </w:t>
      </w:r>
      <w:r w:rsidRPr="00B95739">
        <w:rPr>
          <w:rFonts w:ascii="Times New Roman"/>
          <w:b/>
          <w:bCs/>
          <w:sz w:val="24"/>
          <w:szCs w:val="24"/>
        </w:rPr>
        <w:t>‘The Convention on Cybercrime’</w:t>
      </w:r>
      <w:r w:rsidRPr="00B95739">
        <w:rPr>
          <w:rFonts w:ascii="Times New Roman"/>
          <w:sz w:val="24"/>
          <w:szCs w:val="24"/>
        </w:rPr>
        <w:t xml:space="preserve"> on 23</w:t>
      </w:r>
      <w:r w:rsidRPr="00B95739">
        <w:rPr>
          <w:rFonts w:ascii="Times New Roman"/>
          <w:sz w:val="24"/>
          <w:szCs w:val="24"/>
          <w:vertAlign w:val="superscript"/>
        </w:rPr>
        <w:t>rd</w:t>
      </w:r>
      <w:r w:rsidRPr="00B95739">
        <w:rPr>
          <w:rFonts w:ascii="Times New Roman"/>
          <w:sz w:val="24"/>
          <w:szCs w:val="24"/>
        </w:rPr>
        <w:t xml:space="preserve"> November 2001 in Budapest. It was signed by twenty-one member states. This treaty discussed the procedural power, the jurisdiction of the court, adjudication and protection of cybercrime, and common criminal policy</w:t>
      </w:r>
      <w:r w:rsidRPr="00B95739">
        <w:rPr>
          <w:rStyle w:val="FootnoteReference"/>
          <w:rFonts w:ascii="Times New Roman"/>
          <w:sz w:val="24"/>
          <w:szCs w:val="24"/>
        </w:rPr>
        <w:footnoteReference w:id="6"/>
      </w:r>
      <w:r w:rsidRPr="00B95739">
        <w:rPr>
          <w:rFonts w:ascii="Times New Roman"/>
          <w:sz w:val="24"/>
          <w:szCs w:val="24"/>
        </w:rPr>
        <w:t xml:space="preserve">. </w:t>
      </w:r>
      <w:r w:rsidRPr="00B95739">
        <w:rPr>
          <w:rFonts w:ascii="Times New Roman"/>
          <w:b/>
          <w:bCs/>
          <w:sz w:val="24"/>
          <w:szCs w:val="24"/>
        </w:rPr>
        <w:t>The International Cybercrime Treaty</w:t>
      </w:r>
      <w:r w:rsidRPr="00B95739">
        <w:rPr>
          <w:rFonts w:ascii="Times New Roman"/>
          <w:sz w:val="24"/>
          <w:szCs w:val="24"/>
        </w:rPr>
        <w:t xml:space="preserve"> came into force after the U.S. World Trade Center attack on 11</w:t>
      </w:r>
      <w:r w:rsidRPr="00B95739">
        <w:rPr>
          <w:rFonts w:ascii="Times New Roman"/>
          <w:sz w:val="24"/>
          <w:szCs w:val="24"/>
          <w:vertAlign w:val="superscript"/>
        </w:rPr>
        <w:t>th</w:t>
      </w:r>
      <w:r w:rsidRPr="00B95739">
        <w:rPr>
          <w:rFonts w:ascii="Times New Roman"/>
          <w:sz w:val="24"/>
          <w:szCs w:val="24"/>
        </w:rPr>
        <w:t xml:space="preserve"> September 2001. This treaty was signed by the USA, UK, Canada, South Africa etc. This treaty removed the uncertainty in the realm of cyberspace</w:t>
      </w:r>
      <w:r w:rsidRPr="00B95739">
        <w:rPr>
          <w:rStyle w:val="FootnoteReference"/>
          <w:rFonts w:ascii="Times New Roman"/>
          <w:sz w:val="24"/>
          <w:szCs w:val="24"/>
        </w:rPr>
        <w:footnoteReference w:id="7"/>
      </w:r>
      <w:r w:rsidRPr="00B95739">
        <w:rPr>
          <w:rFonts w:ascii="Times New Roman"/>
          <w:sz w:val="24"/>
          <w:szCs w:val="24"/>
        </w:rPr>
        <w:t>. Section 75 of The Information Technology Act, 2000 states that anyone, regardless of nationality, can commit an infraction outside of India. This act also applies to such computers, computer systems, or computer networks that are involved in such crimes</w:t>
      </w:r>
      <w:r w:rsidRPr="00B95739">
        <w:rPr>
          <w:rStyle w:val="FootnoteReference"/>
          <w:rFonts w:ascii="Times New Roman"/>
          <w:sz w:val="24"/>
          <w:szCs w:val="24"/>
        </w:rPr>
        <w:footnoteReference w:id="8"/>
      </w:r>
      <w:r w:rsidRPr="00B95739">
        <w:rPr>
          <w:rFonts w:ascii="Times New Roman"/>
          <w:sz w:val="24"/>
          <w:szCs w:val="24"/>
        </w:rPr>
        <w:t xml:space="preserve">. The cooperation between the countries is required for </w:t>
      </w:r>
      <w:r w:rsidRPr="00B95739">
        <w:rPr>
          <w:rFonts w:ascii="Times New Roman"/>
          <w:sz w:val="24"/>
          <w:szCs w:val="24"/>
        </w:rPr>
        <w:lastRenderedPageBreak/>
        <w:t xml:space="preserve">investigation to solve these problems in the international aspect. Then only this territorial and jurisdictional can be removed. </w:t>
      </w:r>
    </w:p>
    <w:p w14:paraId="1B8ED4D1" w14:textId="77777777" w:rsidR="00B95739" w:rsidRPr="00B95739" w:rsidRDefault="00B95739" w:rsidP="00B95739">
      <w:pPr>
        <w:spacing w:line="240" w:lineRule="auto"/>
        <w:jc w:val="both"/>
        <w:rPr>
          <w:rFonts w:ascii="Times New Roman"/>
          <w:sz w:val="24"/>
          <w:szCs w:val="24"/>
        </w:rPr>
      </w:pPr>
      <w:r w:rsidRPr="00B95739">
        <w:rPr>
          <w:rFonts w:ascii="Times New Roman"/>
          <w:sz w:val="24"/>
          <w:szCs w:val="24"/>
        </w:rPr>
        <w:t xml:space="preserve">Technology always has positive and negative sites. Due to the development of technology, there is easy of access to many things within a moment. It brings flexibility in business, jobs, and education as well as gives crime opportunities to criminals in an updated way. Due to the problem of jurisdiction, the criminals of cyber platforms become untraceable. In international law, treaties, and conventions are works as a law. But all treaties are not signed by all countries. So, the perpetrator and victim are situated in two countries. The perpetrator is situated in a country which does not sign a treaty in respect of which judgment is given. Then that judgment is not binding on that country. The perpetrator will remain untouched. Treaty should be signed by both countries for enforcing it. This is a crucial area in the international field. Customs and general principle are very less effective in such scenario. </w:t>
      </w:r>
      <w:r w:rsidRPr="00B95739">
        <w:rPr>
          <w:rFonts w:ascii="Times New Roman"/>
          <w:b/>
          <w:bCs/>
          <w:sz w:val="24"/>
          <w:szCs w:val="24"/>
        </w:rPr>
        <w:t>Twenty-Second G-7 Summit on Cybercrime (1996)</w:t>
      </w:r>
      <w:r w:rsidRPr="00B95739">
        <w:rPr>
          <w:rFonts w:ascii="Times New Roman"/>
          <w:sz w:val="24"/>
          <w:szCs w:val="24"/>
        </w:rPr>
        <w:t xml:space="preserve"> highlighted the issue regarding the for prevention and investigation of cyber-terrorism to protect the privacy and communication</w:t>
      </w:r>
      <w:r w:rsidRPr="00B95739">
        <w:rPr>
          <w:rStyle w:val="FootnoteReference"/>
          <w:rFonts w:ascii="Times New Roman"/>
          <w:sz w:val="24"/>
          <w:szCs w:val="24"/>
        </w:rPr>
        <w:footnoteReference w:id="9"/>
      </w:r>
      <w:r w:rsidRPr="00B95739">
        <w:rPr>
          <w:rFonts w:ascii="Times New Roman"/>
          <w:sz w:val="24"/>
          <w:szCs w:val="24"/>
        </w:rPr>
        <w:t xml:space="preserve">. </w:t>
      </w:r>
      <w:r w:rsidRPr="00B95739">
        <w:rPr>
          <w:rFonts w:ascii="Times New Roman"/>
          <w:b/>
          <w:bCs/>
          <w:sz w:val="24"/>
          <w:szCs w:val="24"/>
        </w:rPr>
        <w:t>Paris Cyber Crime Conference (2000)</w:t>
      </w:r>
      <w:r w:rsidRPr="00B95739">
        <w:rPr>
          <w:rFonts w:ascii="Times New Roman"/>
          <w:sz w:val="24"/>
          <w:szCs w:val="24"/>
        </w:rPr>
        <w:t xml:space="preserve"> raised the issue for establishment of International Criminal Tribunal to lay down jurisdiction in global aspect for handling the criminals. Updated technology is required for exchanging evidence between the countries for detecting criminals. All countries are not that much of developed for providing it</w:t>
      </w:r>
      <w:r w:rsidRPr="00B95739">
        <w:rPr>
          <w:rStyle w:val="FootnoteReference"/>
          <w:rFonts w:ascii="Times New Roman"/>
          <w:sz w:val="24"/>
          <w:szCs w:val="24"/>
        </w:rPr>
        <w:footnoteReference w:id="10"/>
      </w:r>
      <w:r w:rsidRPr="00B95739">
        <w:rPr>
          <w:rFonts w:ascii="Times New Roman"/>
          <w:sz w:val="24"/>
          <w:szCs w:val="24"/>
        </w:rPr>
        <w:t xml:space="preserve">. </w:t>
      </w:r>
    </w:p>
    <w:p w14:paraId="518707E7" w14:textId="77777777" w:rsidR="00B95739" w:rsidRPr="00B95739" w:rsidRDefault="00B95739" w:rsidP="00B95739">
      <w:pPr>
        <w:spacing w:line="240" w:lineRule="auto"/>
        <w:jc w:val="both"/>
        <w:rPr>
          <w:rFonts w:ascii="Times New Roman"/>
          <w:b/>
          <w:bCs/>
          <w:sz w:val="24"/>
          <w:szCs w:val="24"/>
        </w:rPr>
      </w:pPr>
      <w:r w:rsidRPr="00B95739">
        <w:rPr>
          <w:rFonts w:ascii="Times New Roman"/>
          <w:b/>
          <w:bCs/>
          <w:sz w:val="24"/>
          <w:szCs w:val="24"/>
        </w:rPr>
        <w:t xml:space="preserve">Evidentiary challenges: </w:t>
      </w:r>
      <w:r w:rsidRPr="00B95739">
        <w:rPr>
          <w:rFonts w:ascii="Times New Roman"/>
          <w:sz w:val="24"/>
          <w:szCs w:val="24"/>
        </w:rPr>
        <w:t>This segment discusses the law of evidence for applying it to the Internet, based on the Indian Evidence Act of 1872 and the Information Technology Act of 2000. Most evidence used in internet-related litigation is computer-generated, making it important to define what a "computer" is. Any electronic, magnetic, optical, or other high-speed data processing system or device that can execute arithmetic, logic, and memory operations is called a computer.</w:t>
      </w:r>
    </w:p>
    <w:p w14:paraId="444708AD" w14:textId="77777777" w:rsidR="00B95739" w:rsidRPr="00B95739" w:rsidRDefault="00B95739" w:rsidP="00B95739">
      <w:pPr>
        <w:pStyle w:val="ListParagraph"/>
        <w:spacing w:line="240" w:lineRule="auto"/>
        <w:ind w:left="0"/>
        <w:jc w:val="both"/>
        <w:rPr>
          <w:rFonts w:ascii="Times New Roman"/>
          <w:i/>
          <w:iCs/>
          <w:sz w:val="24"/>
          <w:szCs w:val="24"/>
        </w:rPr>
      </w:pPr>
      <w:r w:rsidRPr="00B95739">
        <w:rPr>
          <w:rFonts w:ascii="Times New Roman"/>
          <w:sz w:val="24"/>
          <w:szCs w:val="24"/>
        </w:rPr>
        <w:t>The Indian Evidence Act of 1872 permits "copies" to be produced by "mechanical processes" or by "printing" uniformly, but it does not define a computer.</w:t>
      </w:r>
      <w:r w:rsidRPr="00B95739">
        <w:rPr>
          <w:rStyle w:val="FootnoteReference"/>
          <w:rFonts w:ascii="Times New Roman"/>
          <w:sz w:val="24"/>
          <w:szCs w:val="24"/>
        </w:rPr>
        <w:footnoteReference w:id="11"/>
      </w:r>
      <w:r w:rsidRPr="00B95739">
        <w:rPr>
          <w:rFonts w:ascii="Times New Roman"/>
          <w:sz w:val="24"/>
          <w:szCs w:val="24"/>
        </w:rPr>
        <w:t xml:space="preserve"> Before analyzing the admissibility, proof, production, and effect of such evidence, it would be worthwhile to investigate the kinds of evidence produced by computers</w:t>
      </w:r>
      <w:r w:rsidRPr="00B95739">
        <w:rPr>
          <w:rFonts w:ascii="Times New Roman"/>
          <w:i/>
          <w:iCs/>
          <w:sz w:val="24"/>
          <w:szCs w:val="24"/>
        </w:rPr>
        <w:t xml:space="preserve">. </w:t>
      </w:r>
    </w:p>
    <w:p w14:paraId="7424B3EE" w14:textId="77777777" w:rsidR="00B95739" w:rsidRPr="00B95739" w:rsidRDefault="00B95739" w:rsidP="00B95739">
      <w:pPr>
        <w:pStyle w:val="ListParagraph"/>
        <w:numPr>
          <w:ilvl w:val="1"/>
          <w:numId w:val="11"/>
        </w:numPr>
        <w:spacing w:after="160" w:line="240" w:lineRule="auto"/>
        <w:jc w:val="both"/>
        <w:rPr>
          <w:rFonts w:ascii="Times New Roman"/>
          <w:b/>
          <w:bCs/>
          <w:sz w:val="24"/>
          <w:szCs w:val="24"/>
        </w:rPr>
      </w:pPr>
      <w:r w:rsidRPr="00B95739">
        <w:rPr>
          <w:rFonts w:ascii="Times New Roman"/>
          <w:b/>
          <w:bCs/>
          <w:sz w:val="24"/>
          <w:szCs w:val="24"/>
        </w:rPr>
        <w:t>Types of Computer-generated evidence.</w:t>
      </w:r>
    </w:p>
    <w:p w14:paraId="3F179E8F" w14:textId="77777777" w:rsidR="00B95739" w:rsidRPr="00B95739" w:rsidRDefault="00B95739" w:rsidP="00B95739">
      <w:pPr>
        <w:spacing w:line="240" w:lineRule="auto"/>
        <w:ind w:left="360"/>
        <w:jc w:val="both"/>
        <w:rPr>
          <w:rFonts w:ascii="Times New Roman"/>
          <w:sz w:val="24"/>
          <w:szCs w:val="24"/>
        </w:rPr>
      </w:pPr>
      <w:r w:rsidRPr="00B95739">
        <w:rPr>
          <w:rFonts w:ascii="Times New Roman"/>
          <w:sz w:val="24"/>
          <w:szCs w:val="24"/>
        </w:rPr>
        <w:t xml:space="preserve">Computer-generated evidence can be classified into three types: </w:t>
      </w:r>
      <w:r w:rsidRPr="00B95739">
        <w:rPr>
          <w:rFonts w:ascii="Times New Roman"/>
          <w:i/>
          <w:iCs/>
          <w:sz w:val="24"/>
          <w:szCs w:val="24"/>
        </w:rPr>
        <w:t>real evidence</w:t>
      </w:r>
      <w:r w:rsidRPr="00B95739">
        <w:rPr>
          <w:rFonts w:ascii="Times New Roman"/>
          <w:sz w:val="24"/>
          <w:szCs w:val="24"/>
        </w:rPr>
        <w:t xml:space="preserve">, which is calculated or analyzed by the computer itself and information from other devices, such as built-in clocks or remote sensors; </w:t>
      </w:r>
      <w:r w:rsidRPr="00B95739">
        <w:rPr>
          <w:rFonts w:ascii="Times New Roman"/>
          <w:i/>
          <w:iCs/>
          <w:sz w:val="24"/>
          <w:szCs w:val="24"/>
        </w:rPr>
        <w:t>hearsay evidence</w:t>
      </w:r>
      <w:r w:rsidRPr="00B95739">
        <w:rPr>
          <w:rFonts w:ascii="Times New Roman"/>
          <w:sz w:val="24"/>
          <w:szCs w:val="24"/>
        </w:rPr>
        <w:t xml:space="preserve">, which is copies of human-provided information, such as drawn cheques and paying-in slips credited to a bank account; and </w:t>
      </w:r>
      <w:r w:rsidRPr="00B95739">
        <w:rPr>
          <w:rFonts w:ascii="Times New Roman"/>
          <w:i/>
          <w:iCs/>
          <w:sz w:val="24"/>
          <w:szCs w:val="24"/>
        </w:rPr>
        <w:t>derived evidence</w:t>
      </w:r>
      <w:r w:rsidRPr="00B95739">
        <w:rPr>
          <w:rFonts w:ascii="Times New Roman"/>
          <w:sz w:val="24"/>
          <w:szCs w:val="24"/>
        </w:rPr>
        <w:t>, which combines real evidence with human-provided information to create a composite record, typically treated as hearsay evidence.</w:t>
      </w:r>
    </w:p>
    <w:p w14:paraId="082A9969" w14:textId="77777777" w:rsidR="00B95739" w:rsidRPr="00B95739" w:rsidRDefault="00B95739" w:rsidP="00B95739">
      <w:pPr>
        <w:spacing w:line="240" w:lineRule="auto"/>
        <w:ind w:left="360"/>
        <w:jc w:val="both"/>
        <w:rPr>
          <w:rFonts w:ascii="Times New Roman"/>
          <w:sz w:val="24"/>
          <w:szCs w:val="24"/>
        </w:rPr>
      </w:pPr>
      <w:r w:rsidRPr="00B95739">
        <w:rPr>
          <w:rFonts w:ascii="Times New Roman"/>
          <w:i/>
          <w:iCs/>
          <w:sz w:val="24"/>
          <w:szCs w:val="24"/>
        </w:rPr>
        <w:t>Real evidence</w:t>
      </w:r>
      <w:r w:rsidRPr="00B95739">
        <w:rPr>
          <w:rFonts w:ascii="Times New Roman"/>
          <w:sz w:val="24"/>
          <w:szCs w:val="24"/>
        </w:rPr>
        <w:t xml:space="preserve"> is tangible information that the tribunal of fact can obtain through its senses,</w:t>
      </w:r>
      <w:r w:rsidRPr="00B95739">
        <w:rPr>
          <w:rStyle w:val="FootnoteReference"/>
          <w:rFonts w:ascii="Times New Roman"/>
          <w:sz w:val="24"/>
          <w:szCs w:val="24"/>
        </w:rPr>
        <w:footnoteReference w:id="12"/>
      </w:r>
      <w:r w:rsidRPr="00B95739">
        <w:rPr>
          <w:rFonts w:ascii="Times New Roman"/>
          <w:sz w:val="24"/>
          <w:szCs w:val="24"/>
        </w:rPr>
        <w:t xml:space="preserve"> such as a bank computer automatically calculating a customer's bank charges based on tariff, account transactions, and daily cleared credit balance. </w:t>
      </w:r>
      <w:r w:rsidRPr="00B95739">
        <w:rPr>
          <w:rFonts w:ascii="Times New Roman"/>
          <w:i/>
          <w:iCs/>
          <w:sz w:val="24"/>
          <w:szCs w:val="24"/>
        </w:rPr>
        <w:t>Hearsay evidence</w:t>
      </w:r>
      <w:r w:rsidRPr="00B95739">
        <w:rPr>
          <w:rFonts w:ascii="Times New Roman"/>
          <w:sz w:val="24"/>
          <w:szCs w:val="24"/>
        </w:rPr>
        <w:t xml:space="preserve">, on the other hand, is a combination of real evidence and human-provided information, such as individual cheques and paying-in entries. Lastly, </w:t>
      </w:r>
      <w:r w:rsidRPr="00B95739">
        <w:rPr>
          <w:rFonts w:ascii="Times New Roman"/>
          <w:i/>
          <w:iCs/>
          <w:sz w:val="24"/>
          <w:szCs w:val="24"/>
        </w:rPr>
        <w:t>derived evidence</w:t>
      </w:r>
      <w:r w:rsidRPr="00B95739">
        <w:rPr>
          <w:rFonts w:ascii="Times New Roman"/>
          <w:sz w:val="24"/>
          <w:szCs w:val="24"/>
        </w:rPr>
        <w:t xml:space="preserve"> is a combination of real and human-provided </w:t>
      </w:r>
      <w:r w:rsidRPr="00B95739">
        <w:rPr>
          <w:rFonts w:ascii="Times New Roman"/>
          <w:sz w:val="24"/>
          <w:szCs w:val="24"/>
        </w:rPr>
        <w:lastRenderedPageBreak/>
        <w:t>information, often treated as hearsay evidence, to create a composite record. An example is the daily balance column in a bank statement, which uses both real and hearsay evidence.</w:t>
      </w:r>
    </w:p>
    <w:p w14:paraId="654C133B" w14:textId="77777777" w:rsidR="00B95739" w:rsidRPr="00B95739" w:rsidRDefault="00B95739" w:rsidP="00B95739">
      <w:pPr>
        <w:spacing w:line="240" w:lineRule="auto"/>
        <w:ind w:left="360"/>
        <w:jc w:val="both"/>
        <w:rPr>
          <w:rFonts w:ascii="Times New Roman"/>
          <w:sz w:val="24"/>
          <w:szCs w:val="24"/>
        </w:rPr>
      </w:pPr>
      <w:r w:rsidRPr="00B95739">
        <w:rPr>
          <w:rFonts w:ascii="Times New Roman"/>
          <w:sz w:val="24"/>
          <w:szCs w:val="24"/>
        </w:rPr>
        <w:t>To investigate the admissibility of these types of evidence, it is important to understand the nature of the threshold requirements required to admit these types of evidence.</w:t>
      </w:r>
    </w:p>
    <w:p w14:paraId="328AA037" w14:textId="77777777" w:rsidR="00B95739" w:rsidRPr="00B95739" w:rsidRDefault="00B95739" w:rsidP="00B95739">
      <w:pPr>
        <w:pStyle w:val="ListParagraph"/>
        <w:numPr>
          <w:ilvl w:val="1"/>
          <w:numId w:val="11"/>
        </w:numPr>
        <w:spacing w:after="160" w:line="240" w:lineRule="auto"/>
        <w:jc w:val="both"/>
        <w:rPr>
          <w:rFonts w:ascii="Times New Roman"/>
          <w:b/>
          <w:bCs/>
          <w:sz w:val="24"/>
          <w:szCs w:val="24"/>
        </w:rPr>
      </w:pPr>
      <w:r w:rsidRPr="00B95739">
        <w:rPr>
          <w:rFonts w:ascii="Times New Roman"/>
          <w:b/>
          <w:bCs/>
          <w:sz w:val="24"/>
          <w:szCs w:val="24"/>
        </w:rPr>
        <w:t>Admissibility</w:t>
      </w:r>
    </w:p>
    <w:p w14:paraId="0B313966" w14:textId="77777777" w:rsidR="00B95739" w:rsidRPr="00B95739" w:rsidRDefault="00B95739" w:rsidP="00B95739">
      <w:pPr>
        <w:spacing w:line="240" w:lineRule="auto"/>
        <w:ind w:left="360"/>
        <w:jc w:val="both"/>
        <w:rPr>
          <w:rFonts w:ascii="Times New Roman"/>
          <w:sz w:val="24"/>
          <w:szCs w:val="24"/>
        </w:rPr>
      </w:pPr>
      <w:r w:rsidRPr="00B95739">
        <w:rPr>
          <w:rFonts w:ascii="Times New Roman"/>
          <w:sz w:val="24"/>
          <w:szCs w:val="24"/>
        </w:rPr>
        <w:t>This section looks at the admissibility of electronic evidence in court. Because computer-generated evidence is a relatively recent development, Indian law has yet to address it. Thus, while the emphasis is on the Indian Evidence Act, positions in the United Kingdom and the United States of America are also examined, and references to the UNCITRAL Model Law on Electronic Commerce are included.</w:t>
      </w:r>
      <w:r w:rsidRPr="00B95739">
        <w:rPr>
          <w:rStyle w:val="FootnoteReference"/>
          <w:rFonts w:ascii="Times New Roman"/>
          <w:sz w:val="24"/>
          <w:szCs w:val="24"/>
        </w:rPr>
        <w:footnoteReference w:id="13"/>
      </w:r>
    </w:p>
    <w:p w14:paraId="7A73A23E" w14:textId="77777777" w:rsidR="00B95739" w:rsidRPr="00B95739" w:rsidRDefault="00B95739" w:rsidP="00B95739">
      <w:pPr>
        <w:spacing w:line="240" w:lineRule="auto"/>
        <w:ind w:left="360"/>
        <w:jc w:val="both"/>
        <w:rPr>
          <w:rFonts w:ascii="Times New Roman"/>
          <w:sz w:val="24"/>
          <w:szCs w:val="24"/>
        </w:rPr>
      </w:pPr>
      <w:r w:rsidRPr="00B95739">
        <w:rPr>
          <w:rFonts w:ascii="Times New Roman"/>
          <w:sz w:val="24"/>
          <w:szCs w:val="24"/>
        </w:rPr>
        <w:t>Science and technology have advanced to the point where video conferencing equipment can now be set up in the courtroom. In that case, the magistrate would record or dictate evidence in open court. If that is done, the requirements of sections 274 and 275 of the CrPC, which require the magistrate to take evidence in writing or by dictation in open court, will be fully met. However, there is one disadvantage to using this method. Because the witness is not in court, there may be difficulties if he commits contempt of court or perjuries himself and it is immediately discovered that he has perjured himself. As a result, as a matter of procedure, evidence by video conferencing in open court should only be taken if the witness is in a country with an extradition treaty with India, and the loss is considered contempt of court, and perjury is also punished.</w:t>
      </w:r>
      <w:r w:rsidRPr="00B95739">
        <w:rPr>
          <w:rStyle w:val="FootnoteReference"/>
          <w:rFonts w:ascii="Times New Roman"/>
          <w:sz w:val="24"/>
          <w:szCs w:val="24"/>
        </w:rPr>
        <w:footnoteReference w:id="14"/>
      </w:r>
    </w:p>
    <w:p w14:paraId="41241A76" w14:textId="77777777" w:rsidR="00B95739" w:rsidRPr="00B95739" w:rsidRDefault="00B95739" w:rsidP="00B95739">
      <w:pPr>
        <w:pStyle w:val="ListParagraph"/>
        <w:numPr>
          <w:ilvl w:val="1"/>
          <w:numId w:val="11"/>
        </w:numPr>
        <w:spacing w:after="160" w:line="240" w:lineRule="auto"/>
        <w:jc w:val="both"/>
        <w:rPr>
          <w:rFonts w:ascii="Times New Roman"/>
          <w:b/>
          <w:bCs/>
          <w:sz w:val="24"/>
          <w:szCs w:val="24"/>
        </w:rPr>
      </w:pPr>
      <w:r w:rsidRPr="00B95739">
        <w:rPr>
          <w:rFonts w:ascii="Times New Roman"/>
          <w:b/>
          <w:bCs/>
          <w:sz w:val="24"/>
          <w:szCs w:val="24"/>
        </w:rPr>
        <w:t>Proof</w:t>
      </w:r>
    </w:p>
    <w:p w14:paraId="2117F71D" w14:textId="77777777" w:rsidR="00B95739" w:rsidRPr="00B95739" w:rsidRDefault="00B95739" w:rsidP="00B95739">
      <w:pPr>
        <w:spacing w:line="240" w:lineRule="auto"/>
        <w:ind w:left="360"/>
        <w:jc w:val="both"/>
        <w:rPr>
          <w:rFonts w:ascii="Times New Roman"/>
          <w:sz w:val="24"/>
          <w:szCs w:val="24"/>
        </w:rPr>
      </w:pPr>
      <w:r w:rsidRPr="00B95739">
        <w:rPr>
          <w:rFonts w:ascii="Times New Roman"/>
          <w:sz w:val="24"/>
          <w:szCs w:val="24"/>
        </w:rPr>
        <w:t>Now that the admissibility case has been established, the inquiry shifts to the issue of document proof. It is well established that only documents produced and proved by a witness in court can be considered evidence.</w:t>
      </w:r>
      <w:r w:rsidRPr="00B95739">
        <w:rPr>
          <w:rStyle w:val="FootnoteReference"/>
          <w:rFonts w:ascii="Times New Roman"/>
          <w:sz w:val="24"/>
          <w:szCs w:val="24"/>
        </w:rPr>
        <w:footnoteReference w:id="15"/>
      </w:r>
    </w:p>
    <w:p w14:paraId="2F6FC9A2" w14:textId="77777777" w:rsidR="00B95739" w:rsidRPr="00B95739" w:rsidRDefault="00B95739" w:rsidP="00B95739">
      <w:pPr>
        <w:spacing w:line="240" w:lineRule="auto"/>
        <w:ind w:left="360"/>
        <w:jc w:val="both"/>
        <w:rPr>
          <w:rFonts w:ascii="Times New Roman"/>
          <w:sz w:val="24"/>
          <w:szCs w:val="24"/>
        </w:rPr>
      </w:pPr>
      <w:r w:rsidRPr="00B95739">
        <w:rPr>
          <w:rFonts w:ascii="Times New Roman"/>
          <w:sz w:val="24"/>
          <w:szCs w:val="24"/>
        </w:rPr>
        <w:t>The question now revolves around the authenticity of the electronic evidence, specifically whether the electronic record is authentic or how one can ensure the integrity of the system that generated the evidence. In addition, is the aforementioned record to be considered primary or secondary evidence? Is the electronic record original or a copy? These questions are important when considering how evidence should be treated in a proceeding.</w:t>
      </w:r>
    </w:p>
    <w:p w14:paraId="6E972B3C" w14:textId="77777777" w:rsidR="00B95739" w:rsidRPr="00B95739" w:rsidRDefault="00B95739" w:rsidP="00B95739">
      <w:pPr>
        <w:pStyle w:val="ListParagraph"/>
        <w:numPr>
          <w:ilvl w:val="1"/>
          <w:numId w:val="11"/>
        </w:numPr>
        <w:spacing w:after="160" w:line="240" w:lineRule="auto"/>
        <w:jc w:val="both"/>
        <w:rPr>
          <w:rFonts w:ascii="Times New Roman"/>
          <w:b/>
          <w:bCs/>
          <w:sz w:val="24"/>
          <w:szCs w:val="24"/>
        </w:rPr>
      </w:pPr>
      <w:r w:rsidRPr="00B95739">
        <w:rPr>
          <w:rFonts w:ascii="Times New Roman"/>
          <w:b/>
          <w:bCs/>
          <w:sz w:val="24"/>
          <w:szCs w:val="24"/>
        </w:rPr>
        <w:t>Authenticity</w:t>
      </w:r>
    </w:p>
    <w:p w14:paraId="38627F67" w14:textId="77777777" w:rsidR="00B95739" w:rsidRPr="00B95739" w:rsidRDefault="00B95739" w:rsidP="00B95739">
      <w:pPr>
        <w:spacing w:line="240" w:lineRule="auto"/>
        <w:ind w:left="360"/>
        <w:jc w:val="both"/>
        <w:rPr>
          <w:rFonts w:ascii="Times New Roman"/>
          <w:sz w:val="24"/>
          <w:szCs w:val="24"/>
        </w:rPr>
      </w:pPr>
      <w:r w:rsidRPr="00B95739">
        <w:rPr>
          <w:rFonts w:ascii="Times New Roman"/>
          <w:sz w:val="24"/>
          <w:szCs w:val="24"/>
        </w:rPr>
        <w:t>A document's admissibility is one thing, but its probative value is quite another.</w:t>
      </w:r>
      <w:r w:rsidRPr="00B95739">
        <w:rPr>
          <w:rStyle w:val="FootnoteReference"/>
          <w:rFonts w:ascii="Times New Roman"/>
          <w:sz w:val="24"/>
          <w:szCs w:val="24"/>
        </w:rPr>
        <w:footnoteReference w:id="16"/>
      </w:r>
      <w:r w:rsidRPr="00B95739">
        <w:rPr>
          <w:rFonts w:ascii="Times New Roman"/>
          <w:sz w:val="24"/>
          <w:szCs w:val="24"/>
        </w:rPr>
        <w:t xml:space="preserve"> The traditional rationale for authenticating a document is to ensure that the document is what it claims to be to establish a link between it and an individual.</w:t>
      </w:r>
      <w:r w:rsidRPr="00B95739">
        <w:rPr>
          <w:rStyle w:val="FootnoteReference"/>
          <w:rFonts w:ascii="Times New Roman"/>
          <w:sz w:val="24"/>
          <w:szCs w:val="24"/>
        </w:rPr>
        <w:footnoteReference w:id="17"/>
      </w:r>
      <w:r w:rsidRPr="00B95739">
        <w:rPr>
          <w:rFonts w:ascii="Times New Roman"/>
          <w:sz w:val="24"/>
          <w:szCs w:val="24"/>
        </w:rPr>
        <w:t xml:space="preserve"> An example of authentication is the establishment of a link between a monthly computer-generated summary of account activity and the corresponding customer.</w:t>
      </w:r>
      <w:r w:rsidRPr="00B95739">
        <w:rPr>
          <w:rStyle w:val="FootnoteReference"/>
          <w:rFonts w:ascii="Times New Roman"/>
          <w:sz w:val="24"/>
          <w:szCs w:val="24"/>
        </w:rPr>
        <w:footnoteReference w:id="18"/>
      </w:r>
      <w:r w:rsidRPr="00B95739">
        <w:rPr>
          <w:rFonts w:ascii="Times New Roman"/>
          <w:sz w:val="24"/>
          <w:szCs w:val="24"/>
        </w:rPr>
        <w:t xml:space="preserve"> Before the summary of the account can be considered relevant to a </w:t>
      </w:r>
      <w:r w:rsidRPr="00B95739">
        <w:rPr>
          <w:rFonts w:ascii="Times New Roman"/>
          <w:sz w:val="24"/>
          <w:szCs w:val="24"/>
        </w:rPr>
        <w:lastRenderedPageBreak/>
        <w:t>legal issue, it must be demonstrated that it is an authentic statement of transactions between the customer and the plaintiff.</w:t>
      </w:r>
      <w:r w:rsidRPr="00B95739">
        <w:rPr>
          <w:rStyle w:val="FootnoteReference"/>
          <w:rFonts w:ascii="Times New Roman"/>
          <w:sz w:val="24"/>
          <w:szCs w:val="24"/>
        </w:rPr>
        <w:footnoteReference w:id="19"/>
      </w:r>
      <w:r w:rsidRPr="00B95739">
        <w:rPr>
          <w:rFonts w:ascii="Times New Roman"/>
          <w:sz w:val="24"/>
          <w:szCs w:val="24"/>
        </w:rPr>
        <w:t xml:space="preserve"> For the document to carry any evidential weight and conviction, it must be proven to be genuine. This can be accomplished by identifying the person to whom the document is addressed. Everyone who reads the writing can now trace it back to its issuer and signer and determine the text's origins beyond a reasonable doubt. Thus, a signature can be used to identify a person and link them to the content of a document.</w:t>
      </w:r>
    </w:p>
    <w:p w14:paraId="35BE6DC2" w14:textId="77777777" w:rsidR="00B95739" w:rsidRPr="00B95739" w:rsidRDefault="00B95739" w:rsidP="00B95739">
      <w:pPr>
        <w:spacing w:line="240" w:lineRule="auto"/>
        <w:ind w:left="360"/>
        <w:jc w:val="both"/>
        <w:rPr>
          <w:rFonts w:ascii="Times New Roman"/>
          <w:sz w:val="24"/>
          <w:szCs w:val="24"/>
        </w:rPr>
      </w:pPr>
      <w:r w:rsidRPr="00B95739">
        <w:rPr>
          <w:rFonts w:ascii="Times New Roman"/>
          <w:sz w:val="24"/>
          <w:szCs w:val="24"/>
        </w:rPr>
        <w:t>Nowadays, it is common in legal literature to state that handwritten signatures and paper documents have been surpassed by technological advances. Every signature can be perfectly reproduced and copied innumerable times using modern instruments such as a scanner and plotter. The future of subscription will be a digital signature system, albeit with some technical cautions and a higher level of security.</w:t>
      </w:r>
    </w:p>
    <w:p w14:paraId="65856F0F" w14:textId="77777777" w:rsidR="00B95739" w:rsidRPr="00B95739" w:rsidRDefault="00B95739" w:rsidP="00B95739">
      <w:pPr>
        <w:pStyle w:val="ListParagraph"/>
        <w:numPr>
          <w:ilvl w:val="1"/>
          <w:numId w:val="11"/>
        </w:numPr>
        <w:spacing w:after="160" w:line="240" w:lineRule="auto"/>
        <w:jc w:val="both"/>
        <w:rPr>
          <w:rFonts w:ascii="Times New Roman"/>
          <w:b/>
          <w:bCs/>
          <w:sz w:val="24"/>
          <w:szCs w:val="24"/>
        </w:rPr>
      </w:pPr>
      <w:r w:rsidRPr="00B95739">
        <w:rPr>
          <w:rFonts w:ascii="Times New Roman"/>
          <w:b/>
          <w:bCs/>
          <w:sz w:val="24"/>
          <w:szCs w:val="24"/>
        </w:rPr>
        <w:t>Electronic Signature</w:t>
      </w:r>
    </w:p>
    <w:p w14:paraId="4B028C82" w14:textId="77777777" w:rsidR="00B95739" w:rsidRPr="00B95739" w:rsidRDefault="00B95739" w:rsidP="00B95739">
      <w:pPr>
        <w:spacing w:line="240" w:lineRule="auto"/>
        <w:ind w:left="360"/>
        <w:jc w:val="both"/>
        <w:rPr>
          <w:rFonts w:ascii="Times New Roman"/>
          <w:sz w:val="24"/>
          <w:szCs w:val="24"/>
        </w:rPr>
      </w:pPr>
      <w:r w:rsidRPr="00B95739">
        <w:rPr>
          <w:rFonts w:ascii="Times New Roman"/>
          <w:sz w:val="24"/>
          <w:szCs w:val="24"/>
        </w:rPr>
        <w:t xml:space="preserve">Electronic signatures, a form of digital signature, gained popularity due to advancements in technology. These signatures are not based on written or embossed statements but are the result of encryption applied to specific data. Countries like the USA, Singapore, Malaysia, and Germany were among the first to pass laws addressing </w:t>
      </w:r>
      <w:r w:rsidRPr="00B95739">
        <w:rPr>
          <w:rFonts w:ascii="Times New Roman"/>
          <w:i/>
          <w:iCs/>
          <w:sz w:val="24"/>
          <w:szCs w:val="24"/>
        </w:rPr>
        <w:t>Electronic Signatures</w:t>
      </w:r>
      <w:r w:rsidRPr="00B95739">
        <w:rPr>
          <w:rFonts w:ascii="Times New Roman"/>
          <w:sz w:val="24"/>
          <w:szCs w:val="24"/>
        </w:rPr>
        <w:t>.</w:t>
      </w:r>
      <w:r w:rsidRPr="00B95739">
        <w:rPr>
          <w:rStyle w:val="FootnoteReference"/>
          <w:rFonts w:ascii="Times New Roman"/>
          <w:sz w:val="24"/>
          <w:szCs w:val="24"/>
        </w:rPr>
        <w:footnoteReference w:id="20"/>
      </w:r>
      <w:r w:rsidRPr="00B95739">
        <w:rPr>
          <w:rFonts w:ascii="Times New Roman"/>
          <w:sz w:val="24"/>
          <w:szCs w:val="24"/>
        </w:rPr>
        <w:t xml:space="preserve"> The Indian IT Act passed in 2000, established a public-key infrastructure for digital signatures using asymmetric key encryption and granted legal validity.</w:t>
      </w:r>
    </w:p>
    <w:p w14:paraId="3BD52CF2" w14:textId="77777777" w:rsidR="00B95739" w:rsidRPr="00B95739" w:rsidRDefault="00B95739" w:rsidP="00B95739">
      <w:pPr>
        <w:pStyle w:val="ListParagraph"/>
        <w:numPr>
          <w:ilvl w:val="1"/>
          <w:numId w:val="11"/>
        </w:numPr>
        <w:spacing w:after="160" w:line="240" w:lineRule="auto"/>
        <w:jc w:val="both"/>
        <w:rPr>
          <w:rFonts w:ascii="Times New Roman"/>
          <w:b/>
          <w:bCs/>
          <w:sz w:val="24"/>
          <w:szCs w:val="24"/>
        </w:rPr>
      </w:pPr>
      <w:r w:rsidRPr="00B95739">
        <w:rPr>
          <w:rFonts w:ascii="Times New Roman"/>
          <w:b/>
          <w:bCs/>
          <w:sz w:val="24"/>
          <w:szCs w:val="24"/>
        </w:rPr>
        <w:t>Best Evidence Rule</w:t>
      </w:r>
    </w:p>
    <w:p w14:paraId="7C2A11F5" w14:textId="77777777" w:rsidR="00B95739" w:rsidRPr="00B95739" w:rsidRDefault="00B95739" w:rsidP="00B95739">
      <w:pPr>
        <w:spacing w:line="240" w:lineRule="auto"/>
        <w:ind w:left="360"/>
        <w:jc w:val="both"/>
        <w:rPr>
          <w:rFonts w:ascii="Times New Roman"/>
          <w:sz w:val="24"/>
          <w:szCs w:val="24"/>
        </w:rPr>
      </w:pPr>
      <w:r w:rsidRPr="00B95739">
        <w:rPr>
          <w:rFonts w:ascii="Times New Roman"/>
          <w:sz w:val="24"/>
          <w:szCs w:val="24"/>
        </w:rPr>
        <w:t>The Indian Evidence Act, amended by the IT Act, allows electronic documents to be considered primary evidence</w:t>
      </w:r>
      <w:r w:rsidRPr="00B95739">
        <w:rPr>
          <w:rStyle w:val="FootnoteReference"/>
          <w:rFonts w:ascii="Times New Roman"/>
          <w:sz w:val="24"/>
          <w:szCs w:val="24"/>
        </w:rPr>
        <w:footnoteReference w:id="21"/>
      </w:r>
      <w:r w:rsidRPr="00B95739">
        <w:rPr>
          <w:rFonts w:ascii="Times New Roman"/>
          <w:sz w:val="24"/>
          <w:szCs w:val="24"/>
        </w:rPr>
        <w:t xml:space="preserve"> if they were produced during regular use, routinely fed into the computer during normal activities, and the computer was operational for most of the period. This provision resolves the issue of primary versus secondary evidence</w:t>
      </w:r>
      <w:r w:rsidRPr="00B95739">
        <w:rPr>
          <w:rStyle w:val="FootnoteReference"/>
          <w:rFonts w:ascii="Times New Roman"/>
          <w:sz w:val="24"/>
          <w:szCs w:val="24"/>
        </w:rPr>
        <w:footnoteReference w:id="22"/>
      </w:r>
      <w:r w:rsidRPr="00B95739">
        <w:rPr>
          <w:rFonts w:ascii="Times New Roman"/>
          <w:sz w:val="24"/>
          <w:szCs w:val="24"/>
        </w:rPr>
        <w:t xml:space="preserve"> in electronic records, requiring the contents of the output to be authentic and have reasonable grounds to believe they are authentic. The destruction of originals could lead to court sympathy for electronic images, raising questions about the Best Evidence Rule in common law of evidence. The IT Act also ensures that the computer output containing the information was produced during regular use, routinely fed into the computer during normal activities, and the computer was operational for most of the period.</w:t>
      </w:r>
    </w:p>
    <w:p w14:paraId="74FFE03B" w14:textId="438163F2" w:rsidR="00B95739" w:rsidRPr="00B95739" w:rsidRDefault="00B95739" w:rsidP="00B95739">
      <w:pPr>
        <w:spacing w:line="240" w:lineRule="auto"/>
        <w:jc w:val="center"/>
        <w:rPr>
          <w:rFonts w:ascii="Times New Roman"/>
        </w:rPr>
      </w:pPr>
      <w:r w:rsidRPr="00B95739">
        <w:rPr>
          <w:rFonts w:ascii="Times New Roman"/>
          <w:b/>
          <w:bCs/>
        </w:rPr>
        <w:t xml:space="preserve">V.  </w:t>
      </w:r>
      <w:r w:rsidRPr="00B95739">
        <w:rPr>
          <w:rFonts w:ascii="Times New Roman"/>
          <w:b/>
          <w:bCs/>
        </w:rPr>
        <w:t>CASE STUDY</w:t>
      </w:r>
    </w:p>
    <w:p w14:paraId="174A3DEF" w14:textId="77777777" w:rsidR="00B95739" w:rsidRPr="00B95739" w:rsidRDefault="00B95739" w:rsidP="00B95739">
      <w:pPr>
        <w:spacing w:line="240" w:lineRule="auto"/>
        <w:jc w:val="both"/>
        <w:rPr>
          <w:rFonts w:ascii="Times New Roman"/>
          <w:sz w:val="24"/>
          <w:szCs w:val="24"/>
        </w:rPr>
      </w:pPr>
      <w:bookmarkStart w:id="0" w:name="_Hlk149497399"/>
      <w:r w:rsidRPr="00B95739">
        <w:rPr>
          <w:rFonts w:ascii="Times New Roman"/>
          <w:sz w:val="24"/>
          <w:szCs w:val="24"/>
        </w:rPr>
        <w:t>Reserve Bank of India issued a circulation on 6</w:t>
      </w:r>
      <w:r w:rsidRPr="00B95739">
        <w:rPr>
          <w:rFonts w:ascii="Times New Roman"/>
          <w:sz w:val="24"/>
          <w:szCs w:val="24"/>
          <w:vertAlign w:val="superscript"/>
        </w:rPr>
        <w:t>th</w:t>
      </w:r>
      <w:r w:rsidRPr="00B95739">
        <w:rPr>
          <w:rFonts w:ascii="Times New Roman"/>
          <w:sz w:val="24"/>
          <w:szCs w:val="24"/>
        </w:rPr>
        <w:t xml:space="preserve"> April institution India on Development and Regulatory policies on 6</w:t>
      </w:r>
      <w:r w:rsidRPr="00B95739">
        <w:rPr>
          <w:rFonts w:ascii="Times New Roman"/>
          <w:sz w:val="24"/>
          <w:szCs w:val="24"/>
          <w:vertAlign w:val="superscript"/>
        </w:rPr>
        <w:t>th</w:t>
      </w:r>
      <w:r w:rsidRPr="00B95739">
        <w:rPr>
          <w:rFonts w:ascii="Times New Roman"/>
          <w:sz w:val="24"/>
          <w:szCs w:val="24"/>
        </w:rPr>
        <w:t xml:space="preserve"> April 2018 issued a statement policy to exercise the authority granted by Sections 45 JA and 45L of the RBI Act, 1934, Section 35A read in conjunction with Section 36 (1)(a), and Section 56 of the Banking Regulations Act, 1946. Paragraph 13 of this circular prohibits banks and other entities under RBI from providing the service of virtual currency. This virtual currency generates hacking and brings significant loss. This situation leads to money laundering and terrorist financing. This prohibition put an end to the business of virtual currency. There is no </w:t>
      </w:r>
      <w:r w:rsidRPr="00B95739">
        <w:rPr>
          <w:rFonts w:ascii="Times New Roman"/>
          <w:sz w:val="24"/>
          <w:szCs w:val="24"/>
        </w:rPr>
        <w:lastRenderedPageBreak/>
        <w:t xml:space="preserve">restriction on the dealing of virtual currency in India. All banks and entities under RBI also stopped accepting any virtual currency in exchange for the purchase of virtual currency. </w:t>
      </w:r>
    </w:p>
    <w:p w14:paraId="1636AF1A" w14:textId="77777777" w:rsidR="00B95739" w:rsidRPr="00B95739" w:rsidRDefault="00B95739" w:rsidP="00B95739">
      <w:pPr>
        <w:spacing w:line="240" w:lineRule="auto"/>
        <w:jc w:val="both"/>
        <w:rPr>
          <w:rFonts w:ascii="Times New Roman"/>
          <w:sz w:val="24"/>
          <w:szCs w:val="24"/>
        </w:rPr>
      </w:pPr>
      <w:r w:rsidRPr="00B95739">
        <w:rPr>
          <w:rFonts w:ascii="Times New Roman"/>
          <w:sz w:val="24"/>
          <w:szCs w:val="24"/>
        </w:rPr>
        <w:t>The Supreme Court turned the prohibition and stated that there is a good impact of the trading of cryptocurrency in the market. The Inter-Ministerial Committee recommended the Crypto-token Regulation Bill 2018. But this is rejected as an extraordinary apparatus. The court specified that virtual currency is not considered normal cash. Under certain circumstances, it worked as cash. So, RBI needs to control these virtual currencies under the monetary system. This kind of circulation which is issued by RBI is illegal and unenforceable</w:t>
      </w:r>
      <w:r w:rsidRPr="00B95739">
        <w:rPr>
          <w:rStyle w:val="FootnoteReference"/>
          <w:rFonts w:ascii="Times New Roman"/>
          <w:sz w:val="24"/>
          <w:szCs w:val="24"/>
        </w:rPr>
        <w:footnoteReference w:id="23"/>
      </w:r>
      <w:r w:rsidRPr="00B95739">
        <w:rPr>
          <w:rFonts w:ascii="Times New Roman"/>
          <w:sz w:val="24"/>
          <w:szCs w:val="24"/>
        </w:rPr>
        <w:t xml:space="preserve">.    </w:t>
      </w:r>
    </w:p>
    <w:p w14:paraId="4AE8318A" w14:textId="77777777" w:rsidR="00B95739" w:rsidRPr="00B95739" w:rsidRDefault="00B95739" w:rsidP="00B95739">
      <w:pPr>
        <w:spacing w:line="240" w:lineRule="auto"/>
        <w:jc w:val="both"/>
        <w:rPr>
          <w:rFonts w:ascii="Times New Roman"/>
          <w:sz w:val="24"/>
          <w:szCs w:val="24"/>
        </w:rPr>
      </w:pPr>
      <w:r w:rsidRPr="00B95739">
        <w:rPr>
          <w:rFonts w:ascii="Times New Roman"/>
          <w:sz w:val="24"/>
          <w:szCs w:val="24"/>
        </w:rPr>
        <w:t xml:space="preserve">In the case of Hitesh Bhatia V. Kumar Vivekanand, the plaintiff has a business dealing in bitcoins. He takes the identity proof of every business purpose. He brought an allegation against the accused (Mr. Kumar Vivekanand), that he purchased bitcoins. The transaction happened through an online portal such as ‘Binance.’ That Bitcoin transaction was considered illegal. Due to this, the plaintiff’s account had been frozen. The plaintiff asked about the legality of money that was paid for purchasing the Bitcoin. The defendant admitted that all payments were ‘scams’ and he refused to return all the Bitcoins which was considered as cheating. The plaintiff submitted the allegations before the Station House Officer and the Data Protection Officer but they did not take any action. Considering this, the plaintiff used the Code of Criminal Procedure (Cr.P.C.) u/s.156(3). The investigation officer submitted that he received money from three different accounts in this transaction. A resident of Nagpur who filed a fraud complaint under sections 66C and 67 of the Information and Technology Act, 2000, contributed Rs. 6,00,000 of the total amounts. The plaintiff credited an additional Rs. 3,00,000 from the defendant. He received that amount from a person who resides in Telangana. He also registered an FIR for alleging cyber fraud. The remaining amount was transferred from the accused’s account. </w:t>
      </w:r>
    </w:p>
    <w:p w14:paraId="48C164B5" w14:textId="77777777" w:rsidR="00B95739" w:rsidRPr="00B95739" w:rsidRDefault="00B95739" w:rsidP="00B95739">
      <w:pPr>
        <w:spacing w:line="240" w:lineRule="auto"/>
        <w:jc w:val="both"/>
        <w:rPr>
          <w:rFonts w:ascii="Times New Roman"/>
          <w:sz w:val="24"/>
          <w:szCs w:val="24"/>
        </w:rPr>
      </w:pPr>
      <w:r w:rsidRPr="00B95739">
        <w:rPr>
          <w:rFonts w:ascii="Times New Roman"/>
          <w:sz w:val="24"/>
          <w:szCs w:val="24"/>
        </w:rPr>
        <w:t>The court emphasized that the plaintiff submitted the screenshot of the WhatsApp conversation between them. The accused sent money intentionally through a prima facie account and had hidden the illegality of money from the plaintiff and transferred it against the sale of Bitcoin. He tried to encash it from the ‘safe heaven’ countries, where regulation is not proper. Due to this plaintiff suffered a wrongful loss. The Court held that a cognizable offense was committed under sections 403, 411, and 420 of the Indian penal code</w:t>
      </w:r>
      <w:r w:rsidRPr="00B95739">
        <w:rPr>
          <w:rStyle w:val="FootnoteReference"/>
          <w:rFonts w:ascii="Times New Roman"/>
          <w:sz w:val="24"/>
          <w:szCs w:val="24"/>
        </w:rPr>
        <w:footnoteReference w:id="24"/>
      </w:r>
      <w:r w:rsidRPr="00B95739">
        <w:rPr>
          <w:rFonts w:ascii="Times New Roman"/>
          <w:sz w:val="24"/>
          <w:szCs w:val="24"/>
        </w:rPr>
        <w:t xml:space="preserve">. </w:t>
      </w:r>
    </w:p>
    <w:bookmarkEnd w:id="0"/>
    <w:p w14:paraId="3E414AF9" w14:textId="08C48226" w:rsidR="00B95739" w:rsidRPr="00B95739" w:rsidRDefault="00B95739" w:rsidP="00B95739">
      <w:pPr>
        <w:spacing w:line="240" w:lineRule="auto"/>
        <w:jc w:val="center"/>
        <w:rPr>
          <w:rFonts w:ascii="Times New Roman"/>
          <w:b/>
          <w:bCs/>
        </w:rPr>
      </w:pPr>
      <w:r w:rsidRPr="00B95739">
        <w:rPr>
          <w:rFonts w:ascii="Times New Roman"/>
          <w:b/>
          <w:bCs/>
        </w:rPr>
        <w:t xml:space="preserve">VI.  </w:t>
      </w:r>
      <w:r w:rsidRPr="00B95739">
        <w:rPr>
          <w:rFonts w:ascii="Times New Roman"/>
          <w:b/>
          <w:bCs/>
        </w:rPr>
        <w:t>LEGAL FRAMEWORK FOR CYBERCRIMES</w:t>
      </w:r>
    </w:p>
    <w:p w14:paraId="69E5F66A" w14:textId="77777777" w:rsidR="00B95739" w:rsidRPr="00B95739" w:rsidRDefault="00B95739" w:rsidP="00B95739">
      <w:pPr>
        <w:spacing w:line="240" w:lineRule="auto"/>
        <w:jc w:val="both"/>
        <w:rPr>
          <w:rFonts w:ascii="Times New Roman"/>
          <w:sz w:val="24"/>
          <w:szCs w:val="24"/>
        </w:rPr>
      </w:pPr>
      <w:r w:rsidRPr="00B95739">
        <w:rPr>
          <w:rFonts w:ascii="Times New Roman"/>
          <w:sz w:val="24"/>
          <w:szCs w:val="24"/>
        </w:rPr>
        <w:t>To combat cyber laundering and related cybercrimes, Indian authorities, have implemented cybersecurity measures, established financial regulations, and developed specialized units for cybercrime investigation. It's critical to keep up with the most recent cybersecurity risks and recommended practices to safeguard people and businesses against financial crimes such as cyber laundering. Some of the cybersecurity measures and initiatives that were taken in place are as follows: -</w:t>
      </w:r>
    </w:p>
    <w:p w14:paraId="362B370C" w14:textId="77777777" w:rsidR="00B95739" w:rsidRPr="00B95739" w:rsidRDefault="00B95739" w:rsidP="00B95739">
      <w:pPr>
        <w:pStyle w:val="ListParagraph"/>
        <w:numPr>
          <w:ilvl w:val="0"/>
          <w:numId w:val="10"/>
        </w:numPr>
        <w:spacing w:after="160" w:line="240" w:lineRule="auto"/>
        <w:jc w:val="both"/>
        <w:rPr>
          <w:rFonts w:ascii="Times New Roman"/>
          <w:sz w:val="24"/>
          <w:szCs w:val="24"/>
        </w:rPr>
      </w:pPr>
      <w:r w:rsidRPr="00B95739">
        <w:rPr>
          <w:rFonts w:ascii="Times New Roman"/>
          <w:i/>
          <w:iCs/>
          <w:sz w:val="24"/>
          <w:szCs w:val="24"/>
          <w:u w:val="single"/>
        </w:rPr>
        <w:t>National Cyber Security Policy (NCSP):</w:t>
      </w:r>
      <w:r w:rsidRPr="00B95739">
        <w:rPr>
          <w:rFonts w:ascii="Times New Roman"/>
          <w:sz w:val="24"/>
          <w:szCs w:val="24"/>
        </w:rPr>
        <w:t xml:space="preserve"> It aims to create a secure and resilient cyberspace environment. It outlines strategies for enhancing cybersecurity, protecting critical infrastructure, and promoting cybersecurity awareness and education.</w:t>
      </w:r>
    </w:p>
    <w:p w14:paraId="32EB8879" w14:textId="77777777" w:rsidR="00B95739" w:rsidRPr="00B95739" w:rsidRDefault="00B95739" w:rsidP="00B95739">
      <w:pPr>
        <w:pStyle w:val="ListParagraph"/>
        <w:numPr>
          <w:ilvl w:val="0"/>
          <w:numId w:val="10"/>
        </w:numPr>
        <w:spacing w:after="160" w:line="240" w:lineRule="auto"/>
        <w:jc w:val="both"/>
        <w:rPr>
          <w:rFonts w:ascii="Times New Roman"/>
          <w:sz w:val="24"/>
          <w:szCs w:val="24"/>
        </w:rPr>
      </w:pPr>
      <w:r w:rsidRPr="00B95739">
        <w:rPr>
          <w:rFonts w:ascii="Times New Roman"/>
          <w:i/>
          <w:iCs/>
          <w:sz w:val="24"/>
          <w:szCs w:val="24"/>
          <w:u w:val="single"/>
        </w:rPr>
        <w:lastRenderedPageBreak/>
        <w:t>Indian Computer Emergency Response Team (CERT-In):</w:t>
      </w:r>
      <w:r w:rsidRPr="00B95739">
        <w:rPr>
          <w:rFonts w:ascii="Times New Roman"/>
          <w:sz w:val="24"/>
          <w:szCs w:val="24"/>
        </w:rPr>
        <w:t xml:space="preserve"> The national nodal organization in charge of handling cybersecurity events and providing early warning, incident detection, and response services. It also issues guidelines and advisories to various sectors to enhance cybersecurity.</w:t>
      </w:r>
    </w:p>
    <w:p w14:paraId="10DF5DE1" w14:textId="77777777" w:rsidR="00B95739" w:rsidRPr="00B95739" w:rsidRDefault="00B95739" w:rsidP="00B95739">
      <w:pPr>
        <w:pStyle w:val="ListParagraph"/>
        <w:numPr>
          <w:ilvl w:val="0"/>
          <w:numId w:val="10"/>
        </w:numPr>
        <w:spacing w:after="160" w:line="240" w:lineRule="auto"/>
        <w:jc w:val="both"/>
        <w:rPr>
          <w:rFonts w:ascii="Times New Roman"/>
          <w:sz w:val="24"/>
          <w:szCs w:val="24"/>
        </w:rPr>
      </w:pPr>
      <w:r w:rsidRPr="00B95739">
        <w:rPr>
          <w:rFonts w:ascii="Times New Roman"/>
          <w:i/>
          <w:iCs/>
          <w:sz w:val="24"/>
          <w:szCs w:val="24"/>
          <w:u w:val="single"/>
        </w:rPr>
        <w:t>Cyber Coordination Centre (CyCord):</w:t>
      </w:r>
      <w:r w:rsidRPr="00B95739">
        <w:rPr>
          <w:rFonts w:ascii="Times New Roman"/>
          <w:sz w:val="24"/>
          <w:szCs w:val="24"/>
        </w:rPr>
        <w:t xml:space="preserve"> The Indian government established CyCord to coordinate responses to cyber threats and incidents across various government agencies and departments.</w:t>
      </w:r>
    </w:p>
    <w:p w14:paraId="642144FF" w14:textId="77777777" w:rsidR="00B95739" w:rsidRPr="00B95739" w:rsidRDefault="00B95739" w:rsidP="00B95739">
      <w:pPr>
        <w:pStyle w:val="ListParagraph"/>
        <w:numPr>
          <w:ilvl w:val="0"/>
          <w:numId w:val="10"/>
        </w:numPr>
        <w:spacing w:after="160" w:line="240" w:lineRule="auto"/>
        <w:jc w:val="both"/>
        <w:rPr>
          <w:rFonts w:ascii="Times New Roman"/>
          <w:sz w:val="24"/>
          <w:szCs w:val="24"/>
        </w:rPr>
      </w:pPr>
      <w:r w:rsidRPr="00B95739">
        <w:rPr>
          <w:rFonts w:ascii="Times New Roman"/>
          <w:i/>
          <w:iCs/>
          <w:sz w:val="24"/>
          <w:szCs w:val="24"/>
          <w:u w:val="single"/>
        </w:rPr>
        <w:t>Data Protection Laws:</w:t>
      </w:r>
      <w:r w:rsidRPr="00B95739">
        <w:rPr>
          <w:rFonts w:ascii="Times New Roman"/>
          <w:sz w:val="24"/>
          <w:szCs w:val="24"/>
        </w:rPr>
        <w:t xml:space="preserve"> This is an effort to improve data security and privacy and control the processing of personal data, India introduced the Personal Data Protection Bill.</w:t>
      </w:r>
    </w:p>
    <w:p w14:paraId="6B60D6AE" w14:textId="77777777" w:rsidR="00B95739" w:rsidRPr="00B95739" w:rsidRDefault="00B95739" w:rsidP="00B95739">
      <w:pPr>
        <w:pStyle w:val="ListParagraph"/>
        <w:numPr>
          <w:ilvl w:val="0"/>
          <w:numId w:val="10"/>
        </w:numPr>
        <w:spacing w:after="160" w:line="240" w:lineRule="auto"/>
        <w:jc w:val="both"/>
        <w:rPr>
          <w:rFonts w:ascii="Times New Roman"/>
          <w:sz w:val="24"/>
          <w:szCs w:val="24"/>
        </w:rPr>
      </w:pPr>
      <w:r w:rsidRPr="00B95739">
        <w:rPr>
          <w:rFonts w:ascii="Times New Roman"/>
          <w:i/>
          <w:iCs/>
          <w:sz w:val="24"/>
          <w:szCs w:val="24"/>
          <w:u w:val="single"/>
        </w:rPr>
        <w:t>National Critical Information Infrastructure Protection Centre (NCIIPC):</w:t>
      </w:r>
      <w:r w:rsidRPr="00B95739">
        <w:rPr>
          <w:rFonts w:ascii="Times New Roman"/>
          <w:sz w:val="24"/>
          <w:szCs w:val="24"/>
        </w:rPr>
        <w:t xml:space="preserve"> Its main goal is to defend against cyber threats and attacks on the critical information infrastructure (CII) sectors, which include finance, energy, and transportation.</w:t>
      </w:r>
    </w:p>
    <w:p w14:paraId="7D18CE90" w14:textId="77777777" w:rsidR="00B95739" w:rsidRPr="00B95739" w:rsidRDefault="00B95739" w:rsidP="00B95739">
      <w:pPr>
        <w:pStyle w:val="ListParagraph"/>
        <w:numPr>
          <w:ilvl w:val="0"/>
          <w:numId w:val="10"/>
        </w:numPr>
        <w:spacing w:after="160" w:line="240" w:lineRule="auto"/>
        <w:jc w:val="both"/>
        <w:rPr>
          <w:rFonts w:ascii="Times New Roman"/>
          <w:sz w:val="24"/>
          <w:szCs w:val="24"/>
        </w:rPr>
      </w:pPr>
      <w:r w:rsidRPr="00B95739">
        <w:rPr>
          <w:rFonts w:ascii="Times New Roman"/>
          <w:i/>
          <w:iCs/>
          <w:sz w:val="24"/>
          <w:szCs w:val="24"/>
          <w:u w:val="single"/>
        </w:rPr>
        <w:t>Sectoral Computer Emergency Response Teams (CERTs):</w:t>
      </w:r>
      <w:r w:rsidRPr="00B95739">
        <w:rPr>
          <w:rFonts w:ascii="Times New Roman"/>
          <w:sz w:val="24"/>
          <w:szCs w:val="24"/>
        </w:rPr>
        <w:t xml:space="preserve"> Various sectors, including banking, power, and telecommunications, have their sectoral CERTs to monitor and respond to sector-specific cyber threats.</w:t>
      </w:r>
    </w:p>
    <w:p w14:paraId="3BB9662B" w14:textId="77777777" w:rsidR="00B95739" w:rsidRPr="00B95739" w:rsidRDefault="00B95739" w:rsidP="00B95739">
      <w:pPr>
        <w:spacing w:line="240" w:lineRule="auto"/>
        <w:jc w:val="both"/>
        <w:rPr>
          <w:rFonts w:ascii="Times New Roman"/>
          <w:sz w:val="24"/>
          <w:szCs w:val="24"/>
        </w:rPr>
      </w:pPr>
      <w:r w:rsidRPr="00B95739">
        <w:rPr>
          <w:rFonts w:ascii="Times New Roman"/>
          <w:sz w:val="24"/>
          <w:szCs w:val="24"/>
        </w:rPr>
        <w:t>In addition to that, the Indian Government took initiatives to spread awareness of Cyber Laundering such as the</w:t>
      </w:r>
    </w:p>
    <w:p w14:paraId="52916333" w14:textId="77777777" w:rsidR="00B95739" w:rsidRPr="00B95739" w:rsidRDefault="00B95739" w:rsidP="00B95739">
      <w:pPr>
        <w:spacing w:line="240" w:lineRule="auto"/>
        <w:jc w:val="both"/>
        <w:rPr>
          <w:rFonts w:ascii="Times New Roman"/>
          <w:sz w:val="24"/>
          <w:szCs w:val="24"/>
        </w:rPr>
      </w:pPr>
      <w:r w:rsidRPr="00B95739">
        <w:rPr>
          <w:rFonts w:ascii="Times New Roman"/>
          <w:sz w:val="24"/>
          <w:szCs w:val="24"/>
        </w:rPr>
        <w:t xml:space="preserve"> </w:t>
      </w:r>
      <w:r w:rsidRPr="00B95739">
        <w:rPr>
          <w:rFonts w:ascii="Times New Roman"/>
          <w:i/>
          <w:iCs/>
          <w:sz w:val="24"/>
          <w:szCs w:val="24"/>
          <w:u w:val="single"/>
        </w:rPr>
        <w:t xml:space="preserve">Information Security Education and Awareness (ISEA) </w:t>
      </w:r>
      <w:r w:rsidRPr="00B95739">
        <w:rPr>
          <w:rFonts w:ascii="Times New Roman"/>
          <w:i/>
          <w:iCs/>
          <w:sz w:val="24"/>
          <w:szCs w:val="24"/>
        </w:rPr>
        <w:t xml:space="preserve">Program </w:t>
      </w:r>
      <w:r w:rsidRPr="00B95739">
        <w:rPr>
          <w:rFonts w:ascii="Times New Roman"/>
          <w:sz w:val="24"/>
          <w:szCs w:val="24"/>
        </w:rPr>
        <w:t xml:space="preserve">which focuses on raising cybersecurity awareness and providing training to individuals, organizations, and government personnel. </w:t>
      </w:r>
    </w:p>
    <w:p w14:paraId="2E9784BA" w14:textId="77777777" w:rsidR="00B95739" w:rsidRPr="00B95739" w:rsidRDefault="00B95739" w:rsidP="00B95739">
      <w:pPr>
        <w:spacing w:line="240" w:lineRule="auto"/>
        <w:jc w:val="both"/>
        <w:rPr>
          <w:rFonts w:ascii="Times New Roman"/>
          <w:sz w:val="24"/>
          <w:szCs w:val="24"/>
        </w:rPr>
      </w:pPr>
      <w:r w:rsidRPr="00B95739">
        <w:rPr>
          <w:rFonts w:ascii="Times New Roman"/>
          <w:i/>
          <w:iCs/>
          <w:sz w:val="24"/>
          <w:szCs w:val="24"/>
          <w:u w:val="single"/>
        </w:rPr>
        <w:t>Cybersecurity Best Practices and Guidelines:</w:t>
      </w:r>
      <w:r w:rsidRPr="00B95739">
        <w:rPr>
          <w:rFonts w:ascii="Times New Roman"/>
          <w:sz w:val="24"/>
          <w:szCs w:val="24"/>
        </w:rPr>
        <w:t xml:space="preserve"> The government and CERT-In regularly issue cybersecurity best practices and guidelines for various sectors, including banking, healthcare, and government. Further, they raise awareness through campaigns.</w:t>
      </w:r>
    </w:p>
    <w:p w14:paraId="05CBAE50" w14:textId="77777777" w:rsidR="00B95739" w:rsidRPr="00B95739" w:rsidRDefault="00B95739" w:rsidP="00B95739">
      <w:pPr>
        <w:spacing w:line="240" w:lineRule="auto"/>
        <w:jc w:val="both"/>
        <w:rPr>
          <w:rFonts w:ascii="Times New Roman"/>
          <w:sz w:val="24"/>
          <w:szCs w:val="24"/>
        </w:rPr>
      </w:pPr>
      <w:r w:rsidRPr="00B95739">
        <w:rPr>
          <w:rFonts w:ascii="Times New Roman"/>
          <w:i/>
          <w:iCs/>
          <w:sz w:val="24"/>
          <w:szCs w:val="24"/>
          <w:u w:val="single"/>
        </w:rPr>
        <w:t>Cybersecurity Awareness Campaigns</w:t>
      </w:r>
      <w:r w:rsidRPr="00B95739">
        <w:rPr>
          <w:rFonts w:ascii="Times New Roman"/>
          <w:sz w:val="24"/>
          <w:szCs w:val="24"/>
        </w:rPr>
        <w:t xml:space="preserve"> in which the government conducts cybersecurity awareness campaigns to educate the public and organizations about safe online practices and cyber threats. Efforts have been made to encourage research and development in the field of cybersecurity, with a focus on developing indigenous cybersecurity solutions</w:t>
      </w:r>
      <w:r w:rsidRPr="00B95739">
        <w:rPr>
          <w:rStyle w:val="FootnoteReference"/>
          <w:rFonts w:ascii="Times New Roman"/>
          <w:sz w:val="24"/>
          <w:szCs w:val="24"/>
        </w:rPr>
        <w:footnoteReference w:id="25"/>
      </w:r>
      <w:r w:rsidRPr="00B95739">
        <w:rPr>
          <w:rFonts w:ascii="Times New Roman"/>
          <w:sz w:val="24"/>
          <w:szCs w:val="24"/>
        </w:rPr>
        <w:t>.</w:t>
      </w:r>
    </w:p>
    <w:p w14:paraId="050C02B2" w14:textId="77777777" w:rsidR="00CF47C4" w:rsidRPr="00A516D0" w:rsidRDefault="00CF47C4" w:rsidP="00B95739">
      <w:pPr>
        <w:spacing w:after="0" w:line="240" w:lineRule="auto"/>
        <w:jc w:val="center"/>
        <w:rPr>
          <w:rFonts w:ascii="Times New Roman"/>
          <w:sz w:val="20"/>
          <w:szCs w:val="20"/>
        </w:rPr>
      </w:pPr>
    </w:p>
    <w:p w14:paraId="7E93D5A3" w14:textId="77777777" w:rsidR="00CF47C4" w:rsidRPr="00A516D0" w:rsidRDefault="00CF47C4" w:rsidP="00B95739">
      <w:pPr>
        <w:spacing w:after="0" w:line="240" w:lineRule="auto"/>
        <w:jc w:val="both"/>
        <w:rPr>
          <w:rFonts w:ascii="Times New Roman"/>
          <w:sz w:val="20"/>
          <w:szCs w:val="20"/>
        </w:rPr>
      </w:pPr>
    </w:p>
    <w:p w14:paraId="0877C9ED" w14:textId="76A6F7AF" w:rsidR="00CF47C4" w:rsidRPr="00C87D0F" w:rsidRDefault="00C87D0F" w:rsidP="00C87D0F">
      <w:pPr>
        <w:spacing w:after="0" w:line="240" w:lineRule="auto"/>
        <w:ind w:left="1080"/>
        <w:jc w:val="center"/>
        <w:rPr>
          <w:rFonts w:ascii="Times New Roman"/>
          <w:b/>
          <w:sz w:val="20"/>
          <w:szCs w:val="20"/>
        </w:rPr>
      </w:pPr>
      <w:r>
        <w:rPr>
          <w:rFonts w:ascii="Times New Roman"/>
          <w:b/>
          <w:szCs w:val="20"/>
        </w:rPr>
        <w:t xml:space="preserve">VII.  </w:t>
      </w:r>
      <w:r w:rsidR="00B95739" w:rsidRPr="00C87D0F">
        <w:rPr>
          <w:rFonts w:ascii="Times New Roman"/>
          <w:b/>
          <w:szCs w:val="20"/>
        </w:rPr>
        <w:t xml:space="preserve">Suggestion and </w:t>
      </w:r>
      <w:r w:rsidR="008A7684" w:rsidRPr="00C87D0F">
        <w:rPr>
          <w:rFonts w:ascii="Times New Roman"/>
          <w:b/>
          <w:szCs w:val="20"/>
        </w:rPr>
        <w:t>Conclusion</w:t>
      </w:r>
    </w:p>
    <w:p w14:paraId="66293CE4" w14:textId="77777777" w:rsidR="00B95739" w:rsidRPr="00B95739" w:rsidRDefault="00B95739" w:rsidP="00B95739">
      <w:pPr>
        <w:spacing w:line="240" w:lineRule="auto"/>
        <w:jc w:val="both"/>
        <w:rPr>
          <w:rFonts w:ascii="Times New Roman"/>
          <w:sz w:val="24"/>
          <w:szCs w:val="24"/>
        </w:rPr>
      </w:pPr>
      <w:bookmarkStart w:id="1" w:name="_Hlk149589059"/>
      <w:r w:rsidRPr="00B95739">
        <w:rPr>
          <w:rFonts w:ascii="Times New Roman"/>
          <w:sz w:val="24"/>
          <w:szCs w:val="24"/>
        </w:rPr>
        <w:t>It is clear from the discussion above that, among all other crimes, money laundering is a form of financial crime.</w:t>
      </w:r>
      <w:r w:rsidRPr="00B95739">
        <w:rPr>
          <w:sz w:val="24"/>
          <w:szCs w:val="24"/>
        </w:rPr>
        <w:t xml:space="preserve"> </w:t>
      </w:r>
      <w:r w:rsidRPr="00B95739">
        <w:rPr>
          <w:rFonts w:ascii="Times New Roman"/>
          <w:sz w:val="24"/>
          <w:szCs w:val="24"/>
        </w:rPr>
        <w:t>Today, this crime has become a serious threat to society. Money laundering is a very traditional and old crime. Through money laundering black money can be turned into white money</w:t>
      </w:r>
      <w:r>
        <w:rPr>
          <w:rStyle w:val="FootnoteReference"/>
          <w:rFonts w:ascii="Times New Roman"/>
          <w:sz w:val="24"/>
          <w:szCs w:val="24"/>
        </w:rPr>
        <w:footnoteReference w:id="26"/>
      </w:r>
      <w:r w:rsidRPr="00B95739">
        <w:rPr>
          <w:rFonts w:ascii="Times New Roman"/>
          <w:sz w:val="24"/>
          <w:szCs w:val="24"/>
        </w:rPr>
        <w:t xml:space="preserve">. Day by day, people become more dependent on online platforms. During COVID-19, the use of online platforms has increased so much. After COVID-19 it has a huge effect. Money laundering comes in online platforms when money transactions are increased in online mediums. In online platforms, it becomes very difficult to trace and deal with the criminals of cyber laundering due to various issues. In an online platform, the collection of evidence is very easy as well as difficult. Every transaction that happens in the online portal is recorded. At the same time, recorded evidence of </w:t>
      </w:r>
      <w:r w:rsidRPr="00B95739">
        <w:rPr>
          <w:rFonts w:ascii="Times New Roman"/>
          <w:sz w:val="24"/>
          <w:szCs w:val="24"/>
        </w:rPr>
        <w:lastRenderedPageBreak/>
        <w:t>online portals can be tampered with. Then it becomes difficult to collect evidence; nothing can be done without it. In an online portal, criminals and victims can be from the same country or two different countries. If the criminals and victims are of the same country, investigation and other proceedings become flexible. If they are from different countries, then it becomes very difficult to trace them. Because in this case international laws are involved. Every state has its sovereignty. There is a conflict of sovereignty in the application of international law for cybersecurity There are no uniform laws for dealing with these kinds of cybercriminals in cyberspace. So, the execution of treaties, and the evolution of customary international are required for the development and protection of people in cyberspace. From this, it is very clear that territorial and evidentiary issues are the major problems among others. There are proper structures and laws for dealing with criminals in cyberspace in India. The "Information Technology Act, 2000" was passed by India to address concerns about cyber platforms. This act supports India's privacy and data protection laws</w:t>
      </w:r>
      <w:r>
        <w:rPr>
          <w:rStyle w:val="FootnoteReference"/>
          <w:rFonts w:ascii="Times New Roman"/>
          <w:bCs/>
          <w:sz w:val="24"/>
          <w:szCs w:val="24"/>
        </w:rPr>
        <w:footnoteReference w:id="27"/>
      </w:r>
      <w:r w:rsidRPr="00B95739">
        <w:rPr>
          <w:rFonts w:ascii="Times New Roman"/>
          <w:bCs/>
          <w:sz w:val="24"/>
          <w:szCs w:val="24"/>
        </w:rPr>
        <w:t xml:space="preserve">. </w:t>
      </w:r>
      <w:r w:rsidRPr="00B95739">
        <w:rPr>
          <w:rFonts w:ascii="Times New Roman"/>
          <w:sz w:val="24"/>
          <w:szCs w:val="24"/>
        </w:rPr>
        <w:t>But time is required for the changing and laying down of new rules in the international aspect</w:t>
      </w:r>
      <w:r>
        <w:rPr>
          <w:rStyle w:val="FootnoteReference"/>
          <w:rFonts w:ascii="Times New Roman"/>
          <w:sz w:val="24"/>
          <w:szCs w:val="24"/>
        </w:rPr>
        <w:footnoteReference w:id="28"/>
      </w:r>
      <w:r w:rsidRPr="00B95739">
        <w:rPr>
          <w:rFonts w:ascii="Times New Roman"/>
          <w:sz w:val="24"/>
          <w:szCs w:val="24"/>
        </w:rPr>
        <w:t xml:space="preserve">. Governments of all states should take initiative and should be stricter in these matters. Until or unless any uniform law comes into force cooperation between all the states should be increased for tracing cyber criminals.             </w:t>
      </w:r>
    </w:p>
    <w:bookmarkEnd w:id="1"/>
    <w:p w14:paraId="1BFD94D3" w14:textId="77777777" w:rsidR="00B95739" w:rsidRPr="00A516D0" w:rsidRDefault="00B95739" w:rsidP="00B95739">
      <w:pPr>
        <w:pStyle w:val="ListParagraph"/>
        <w:spacing w:after="0" w:line="240" w:lineRule="auto"/>
        <w:ind w:left="360"/>
        <w:rPr>
          <w:rFonts w:ascii="Times New Roman"/>
          <w:b/>
          <w:sz w:val="20"/>
          <w:szCs w:val="20"/>
        </w:rPr>
      </w:pPr>
    </w:p>
    <w:p w14:paraId="2FA1AC51" w14:textId="77777777" w:rsidR="00D17811" w:rsidRPr="00A516D0" w:rsidRDefault="00D17811" w:rsidP="007F7C27">
      <w:pPr>
        <w:spacing w:after="0" w:line="240" w:lineRule="auto"/>
        <w:jc w:val="both"/>
        <w:rPr>
          <w:rFonts w:ascii="Times New Roman"/>
          <w:sz w:val="20"/>
          <w:szCs w:val="20"/>
        </w:rPr>
      </w:pPr>
    </w:p>
    <w:p w14:paraId="685C7990" w14:textId="77777777" w:rsidR="00CF47C4" w:rsidRPr="00A516D0"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r w:rsidR="00D17811" w:rsidRPr="00A516D0">
        <w:rPr>
          <w:rFonts w:ascii="Times New Roman"/>
          <w:b/>
          <w:szCs w:val="20"/>
        </w:rPr>
        <w:t xml:space="preserve"> </w:t>
      </w:r>
      <w:r w:rsidR="00D17811" w:rsidRPr="00A516D0">
        <w:rPr>
          <w:rFonts w:ascii="Times New Roman"/>
          <w:b/>
          <w:bCs/>
          <w:color w:val="FF0000"/>
        </w:rPr>
        <w:t>(11 Bold)</w:t>
      </w:r>
    </w:p>
    <w:p w14:paraId="2837FB64" w14:textId="5AAE803F" w:rsidR="00CF47C4" w:rsidRPr="00FE019D" w:rsidRDefault="00FE019D" w:rsidP="00FE019D">
      <w:pPr>
        <w:spacing w:after="0" w:line="240" w:lineRule="auto"/>
        <w:jc w:val="both"/>
        <w:rPr>
          <w:rFonts w:ascii="Times New Roman"/>
          <w:sz w:val="20"/>
          <w:szCs w:val="20"/>
        </w:rPr>
      </w:pPr>
      <w:r>
        <w:rPr>
          <w:rFonts w:ascii="Times New Roman"/>
          <w:sz w:val="20"/>
          <w:szCs w:val="20"/>
        </w:rPr>
        <w:t xml:space="preserve">[1] </w:t>
      </w:r>
      <w:r w:rsidR="00B95739" w:rsidRPr="00FE019D">
        <w:rPr>
          <w:rFonts w:ascii="Times New Roman"/>
          <w:sz w:val="20"/>
          <w:szCs w:val="20"/>
        </w:rPr>
        <w:t xml:space="preserve">Tom Kellermann “Money Laundering in Cyberspace” </w:t>
      </w:r>
      <w:r w:rsidR="00B95739" w:rsidRPr="00FE019D">
        <w:rPr>
          <w:rFonts w:ascii="Times New Roman"/>
          <w:i/>
          <w:iCs/>
          <w:sz w:val="20"/>
          <w:szCs w:val="20"/>
        </w:rPr>
        <w:t>WBFSWP</w:t>
      </w:r>
      <w:r w:rsidR="00B95739" w:rsidRPr="00FE019D">
        <w:rPr>
          <w:rFonts w:ascii="Times New Roman"/>
          <w:sz w:val="20"/>
          <w:szCs w:val="20"/>
        </w:rPr>
        <w:t xml:space="preserve"> 2 (2004)</w:t>
      </w:r>
    </w:p>
    <w:p w14:paraId="4CEB9C81" w14:textId="737AD404" w:rsidR="008B114C" w:rsidRPr="008B114C" w:rsidRDefault="008B114C" w:rsidP="008B114C">
      <w:pPr>
        <w:pStyle w:val="FootnoteText"/>
        <w:rPr>
          <w:rFonts w:ascii="Times New Roman" w:hAnsi="Times New Roman" w:cs="Times New Roman"/>
          <w:lang w:val="en-US"/>
        </w:rPr>
      </w:pPr>
      <w:r w:rsidRPr="008B114C">
        <w:rPr>
          <w:rFonts w:ascii="Times New Roman" w:hAnsi="Times New Roman" w:cs="Times New Roman"/>
        </w:rPr>
        <w:t>[2] R</w:t>
      </w:r>
      <w:r w:rsidRPr="008B114C">
        <w:rPr>
          <w:rFonts w:ascii="Times New Roman" w:hAnsi="Times New Roman" w:cs="Times New Roman"/>
          <w:lang w:val="en-US"/>
        </w:rPr>
        <w:t xml:space="preserve">akesh Kumar Handa and Rizwan Ansari “Cyber-Laundering: An Emerging Challenge for Law Enforcement” 5 </w:t>
      </w:r>
      <w:r w:rsidRPr="008B114C">
        <w:rPr>
          <w:rFonts w:ascii="Times New Roman" w:hAnsi="Times New Roman" w:cs="Times New Roman"/>
          <w:i/>
          <w:iCs/>
          <w:lang w:val="en-US"/>
        </w:rPr>
        <w:t>JVVI</w:t>
      </w:r>
      <w:r w:rsidRPr="008B114C">
        <w:rPr>
          <w:rFonts w:ascii="Times New Roman" w:hAnsi="Times New Roman" w:cs="Times New Roman"/>
          <w:lang w:val="en-US"/>
        </w:rPr>
        <w:t xml:space="preserve"> 81 (2022) </w:t>
      </w:r>
    </w:p>
    <w:p w14:paraId="0B78B570" w14:textId="5170EB28" w:rsidR="008B114C" w:rsidRPr="008B114C" w:rsidRDefault="008B114C" w:rsidP="008B114C">
      <w:pPr>
        <w:pStyle w:val="FootnoteText"/>
        <w:jc w:val="both"/>
        <w:rPr>
          <w:rFonts w:ascii="Times New Roman" w:hAnsi="Times New Roman" w:cs="Times New Roman"/>
          <w:lang w:val="en-US"/>
        </w:rPr>
      </w:pPr>
      <w:r w:rsidRPr="008B114C">
        <w:rPr>
          <w:rFonts w:ascii="Times New Roman" w:hAnsi="Times New Roman" w:cs="Times New Roman"/>
          <w:lang w:val="en-US"/>
        </w:rPr>
        <w:t xml:space="preserve">[3] </w:t>
      </w:r>
      <w:r w:rsidRPr="008B114C">
        <w:rPr>
          <w:rFonts w:ascii="Times New Roman" w:hAnsi="Times New Roman" w:cs="Times New Roman"/>
        </w:rPr>
        <w:t>Prof. R.K.Chaubey, “An Introduction to Cyber Crime and Cyber law”, Kamal Law House, 2012</w:t>
      </w:r>
    </w:p>
    <w:p w14:paraId="30D53466" w14:textId="3BA20399" w:rsidR="008B114C" w:rsidRPr="008B114C" w:rsidRDefault="008B114C" w:rsidP="008B114C">
      <w:pPr>
        <w:pStyle w:val="FootnoteText"/>
        <w:jc w:val="both"/>
        <w:rPr>
          <w:rFonts w:ascii="Times New Roman" w:hAnsi="Times New Roman" w:cs="Times New Roman"/>
          <w:lang w:val="en-US"/>
        </w:rPr>
      </w:pPr>
      <w:r w:rsidRPr="008B114C">
        <w:rPr>
          <w:rFonts w:ascii="Times New Roman" w:hAnsi="Times New Roman" w:cs="Times New Roman"/>
        </w:rPr>
        <w:t xml:space="preserve">[4] </w:t>
      </w:r>
      <w:r w:rsidRPr="008B114C">
        <w:rPr>
          <w:rFonts w:ascii="Times New Roman" w:hAnsi="Times New Roman" w:cs="Times New Roman"/>
        </w:rPr>
        <w:t>Rajendra Madhukar Sarode, “Future of E-Commerce in India Challenges &amp; Opportunities” 1(12) IJAR 646 (2015).</w:t>
      </w:r>
    </w:p>
    <w:p w14:paraId="7E47F50F" w14:textId="638F024C" w:rsidR="008B114C" w:rsidRPr="008B114C" w:rsidRDefault="008B114C" w:rsidP="008B114C">
      <w:pPr>
        <w:pStyle w:val="FootnoteText"/>
        <w:jc w:val="both"/>
        <w:rPr>
          <w:rFonts w:ascii="Times New Roman" w:hAnsi="Times New Roman" w:cs="Times New Roman"/>
          <w:lang w:val="en-US"/>
        </w:rPr>
      </w:pPr>
      <w:r w:rsidRPr="008B114C">
        <w:rPr>
          <w:rFonts w:ascii="Times New Roman" w:hAnsi="Times New Roman" w:cs="Times New Roman"/>
        </w:rPr>
        <w:t>[5]</w:t>
      </w:r>
      <w:r w:rsidR="00FE019D">
        <w:rPr>
          <w:rFonts w:ascii="Times New Roman" w:hAnsi="Times New Roman" w:cs="Times New Roman"/>
        </w:rPr>
        <w:t xml:space="preserve"> </w:t>
      </w:r>
      <w:r w:rsidRPr="008B114C">
        <w:rPr>
          <w:rFonts w:ascii="Times New Roman" w:hAnsi="Times New Roman" w:cs="Times New Roman"/>
        </w:rPr>
        <w:t>Sumanjeet, “E-Commerce Laws In The Indian Perspective” available at: http://www.smsvaranasi.com/insight/e-commerce_laws_in_the_indian_perspective.pdf (Visited on January 27, 2024).</w:t>
      </w:r>
    </w:p>
    <w:p w14:paraId="29912FA5" w14:textId="6D7D6BD4" w:rsidR="008B114C" w:rsidRPr="008B114C" w:rsidRDefault="008B114C" w:rsidP="008B114C">
      <w:pPr>
        <w:pStyle w:val="FootnoteText"/>
        <w:rPr>
          <w:rFonts w:ascii="Times New Roman" w:hAnsi="Times New Roman" w:cs="Times New Roman"/>
          <w:lang w:val="en-US"/>
        </w:rPr>
      </w:pPr>
      <w:r w:rsidRPr="008B114C">
        <w:rPr>
          <w:rFonts w:ascii="Times New Roman" w:hAnsi="Times New Roman" w:cs="Times New Roman"/>
        </w:rPr>
        <w:t xml:space="preserve">[6] </w:t>
      </w:r>
      <w:r w:rsidRPr="008B114C">
        <w:rPr>
          <w:rFonts w:ascii="Times New Roman" w:hAnsi="Times New Roman" w:cs="Times New Roman"/>
          <w:lang w:val="en-US"/>
        </w:rPr>
        <w:t>Dr. Viswanath Paranjape, Cyber Crimes &amp; Law 135 (Central Law Agency, Allahabad 2</w:t>
      </w:r>
      <w:r w:rsidRPr="008B114C">
        <w:rPr>
          <w:rFonts w:ascii="Times New Roman" w:hAnsi="Times New Roman" w:cs="Times New Roman"/>
          <w:vertAlign w:val="superscript"/>
          <w:lang w:val="en-US"/>
        </w:rPr>
        <w:t>nd</w:t>
      </w:r>
      <w:r w:rsidRPr="008B114C">
        <w:rPr>
          <w:rFonts w:ascii="Times New Roman" w:hAnsi="Times New Roman" w:cs="Times New Roman"/>
          <w:lang w:val="en-US"/>
        </w:rPr>
        <w:t xml:space="preserve"> edn. 2019)</w:t>
      </w:r>
    </w:p>
    <w:p w14:paraId="41DD95B2" w14:textId="7F9E85DE" w:rsidR="008B114C" w:rsidRPr="008B114C" w:rsidRDefault="008B114C" w:rsidP="008B114C">
      <w:pPr>
        <w:pStyle w:val="FootnoteText"/>
        <w:rPr>
          <w:rFonts w:ascii="Times New Roman" w:hAnsi="Times New Roman" w:cs="Times New Roman"/>
          <w:lang w:val="en-US"/>
        </w:rPr>
      </w:pPr>
      <w:r w:rsidRPr="008B114C">
        <w:rPr>
          <w:rFonts w:ascii="Times New Roman" w:hAnsi="Times New Roman" w:cs="Times New Roman"/>
        </w:rPr>
        <w:t xml:space="preserve">[7] </w:t>
      </w:r>
      <w:r w:rsidRPr="008B114C">
        <w:rPr>
          <w:rFonts w:ascii="Times New Roman" w:hAnsi="Times New Roman" w:cs="Times New Roman"/>
          <w:lang w:val="en-US"/>
        </w:rPr>
        <w:t>Dr. Viswanath Paranjape, Cyber Crimes &amp; Law 139 (Central Law Agency, Allahabad 2</w:t>
      </w:r>
      <w:r w:rsidRPr="008B114C">
        <w:rPr>
          <w:rFonts w:ascii="Times New Roman" w:hAnsi="Times New Roman" w:cs="Times New Roman"/>
          <w:vertAlign w:val="superscript"/>
          <w:lang w:val="en-US"/>
        </w:rPr>
        <w:t>nd</w:t>
      </w:r>
      <w:r w:rsidRPr="008B114C">
        <w:rPr>
          <w:rFonts w:ascii="Times New Roman" w:hAnsi="Times New Roman" w:cs="Times New Roman"/>
          <w:lang w:val="en-US"/>
        </w:rPr>
        <w:t xml:space="preserve"> edn. 2019)</w:t>
      </w:r>
    </w:p>
    <w:p w14:paraId="6CC4B5D0" w14:textId="7F829E8A" w:rsidR="008B114C" w:rsidRDefault="008B114C" w:rsidP="008B114C">
      <w:pPr>
        <w:pStyle w:val="FootnoteText"/>
        <w:rPr>
          <w:rFonts w:ascii="Times New Roman" w:hAnsi="Times New Roman" w:cs="Times New Roman"/>
          <w:lang w:val="en-US"/>
        </w:rPr>
      </w:pPr>
      <w:r w:rsidRPr="008B114C">
        <w:rPr>
          <w:rFonts w:ascii="Times New Roman" w:hAnsi="Times New Roman" w:cs="Times New Roman"/>
        </w:rPr>
        <w:t xml:space="preserve">[8] </w:t>
      </w:r>
      <w:r w:rsidRPr="008B114C">
        <w:rPr>
          <w:rFonts w:ascii="Times New Roman" w:hAnsi="Times New Roman" w:cs="Times New Roman"/>
          <w:lang w:val="en-US"/>
        </w:rPr>
        <w:t>Information Technologies Act, 2000 (21 of 2000)</w:t>
      </w:r>
    </w:p>
    <w:p w14:paraId="194FEEA3" w14:textId="5125F0E4" w:rsidR="008B114C" w:rsidRPr="00A609C1" w:rsidRDefault="008B114C" w:rsidP="008B114C">
      <w:pPr>
        <w:pStyle w:val="FootnoteText"/>
        <w:rPr>
          <w:lang w:val="en-US"/>
        </w:rPr>
      </w:pPr>
      <w:r>
        <w:t xml:space="preserve">[9] </w:t>
      </w:r>
      <w:r w:rsidRPr="00812D35">
        <w:rPr>
          <w:rFonts w:ascii="Times New Roman" w:hAnsi="Times New Roman" w:cs="Times New Roman"/>
          <w:lang w:val="en-US"/>
        </w:rPr>
        <w:t>Dr. Viswanath Paranjape, Cyber Crimes &amp; Law 1</w:t>
      </w:r>
      <w:r>
        <w:rPr>
          <w:rFonts w:ascii="Times New Roman" w:hAnsi="Times New Roman" w:cs="Times New Roman"/>
          <w:lang w:val="en-US"/>
        </w:rPr>
        <w:t>87</w:t>
      </w:r>
      <w:r w:rsidRPr="00812D35">
        <w:rPr>
          <w:rFonts w:ascii="Times New Roman" w:hAnsi="Times New Roman" w:cs="Times New Roman"/>
          <w:lang w:val="en-US"/>
        </w:rPr>
        <w:t xml:space="preserve"> (Central Law Agency, Allahabad 2</w:t>
      </w:r>
      <w:r w:rsidRPr="00812D35">
        <w:rPr>
          <w:rFonts w:ascii="Times New Roman" w:hAnsi="Times New Roman" w:cs="Times New Roman"/>
          <w:vertAlign w:val="superscript"/>
          <w:lang w:val="en-US"/>
        </w:rPr>
        <w:t>nd</w:t>
      </w:r>
      <w:r w:rsidRPr="00812D35">
        <w:rPr>
          <w:rFonts w:ascii="Times New Roman" w:hAnsi="Times New Roman" w:cs="Times New Roman"/>
          <w:lang w:val="en-US"/>
        </w:rPr>
        <w:t xml:space="preserve"> edn.</w:t>
      </w:r>
      <w:r>
        <w:rPr>
          <w:rFonts w:ascii="Times New Roman" w:hAnsi="Times New Roman" w:cs="Times New Roman"/>
          <w:lang w:val="en-US"/>
        </w:rPr>
        <w:t xml:space="preserve"> 2019)</w:t>
      </w:r>
    </w:p>
    <w:p w14:paraId="2A82A9E0" w14:textId="57CD3F74" w:rsidR="008B114C" w:rsidRPr="00A609C1" w:rsidRDefault="008B114C" w:rsidP="008B114C">
      <w:pPr>
        <w:pStyle w:val="FootnoteText"/>
        <w:rPr>
          <w:lang w:val="en-US"/>
        </w:rPr>
      </w:pPr>
      <w:r>
        <w:t xml:space="preserve">[10] </w:t>
      </w:r>
      <w:r w:rsidRPr="00812D35">
        <w:rPr>
          <w:rFonts w:ascii="Times New Roman" w:hAnsi="Times New Roman" w:cs="Times New Roman"/>
          <w:lang w:val="en-US"/>
        </w:rPr>
        <w:t>Dr. Viswanath Paranjape, Cyber Crimes &amp; Law 1</w:t>
      </w:r>
      <w:r>
        <w:rPr>
          <w:rFonts w:ascii="Times New Roman" w:hAnsi="Times New Roman" w:cs="Times New Roman"/>
          <w:lang w:val="en-US"/>
        </w:rPr>
        <w:t>88</w:t>
      </w:r>
      <w:r w:rsidRPr="00812D35">
        <w:rPr>
          <w:rFonts w:ascii="Times New Roman" w:hAnsi="Times New Roman" w:cs="Times New Roman"/>
          <w:lang w:val="en-US"/>
        </w:rPr>
        <w:t xml:space="preserve"> (Central Law Agency, Allahabad 2</w:t>
      </w:r>
      <w:r w:rsidRPr="00812D35">
        <w:rPr>
          <w:rFonts w:ascii="Times New Roman" w:hAnsi="Times New Roman" w:cs="Times New Roman"/>
          <w:vertAlign w:val="superscript"/>
          <w:lang w:val="en-US"/>
        </w:rPr>
        <w:t>nd</w:t>
      </w:r>
      <w:r w:rsidRPr="00812D35">
        <w:rPr>
          <w:rFonts w:ascii="Times New Roman" w:hAnsi="Times New Roman" w:cs="Times New Roman"/>
          <w:lang w:val="en-US"/>
        </w:rPr>
        <w:t xml:space="preserve"> edn.</w:t>
      </w:r>
      <w:r>
        <w:rPr>
          <w:rFonts w:ascii="Times New Roman" w:hAnsi="Times New Roman" w:cs="Times New Roman"/>
          <w:lang w:val="en-US"/>
        </w:rPr>
        <w:t xml:space="preserve"> 2019)</w:t>
      </w:r>
    </w:p>
    <w:p w14:paraId="71BBB4DD" w14:textId="2D663347" w:rsidR="008B114C" w:rsidRPr="0033351E" w:rsidRDefault="008B114C" w:rsidP="008B114C">
      <w:pPr>
        <w:pStyle w:val="FootnoteText"/>
        <w:jc w:val="both"/>
        <w:rPr>
          <w:rFonts w:ascii="Times New Roman" w:hAnsi="Times New Roman" w:cs="Times New Roman"/>
          <w:lang w:val="en-US"/>
        </w:rPr>
      </w:pPr>
      <w:r>
        <w:rPr>
          <w:rFonts w:ascii="Times New Roman" w:hAnsi="Times New Roman" w:cs="Times New Roman"/>
        </w:rPr>
        <w:t>[11] S</w:t>
      </w:r>
      <w:r w:rsidRPr="0033351E">
        <w:rPr>
          <w:rFonts w:ascii="Times New Roman" w:hAnsi="Times New Roman" w:cs="Times New Roman"/>
        </w:rPr>
        <w:t>ection 62, Expln. 2: “ ….. [N]umber of documents made … in case of printing….</w:t>
      </w:r>
      <w:r w:rsidRPr="0033351E">
        <w:rPr>
          <w:rFonts w:ascii="Times New Roman" w:hAnsi="Times New Roman" w:cs="Times New Roman"/>
          <w:i/>
          <w:iCs/>
        </w:rPr>
        <w:t xml:space="preserve">” </w:t>
      </w:r>
      <w:r w:rsidRPr="0033351E">
        <w:rPr>
          <w:rFonts w:ascii="Times New Roman" w:hAnsi="Times New Roman" w:cs="Times New Roman"/>
        </w:rPr>
        <w:t xml:space="preserve"> (emphasis supplied)</w:t>
      </w:r>
    </w:p>
    <w:p w14:paraId="49166EDB" w14:textId="1E7D5FF7" w:rsidR="008B114C" w:rsidRDefault="008B114C" w:rsidP="008B114C">
      <w:pPr>
        <w:pStyle w:val="FootnoteText"/>
        <w:jc w:val="both"/>
        <w:rPr>
          <w:rFonts w:ascii="Times New Roman" w:hAnsi="Times New Roman" w:cs="Times New Roman"/>
          <w:lang w:val="en-US"/>
        </w:rPr>
      </w:pPr>
      <w:r>
        <w:rPr>
          <w:rFonts w:ascii="Times New Roman" w:hAnsi="Times New Roman" w:cs="Times New Roman"/>
        </w:rPr>
        <w:t xml:space="preserve">[12] </w:t>
      </w:r>
      <w:r w:rsidRPr="0033351E">
        <w:rPr>
          <w:rFonts w:ascii="Times New Roman" w:hAnsi="Times New Roman" w:cs="Times New Roman"/>
          <w:lang w:val="en-US"/>
        </w:rPr>
        <w:t xml:space="preserve">Peter Murphy </w:t>
      </w:r>
      <w:r w:rsidRPr="0033351E">
        <w:rPr>
          <w:rFonts w:ascii="Times New Roman" w:hAnsi="Times New Roman" w:cs="Times New Roman"/>
          <w:i/>
          <w:iCs/>
          <w:lang w:val="en-US"/>
        </w:rPr>
        <w:t>A Practical Approach to Evidence,</w:t>
      </w:r>
      <w:r w:rsidRPr="0033351E">
        <w:rPr>
          <w:rFonts w:ascii="Times New Roman" w:hAnsi="Times New Roman" w:cs="Times New Roman"/>
          <w:lang w:val="en-US"/>
        </w:rPr>
        <w:t xml:space="preserve"> 1988, Blackstone Press, London, p. 186</w:t>
      </w:r>
    </w:p>
    <w:p w14:paraId="3F1746F5" w14:textId="1196EF3D" w:rsidR="00FE019D" w:rsidRPr="00701FBB" w:rsidRDefault="00FE019D" w:rsidP="00FE019D">
      <w:pPr>
        <w:pStyle w:val="FootnoteText"/>
        <w:jc w:val="both"/>
        <w:rPr>
          <w:rFonts w:ascii="Times New Roman" w:hAnsi="Times New Roman" w:cs="Times New Roman"/>
          <w:lang w:val="en-US"/>
        </w:rPr>
      </w:pPr>
      <w:r>
        <w:rPr>
          <w:rFonts w:ascii="Times New Roman" w:hAnsi="Times New Roman" w:cs="Times New Roman"/>
        </w:rPr>
        <w:t xml:space="preserve">[13] </w:t>
      </w:r>
      <w:r w:rsidRPr="00701FBB">
        <w:rPr>
          <w:rFonts w:ascii="Times New Roman" w:hAnsi="Times New Roman" w:cs="Times New Roman"/>
        </w:rPr>
        <w:t>&lt;http://www.uncitral.org/english/texts/electcom/ml-ec.htm&gt;</w:t>
      </w:r>
    </w:p>
    <w:p w14:paraId="7B0A0DAD" w14:textId="01350A25" w:rsidR="00FE019D" w:rsidRPr="00701FBB" w:rsidRDefault="00FE019D" w:rsidP="00FE019D">
      <w:pPr>
        <w:pStyle w:val="FootnoteText"/>
        <w:jc w:val="both"/>
        <w:rPr>
          <w:rFonts w:ascii="Times New Roman" w:hAnsi="Times New Roman" w:cs="Times New Roman"/>
          <w:lang w:val="en-US"/>
        </w:rPr>
      </w:pPr>
      <w:r>
        <w:rPr>
          <w:rFonts w:ascii="Times New Roman" w:hAnsi="Times New Roman" w:cs="Times New Roman"/>
        </w:rPr>
        <w:t xml:space="preserve">[14] </w:t>
      </w:r>
      <w:r w:rsidRPr="00701FBB">
        <w:rPr>
          <w:rFonts w:ascii="Times New Roman" w:hAnsi="Times New Roman" w:cs="Times New Roman"/>
          <w:lang w:val="en-US"/>
        </w:rPr>
        <w:t>State of Maharashtra v. Dr. Praful B. Desai, (2003) 4 SCC 601.</w:t>
      </w:r>
    </w:p>
    <w:p w14:paraId="4BBB9C89" w14:textId="66799ACB" w:rsidR="00FE019D" w:rsidRPr="00701FBB" w:rsidRDefault="00FE019D" w:rsidP="00FE019D">
      <w:pPr>
        <w:pStyle w:val="FootnoteText"/>
        <w:jc w:val="both"/>
        <w:rPr>
          <w:rFonts w:ascii="Times New Roman" w:hAnsi="Times New Roman" w:cs="Times New Roman"/>
          <w:lang w:val="en-US"/>
        </w:rPr>
      </w:pPr>
      <w:r>
        <w:rPr>
          <w:rFonts w:ascii="Times New Roman" w:hAnsi="Times New Roman" w:cs="Times New Roman"/>
        </w:rPr>
        <w:t xml:space="preserve">[15] </w:t>
      </w:r>
      <w:r w:rsidRPr="00701FBB">
        <w:rPr>
          <w:rFonts w:ascii="Times New Roman" w:hAnsi="Times New Roman" w:cs="Times New Roman"/>
          <w:lang w:val="en-US"/>
        </w:rPr>
        <w:t>Anupam Chakraborty v. State of Assam, 1984 Cr LJ 733.</w:t>
      </w:r>
    </w:p>
    <w:p w14:paraId="777102D1" w14:textId="3CA780BB" w:rsidR="00FE019D" w:rsidRPr="00F13480" w:rsidRDefault="00FE019D" w:rsidP="00FE019D">
      <w:pPr>
        <w:pStyle w:val="FootnoteText"/>
        <w:jc w:val="both"/>
        <w:rPr>
          <w:rFonts w:ascii="Times New Roman" w:hAnsi="Times New Roman" w:cs="Times New Roman"/>
          <w:lang w:val="en-US"/>
        </w:rPr>
      </w:pPr>
      <w:r>
        <w:rPr>
          <w:rFonts w:ascii="Times New Roman" w:hAnsi="Times New Roman" w:cs="Times New Roman"/>
        </w:rPr>
        <w:t xml:space="preserve">[16] </w:t>
      </w:r>
      <w:r w:rsidRPr="00F13480">
        <w:rPr>
          <w:rFonts w:ascii="Times New Roman" w:hAnsi="Times New Roman" w:cs="Times New Roman"/>
          <w:lang w:val="en-US"/>
        </w:rPr>
        <w:t>State of Bihar v. Radha Krishna Singh, AIR 1983 SC 684.</w:t>
      </w:r>
    </w:p>
    <w:p w14:paraId="4585FDF7" w14:textId="6DAA6E3A" w:rsidR="00FE019D" w:rsidRPr="00F13480" w:rsidRDefault="00FE019D" w:rsidP="00FE019D">
      <w:pPr>
        <w:pStyle w:val="FootnoteText"/>
        <w:jc w:val="both"/>
        <w:rPr>
          <w:rFonts w:ascii="Times New Roman" w:hAnsi="Times New Roman" w:cs="Times New Roman"/>
          <w:lang w:val="en-US"/>
        </w:rPr>
      </w:pPr>
      <w:r>
        <w:rPr>
          <w:rFonts w:ascii="Times New Roman" w:hAnsi="Times New Roman" w:cs="Times New Roman"/>
        </w:rPr>
        <w:t xml:space="preserve">[17] </w:t>
      </w:r>
      <w:r w:rsidRPr="00F13480">
        <w:rPr>
          <w:rFonts w:ascii="Times New Roman" w:hAnsi="Times New Roman" w:cs="Times New Roman"/>
          <w:lang w:val="en-US"/>
        </w:rPr>
        <w:t xml:space="preserve">C. McCormick </w:t>
      </w:r>
      <w:r w:rsidRPr="00F13480">
        <w:rPr>
          <w:rFonts w:ascii="Times New Roman" w:hAnsi="Times New Roman" w:cs="Times New Roman"/>
          <w:i/>
          <w:iCs/>
          <w:lang w:val="en-US"/>
        </w:rPr>
        <w:t>Handbook</w:t>
      </w:r>
      <w:r w:rsidRPr="00F13480">
        <w:rPr>
          <w:rFonts w:ascii="Times New Roman" w:hAnsi="Times New Roman" w:cs="Times New Roman"/>
          <w:lang w:val="en-US"/>
        </w:rPr>
        <w:t xml:space="preserve"> </w:t>
      </w:r>
      <w:r w:rsidRPr="00F13480">
        <w:rPr>
          <w:rFonts w:ascii="Times New Roman" w:hAnsi="Times New Roman" w:cs="Times New Roman"/>
          <w:i/>
          <w:iCs/>
          <w:lang w:val="en-US"/>
        </w:rPr>
        <w:t xml:space="preserve">of Law of Evidence </w:t>
      </w:r>
      <w:r w:rsidRPr="00F13480">
        <w:rPr>
          <w:rFonts w:ascii="Times New Roman" w:hAnsi="Times New Roman" w:cs="Times New Roman"/>
          <w:lang w:val="en-US"/>
        </w:rPr>
        <w:t>684-86 (3d Edn., E. Cleary 1984</w:t>
      </w:r>
    </w:p>
    <w:p w14:paraId="406CD841" w14:textId="158369C5" w:rsidR="00FE019D" w:rsidRPr="00F13480" w:rsidRDefault="00FE019D" w:rsidP="00FE019D">
      <w:pPr>
        <w:pStyle w:val="FootnoteText"/>
        <w:jc w:val="both"/>
        <w:rPr>
          <w:rFonts w:ascii="Times New Roman" w:hAnsi="Times New Roman" w:cs="Times New Roman"/>
          <w:lang w:val="en-US"/>
        </w:rPr>
      </w:pPr>
      <w:r>
        <w:rPr>
          <w:rFonts w:ascii="Times New Roman" w:hAnsi="Times New Roman" w:cs="Times New Roman"/>
        </w:rPr>
        <w:t xml:space="preserve">[18] </w:t>
      </w:r>
      <w:r w:rsidRPr="00F13480">
        <w:rPr>
          <w:rFonts w:ascii="Times New Roman" w:hAnsi="Times New Roman" w:cs="Times New Roman"/>
          <w:i/>
          <w:iCs/>
          <w:lang w:val="en-US"/>
        </w:rPr>
        <w:t xml:space="preserve">Ford Motor Credit Co. v. Swarens, </w:t>
      </w:r>
      <w:r w:rsidRPr="00F13480">
        <w:rPr>
          <w:rFonts w:ascii="Times New Roman" w:hAnsi="Times New Roman" w:cs="Times New Roman"/>
          <w:lang w:val="en-US"/>
        </w:rPr>
        <w:t>447 S.W.2d 53 (Ky. 1969)</w:t>
      </w:r>
    </w:p>
    <w:p w14:paraId="2AB10231" w14:textId="4A0869F4" w:rsidR="00FE019D" w:rsidRDefault="00FE019D" w:rsidP="00FE019D">
      <w:pPr>
        <w:pStyle w:val="FootnoteText"/>
        <w:jc w:val="both"/>
        <w:rPr>
          <w:rFonts w:ascii="Times New Roman" w:hAnsi="Times New Roman" w:cs="Times New Roman"/>
          <w:lang w:val="en-US"/>
        </w:rPr>
      </w:pPr>
      <w:r>
        <w:rPr>
          <w:rFonts w:ascii="Times New Roman" w:hAnsi="Times New Roman" w:cs="Times New Roman"/>
        </w:rPr>
        <w:t xml:space="preserve">[19] </w:t>
      </w:r>
      <w:r w:rsidRPr="00F13480">
        <w:rPr>
          <w:rFonts w:ascii="Times New Roman" w:hAnsi="Times New Roman" w:cs="Times New Roman"/>
          <w:lang w:val="en-US"/>
        </w:rPr>
        <w:t>America Federal Rule of Evidence 803(6).</w:t>
      </w:r>
    </w:p>
    <w:p w14:paraId="7DB20194" w14:textId="18B52CA2" w:rsidR="00FE019D" w:rsidRPr="00F13480" w:rsidRDefault="00FE019D" w:rsidP="00FE019D">
      <w:pPr>
        <w:pStyle w:val="FootnoteText"/>
        <w:jc w:val="both"/>
        <w:rPr>
          <w:lang w:val="en-US"/>
        </w:rPr>
      </w:pPr>
      <w:r>
        <w:rPr>
          <w:rFonts w:ascii="Times New Roman" w:hAnsi="Times New Roman" w:cs="Times New Roman"/>
        </w:rPr>
        <w:t xml:space="preserve">[20] </w:t>
      </w:r>
      <w:r w:rsidRPr="00F13480">
        <w:rPr>
          <w:rFonts w:ascii="Times New Roman" w:hAnsi="Times New Roman" w:cs="Times New Roman"/>
          <w:lang w:val="en-US"/>
        </w:rPr>
        <w:t>&lt;</w:t>
      </w:r>
      <w:r w:rsidRPr="00F13480">
        <w:rPr>
          <w:rFonts w:ascii="Times New Roman" w:hAnsi="Times New Roman" w:cs="Times New Roman"/>
          <w:i/>
          <w:iCs/>
          <w:lang w:val="en-US"/>
        </w:rPr>
        <w:t>http://www.mit.gov.in/cyber.htm&gt;</w:t>
      </w:r>
    </w:p>
    <w:p w14:paraId="30F3837A" w14:textId="042EF68D" w:rsidR="00FE019D" w:rsidRPr="00711D7A" w:rsidRDefault="00FE019D" w:rsidP="00FE019D">
      <w:pPr>
        <w:pStyle w:val="FootnoteText"/>
        <w:jc w:val="both"/>
        <w:rPr>
          <w:rFonts w:ascii="Times New Roman" w:hAnsi="Times New Roman" w:cs="Times New Roman"/>
          <w:lang w:val="en-US"/>
        </w:rPr>
      </w:pPr>
      <w:r>
        <w:rPr>
          <w:rFonts w:ascii="Times New Roman" w:hAnsi="Times New Roman" w:cs="Times New Roman"/>
        </w:rPr>
        <w:t xml:space="preserve">[21] </w:t>
      </w:r>
      <w:r w:rsidRPr="00711D7A">
        <w:rPr>
          <w:rFonts w:ascii="Times New Roman" w:hAnsi="Times New Roman" w:cs="Times New Roman"/>
          <w:lang w:val="en-US"/>
        </w:rPr>
        <w:t>Section 62, Indian Evidence Act, 1872.</w:t>
      </w:r>
    </w:p>
    <w:p w14:paraId="0907AAC7" w14:textId="21329610" w:rsidR="00FE019D" w:rsidRDefault="00FE019D" w:rsidP="00FE019D">
      <w:pPr>
        <w:pStyle w:val="FootnoteText"/>
        <w:jc w:val="both"/>
        <w:rPr>
          <w:rFonts w:ascii="Times New Roman" w:hAnsi="Times New Roman" w:cs="Times New Roman"/>
          <w:lang w:val="en-US"/>
        </w:rPr>
      </w:pPr>
      <w:r>
        <w:rPr>
          <w:rFonts w:ascii="Times New Roman" w:hAnsi="Times New Roman" w:cs="Times New Roman"/>
        </w:rPr>
        <w:t xml:space="preserve">[22] </w:t>
      </w:r>
      <w:r w:rsidRPr="00711D7A">
        <w:rPr>
          <w:rFonts w:ascii="Times New Roman" w:hAnsi="Times New Roman" w:cs="Times New Roman"/>
          <w:lang w:val="en-US"/>
        </w:rPr>
        <w:t>Section 63, Indian Evidence Act, 1872.</w:t>
      </w:r>
    </w:p>
    <w:p w14:paraId="04C7B521" w14:textId="26F32564" w:rsidR="00FE019D" w:rsidRPr="002F2A8A" w:rsidRDefault="00FE019D" w:rsidP="00FE019D">
      <w:pPr>
        <w:pStyle w:val="FootnoteText"/>
        <w:rPr>
          <w:rFonts w:ascii="Times New Roman" w:hAnsi="Times New Roman" w:cs="Times New Roman"/>
          <w:lang w:val="en-US"/>
        </w:rPr>
      </w:pPr>
      <w:r>
        <w:rPr>
          <w:rFonts w:ascii="Times New Roman" w:hAnsi="Times New Roman" w:cs="Times New Roman"/>
        </w:rPr>
        <w:t xml:space="preserve">[23] </w:t>
      </w:r>
      <w:r w:rsidRPr="002F2A8A">
        <w:rPr>
          <w:rFonts w:ascii="Times New Roman" w:hAnsi="Times New Roman" w:cs="Times New Roman"/>
          <w:lang w:val="en-US"/>
        </w:rPr>
        <w:t>Internet And Mobile Association of India V. Reserve Bank of India (2020) SCC 275</w:t>
      </w:r>
    </w:p>
    <w:p w14:paraId="7C7C76B8" w14:textId="011F636C" w:rsidR="00FE019D" w:rsidRDefault="00FE019D" w:rsidP="00FE019D">
      <w:pPr>
        <w:pStyle w:val="FootnoteText"/>
        <w:rPr>
          <w:rFonts w:ascii="Times New Roman" w:hAnsi="Times New Roman" w:cs="Times New Roman"/>
          <w:lang w:val="en-US"/>
        </w:rPr>
      </w:pPr>
      <w:r>
        <w:t xml:space="preserve">[24] </w:t>
      </w:r>
      <w:r w:rsidRPr="00612C1E">
        <w:rPr>
          <w:rFonts w:ascii="Times New Roman" w:hAnsi="Times New Roman" w:cs="Times New Roman"/>
          <w:i/>
          <w:iCs/>
          <w:lang w:val="en-US"/>
        </w:rPr>
        <w:t>Hitesh Bhatia V. Kumar Vivekanand</w:t>
      </w:r>
      <w:r w:rsidRPr="00612C1E">
        <w:rPr>
          <w:rFonts w:ascii="Times New Roman" w:hAnsi="Times New Roman" w:cs="Times New Roman"/>
          <w:lang w:val="en-US"/>
        </w:rPr>
        <w:t xml:space="preserve"> (2021) 3207 of 2021</w:t>
      </w:r>
    </w:p>
    <w:p w14:paraId="287DD1D6" w14:textId="1F03200F" w:rsidR="00FE019D" w:rsidRPr="008253AA" w:rsidRDefault="00FE019D" w:rsidP="00FE019D">
      <w:pPr>
        <w:pStyle w:val="FootnoteText"/>
        <w:rPr>
          <w:rFonts w:ascii="Times New Roman" w:hAnsi="Times New Roman" w:cs="Times New Roman"/>
          <w:lang w:val="en-US"/>
        </w:rPr>
      </w:pPr>
      <w:r>
        <w:rPr>
          <w:rFonts w:ascii="Times New Roman" w:hAnsi="Times New Roman" w:cs="Times New Roman"/>
        </w:rPr>
        <w:t xml:space="preserve">[25] </w:t>
      </w:r>
      <w:r w:rsidRPr="008253AA">
        <w:rPr>
          <w:rFonts w:ascii="Times New Roman" w:hAnsi="Times New Roman" w:cs="Times New Roman"/>
          <w:lang w:val="en-US"/>
        </w:rPr>
        <w:t xml:space="preserve">All India Council for Technology, India, </w:t>
      </w:r>
      <w:r w:rsidRPr="008253AA">
        <w:rPr>
          <w:rFonts w:ascii="Times New Roman" w:hAnsi="Times New Roman" w:cs="Times New Roman"/>
          <w:i/>
          <w:iCs/>
          <w:lang w:val="en-US"/>
        </w:rPr>
        <w:t>available at</w:t>
      </w:r>
      <w:r w:rsidRPr="008253AA">
        <w:rPr>
          <w:rFonts w:ascii="Times New Roman" w:hAnsi="Times New Roman" w:cs="Times New Roman"/>
          <w:lang w:val="en-US"/>
        </w:rPr>
        <w:t xml:space="preserve">: </w:t>
      </w:r>
      <w:hyperlink r:id="rId12" w:history="1">
        <w:r w:rsidRPr="008253AA">
          <w:rPr>
            <w:rStyle w:val="Hyperlink"/>
            <w:rFonts w:ascii="Times New Roman" w:hAnsi="Times New Roman" w:cs="Times New Roman"/>
          </w:rPr>
          <w:t>Cyber Security | Government of India, All India Council for Technical Education (aicte-india.org)</w:t>
        </w:r>
      </w:hyperlink>
      <w:r w:rsidRPr="008253AA">
        <w:rPr>
          <w:rFonts w:ascii="Times New Roman" w:hAnsi="Times New Roman" w:cs="Times New Roman"/>
        </w:rPr>
        <w:t xml:space="preserve"> (Visited on February 22, 2024)</w:t>
      </w:r>
    </w:p>
    <w:p w14:paraId="7DE7C489" w14:textId="25DF70BB" w:rsidR="00FE019D" w:rsidRDefault="00FE019D" w:rsidP="00FE019D">
      <w:pPr>
        <w:pStyle w:val="FootnoteText"/>
        <w:rPr>
          <w:rFonts w:ascii="Times New Roman" w:hAnsi="Times New Roman" w:cs="Times New Roman"/>
          <w:lang w:val="en-US"/>
        </w:rPr>
      </w:pPr>
      <w:r>
        <w:rPr>
          <w:rFonts w:ascii="Times New Roman" w:hAnsi="Times New Roman" w:cs="Times New Roman"/>
        </w:rPr>
        <w:t xml:space="preserve">[26] </w:t>
      </w:r>
      <w:r w:rsidRPr="00C00199">
        <w:rPr>
          <w:rFonts w:ascii="Times New Roman" w:hAnsi="Times New Roman" w:cs="Times New Roman"/>
          <w:lang w:val="en-US"/>
        </w:rPr>
        <w:t xml:space="preserve">Dr. Viswanath Paranjape, </w:t>
      </w:r>
      <w:r w:rsidRPr="00C00199">
        <w:rPr>
          <w:rFonts w:ascii="Times New Roman" w:hAnsi="Times New Roman" w:cs="Times New Roman"/>
          <w:i/>
          <w:iCs/>
          <w:lang w:val="en-US"/>
        </w:rPr>
        <w:t xml:space="preserve">Cyber Crimes &amp; Law, 68 </w:t>
      </w:r>
      <w:r w:rsidRPr="00C00199">
        <w:rPr>
          <w:rFonts w:ascii="Times New Roman" w:hAnsi="Times New Roman" w:cs="Times New Roman"/>
          <w:lang w:val="en-US"/>
        </w:rPr>
        <w:t>(Central law Agency, Allahabad, 2</w:t>
      </w:r>
      <w:r w:rsidRPr="00C00199">
        <w:rPr>
          <w:rFonts w:ascii="Times New Roman" w:hAnsi="Times New Roman" w:cs="Times New Roman"/>
          <w:vertAlign w:val="superscript"/>
          <w:lang w:val="en-US"/>
        </w:rPr>
        <w:t>nd</w:t>
      </w:r>
      <w:r w:rsidRPr="00C00199">
        <w:rPr>
          <w:rFonts w:ascii="Times New Roman" w:hAnsi="Times New Roman" w:cs="Times New Roman"/>
          <w:lang w:val="en-US"/>
        </w:rPr>
        <w:t xml:space="preserve"> edn., 2019)</w:t>
      </w:r>
    </w:p>
    <w:p w14:paraId="4688324D" w14:textId="35BE56D9" w:rsidR="00FE019D" w:rsidRPr="00E078CA" w:rsidRDefault="00FE019D" w:rsidP="00FE019D">
      <w:pPr>
        <w:pStyle w:val="FootnoteText"/>
        <w:rPr>
          <w:rFonts w:ascii="Times New Roman" w:hAnsi="Times New Roman" w:cs="Times New Roman"/>
          <w:lang w:val="en-US"/>
        </w:rPr>
      </w:pPr>
      <w:r>
        <w:rPr>
          <w:rFonts w:ascii="Times New Roman" w:hAnsi="Times New Roman" w:cs="Times New Roman"/>
        </w:rPr>
        <w:t xml:space="preserve">[27] </w:t>
      </w:r>
      <w:r w:rsidRPr="00E078CA">
        <w:rPr>
          <w:rFonts w:ascii="Times New Roman" w:hAnsi="Times New Roman" w:cs="Times New Roman"/>
          <w:lang w:val="en-US"/>
        </w:rPr>
        <w:t>Reserve Bank of India, Chapter 9 Report of the Working Group on Electronic Ranking (January</w:t>
      </w:r>
      <w:r>
        <w:rPr>
          <w:rFonts w:ascii="Times New Roman" w:hAnsi="Times New Roman" w:cs="Times New Roman"/>
          <w:lang w:val="en-US"/>
        </w:rPr>
        <w:t>,</w:t>
      </w:r>
      <w:r w:rsidRPr="00E078CA">
        <w:rPr>
          <w:rFonts w:ascii="Times New Roman" w:hAnsi="Times New Roman" w:cs="Times New Roman"/>
          <w:lang w:val="en-US"/>
        </w:rPr>
        <w:t xml:space="preserve"> 2011) </w:t>
      </w:r>
    </w:p>
    <w:p w14:paraId="71FE7CE0" w14:textId="7C4DCABB" w:rsidR="00FE019D" w:rsidRPr="001C0A94" w:rsidRDefault="00FE019D" w:rsidP="00FE019D">
      <w:pPr>
        <w:pStyle w:val="FootnoteText"/>
        <w:rPr>
          <w:rFonts w:ascii="Times New Roman" w:hAnsi="Times New Roman" w:cs="Times New Roman"/>
          <w:lang w:val="en-US"/>
        </w:rPr>
      </w:pPr>
      <w:r>
        <w:rPr>
          <w:rFonts w:ascii="Times New Roman" w:hAnsi="Times New Roman" w:cs="Times New Roman"/>
        </w:rPr>
        <w:lastRenderedPageBreak/>
        <w:t xml:space="preserve">[28] </w:t>
      </w:r>
      <w:r w:rsidRPr="001C0A94">
        <w:rPr>
          <w:rFonts w:ascii="Times New Roman" w:hAnsi="Times New Roman" w:cs="Times New Roman"/>
          <w:lang w:val="en-US"/>
        </w:rPr>
        <w:t>Hollis Duncan “A Brief Primer on International Law and Cyberspace” CEIP 1 (2021)</w:t>
      </w:r>
    </w:p>
    <w:p w14:paraId="07F469B6" w14:textId="77777777" w:rsidR="00FE019D" w:rsidRPr="00C00199" w:rsidRDefault="00FE019D" w:rsidP="00FE019D">
      <w:pPr>
        <w:pStyle w:val="FootnoteText"/>
        <w:rPr>
          <w:rFonts w:ascii="Times New Roman" w:hAnsi="Times New Roman" w:cs="Times New Roman"/>
          <w:i/>
          <w:iCs/>
          <w:lang w:val="en-US"/>
        </w:rPr>
      </w:pPr>
    </w:p>
    <w:p w14:paraId="2C35D6CA" w14:textId="77777777" w:rsidR="00FE019D" w:rsidRPr="00612C1E" w:rsidRDefault="00FE019D" w:rsidP="00FE019D">
      <w:pPr>
        <w:pStyle w:val="FootnoteText"/>
        <w:rPr>
          <w:lang w:val="en-US"/>
        </w:rPr>
      </w:pPr>
    </w:p>
    <w:p w14:paraId="2CB3B230" w14:textId="77777777" w:rsidR="00FE019D" w:rsidRPr="00711D7A" w:rsidRDefault="00FE019D" w:rsidP="00FE019D">
      <w:pPr>
        <w:pStyle w:val="FootnoteText"/>
        <w:jc w:val="both"/>
        <w:rPr>
          <w:lang w:val="en-US"/>
        </w:rPr>
      </w:pPr>
    </w:p>
    <w:p w14:paraId="3FD5873D" w14:textId="77777777" w:rsidR="00FE019D" w:rsidRDefault="00FE019D" w:rsidP="00FE019D">
      <w:pPr>
        <w:pStyle w:val="FootnoteText"/>
        <w:jc w:val="both"/>
        <w:rPr>
          <w:rFonts w:ascii="Times New Roman" w:hAnsi="Times New Roman" w:cs="Times New Roman"/>
          <w:lang w:val="en-US"/>
        </w:rPr>
      </w:pPr>
    </w:p>
    <w:p w14:paraId="75CA5581" w14:textId="77777777" w:rsidR="00FE019D" w:rsidRPr="00F13480" w:rsidRDefault="00FE019D" w:rsidP="00FE019D">
      <w:pPr>
        <w:pStyle w:val="FootnoteText"/>
        <w:jc w:val="both"/>
        <w:rPr>
          <w:rFonts w:ascii="Times New Roman" w:hAnsi="Times New Roman" w:cs="Times New Roman"/>
          <w:lang w:val="en-US"/>
        </w:rPr>
      </w:pPr>
    </w:p>
    <w:p w14:paraId="4AD7424C" w14:textId="77777777" w:rsidR="00FE019D" w:rsidRDefault="00FE019D" w:rsidP="008B114C">
      <w:pPr>
        <w:pStyle w:val="FootnoteText"/>
        <w:jc w:val="both"/>
        <w:rPr>
          <w:rFonts w:ascii="Times New Roman" w:hAnsi="Times New Roman" w:cs="Times New Roman"/>
          <w:lang w:val="en-US"/>
        </w:rPr>
      </w:pPr>
    </w:p>
    <w:p w14:paraId="0BEAE3A8" w14:textId="77777777" w:rsidR="00FE019D" w:rsidRPr="0033351E" w:rsidRDefault="00FE019D" w:rsidP="008B114C">
      <w:pPr>
        <w:pStyle w:val="FootnoteText"/>
        <w:jc w:val="both"/>
        <w:rPr>
          <w:rFonts w:ascii="Times New Roman" w:hAnsi="Times New Roman" w:cs="Times New Roman"/>
          <w:lang w:val="en-US"/>
        </w:rPr>
      </w:pPr>
    </w:p>
    <w:p w14:paraId="795DAA01" w14:textId="77777777" w:rsidR="008B114C" w:rsidRPr="008B114C" w:rsidRDefault="008B114C" w:rsidP="008B114C">
      <w:pPr>
        <w:pStyle w:val="FootnoteText"/>
        <w:rPr>
          <w:rFonts w:ascii="Times New Roman" w:hAnsi="Times New Roman" w:cs="Times New Roman"/>
          <w:lang w:val="en-US"/>
        </w:rPr>
      </w:pPr>
    </w:p>
    <w:p w14:paraId="397263A9" w14:textId="517FD8D5" w:rsidR="008B114C" w:rsidRPr="008B114C" w:rsidRDefault="008B114C" w:rsidP="008B114C">
      <w:pPr>
        <w:pStyle w:val="FootnoteText"/>
        <w:rPr>
          <w:rFonts w:ascii="Times New Roman" w:hAnsi="Times New Roman" w:cs="Times New Roman"/>
          <w:lang w:val="en-US"/>
        </w:rPr>
      </w:pPr>
    </w:p>
    <w:p w14:paraId="035AE829" w14:textId="05DFE772" w:rsidR="008B114C" w:rsidRDefault="008B114C" w:rsidP="008B114C">
      <w:pPr>
        <w:pStyle w:val="FootnoteText"/>
        <w:rPr>
          <w:rFonts w:ascii="Times New Roman"/>
          <w:sz w:val="16"/>
        </w:rPr>
      </w:pPr>
    </w:p>
    <w:sectPr w:rsidR="008B114C" w:rsidSect="0046625C">
      <w:type w:val="continuous"/>
      <w:pgSz w:w="12240" w:h="15840"/>
      <w:pgMar w:top="1440" w:right="1440" w:bottom="1440" w:left="990"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266A5" w14:textId="77777777" w:rsidR="00AA75AE" w:rsidRDefault="00AA75AE">
      <w:pPr>
        <w:spacing w:after="0" w:line="240" w:lineRule="auto"/>
      </w:pPr>
      <w:r>
        <w:separator/>
      </w:r>
    </w:p>
  </w:endnote>
  <w:endnote w:type="continuationSeparator" w:id="0">
    <w:p w14:paraId="2088997F" w14:textId="77777777" w:rsidR="00AA75AE" w:rsidRDefault="00AA7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C2843"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4</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FD63A"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50F93" w14:textId="77777777" w:rsidR="00AA75AE" w:rsidRDefault="00AA75AE">
      <w:pPr>
        <w:spacing w:after="0" w:line="240" w:lineRule="auto"/>
      </w:pPr>
      <w:r>
        <w:separator/>
      </w:r>
    </w:p>
  </w:footnote>
  <w:footnote w:type="continuationSeparator" w:id="0">
    <w:p w14:paraId="6FD08455" w14:textId="77777777" w:rsidR="00AA75AE" w:rsidRDefault="00AA75AE">
      <w:pPr>
        <w:spacing w:after="0" w:line="240" w:lineRule="auto"/>
      </w:pPr>
      <w:r>
        <w:continuationSeparator/>
      </w:r>
    </w:p>
  </w:footnote>
  <w:footnote w:id="1">
    <w:p w14:paraId="1914945D" w14:textId="77777777" w:rsidR="00B95739" w:rsidRPr="00995405" w:rsidRDefault="00B95739" w:rsidP="00B95739">
      <w:pPr>
        <w:pStyle w:val="FootnoteText"/>
        <w:rPr>
          <w:rFonts w:ascii="Times New Roman" w:hAnsi="Times New Roman" w:cs="Times New Roman"/>
          <w:lang w:val="en-US"/>
        </w:rPr>
      </w:pPr>
      <w:r w:rsidRPr="00995405">
        <w:rPr>
          <w:rStyle w:val="FootnoteReference"/>
          <w:rFonts w:ascii="Times New Roman" w:hAnsi="Times New Roman" w:cs="Times New Roman"/>
        </w:rPr>
        <w:footnoteRef/>
      </w:r>
      <w:r w:rsidRPr="00995405">
        <w:rPr>
          <w:rFonts w:ascii="Times New Roman" w:hAnsi="Times New Roman" w:cs="Times New Roman"/>
        </w:rPr>
        <w:t xml:space="preserve"> Tom Kellermann</w:t>
      </w:r>
      <w:r w:rsidRPr="00995405">
        <w:rPr>
          <w:rFonts w:ascii="Times New Roman" w:hAnsi="Times New Roman" w:cs="Times New Roman"/>
          <w:lang w:val="en-US"/>
        </w:rPr>
        <w:t xml:space="preserve"> “Money Laundering in Cyberspace” </w:t>
      </w:r>
      <w:r w:rsidRPr="00995405">
        <w:rPr>
          <w:rFonts w:ascii="Times New Roman" w:hAnsi="Times New Roman" w:cs="Times New Roman"/>
          <w:i/>
          <w:iCs/>
          <w:lang w:val="en-US"/>
        </w:rPr>
        <w:t>WBFSWP</w:t>
      </w:r>
      <w:r w:rsidRPr="00995405">
        <w:rPr>
          <w:rFonts w:ascii="Times New Roman" w:hAnsi="Times New Roman" w:cs="Times New Roman"/>
          <w:lang w:val="en-US"/>
        </w:rPr>
        <w:t xml:space="preserve"> 2 (2004)</w:t>
      </w:r>
    </w:p>
  </w:footnote>
  <w:footnote w:id="2">
    <w:p w14:paraId="458C8468" w14:textId="77777777" w:rsidR="00B95739" w:rsidRPr="00995405" w:rsidRDefault="00B95739" w:rsidP="00B95739">
      <w:pPr>
        <w:pStyle w:val="FootnoteText"/>
        <w:rPr>
          <w:rFonts w:ascii="Times New Roman" w:hAnsi="Times New Roman" w:cs="Times New Roman"/>
          <w:lang w:val="en-US"/>
        </w:rPr>
      </w:pPr>
      <w:r w:rsidRPr="00995405">
        <w:rPr>
          <w:rStyle w:val="FootnoteReference"/>
          <w:rFonts w:ascii="Times New Roman" w:hAnsi="Times New Roman" w:cs="Times New Roman"/>
        </w:rPr>
        <w:footnoteRef/>
      </w:r>
      <w:r w:rsidRPr="00995405">
        <w:rPr>
          <w:rFonts w:ascii="Times New Roman" w:hAnsi="Times New Roman" w:cs="Times New Roman"/>
        </w:rPr>
        <w:t xml:space="preserve"> </w:t>
      </w:r>
      <w:r w:rsidRPr="00995405">
        <w:rPr>
          <w:rFonts w:ascii="Times New Roman" w:hAnsi="Times New Roman" w:cs="Times New Roman"/>
          <w:lang w:val="en-US"/>
        </w:rPr>
        <w:t xml:space="preserve">Rakesh Kumar Handa and Rizwan Ansari “Cyber-Laundering: An Emerging Challenge for Law Enforcement” 5 </w:t>
      </w:r>
      <w:r w:rsidRPr="00995405">
        <w:rPr>
          <w:rFonts w:ascii="Times New Roman" w:hAnsi="Times New Roman" w:cs="Times New Roman"/>
          <w:i/>
          <w:iCs/>
          <w:lang w:val="en-US"/>
        </w:rPr>
        <w:t>JVVI</w:t>
      </w:r>
      <w:r w:rsidRPr="00995405">
        <w:rPr>
          <w:rFonts w:ascii="Times New Roman" w:hAnsi="Times New Roman" w:cs="Times New Roman"/>
          <w:lang w:val="en-US"/>
        </w:rPr>
        <w:t xml:space="preserve"> 81 (2022) </w:t>
      </w:r>
    </w:p>
  </w:footnote>
  <w:footnote w:id="3">
    <w:p w14:paraId="71EAE543" w14:textId="77777777" w:rsidR="00B95739" w:rsidRPr="0033351E" w:rsidRDefault="00B95739" w:rsidP="00B95739">
      <w:pPr>
        <w:pStyle w:val="FootnoteText"/>
        <w:jc w:val="both"/>
        <w:rPr>
          <w:lang w:val="en-US"/>
        </w:rPr>
      </w:pPr>
      <w:r w:rsidRPr="0033351E">
        <w:rPr>
          <w:rStyle w:val="FootnoteReference"/>
          <w:rFonts w:ascii="Times New Roman" w:hAnsi="Times New Roman" w:cs="Times New Roman"/>
        </w:rPr>
        <w:footnoteRef/>
      </w:r>
      <w:r w:rsidRPr="0033351E">
        <w:rPr>
          <w:rFonts w:ascii="Times New Roman" w:hAnsi="Times New Roman" w:cs="Times New Roman"/>
        </w:rPr>
        <w:t xml:space="preserve"> Prof. R.K.Chaubey, “An Introduction to Cyber Crime and Cyber law”, Kamal Law House, 2012</w:t>
      </w:r>
    </w:p>
  </w:footnote>
  <w:footnote w:id="4">
    <w:p w14:paraId="5B6A3000" w14:textId="77777777" w:rsidR="00B95739" w:rsidRPr="00CA20A2" w:rsidRDefault="00B95739" w:rsidP="00B95739">
      <w:pPr>
        <w:pStyle w:val="FootnoteText"/>
        <w:jc w:val="both"/>
        <w:rPr>
          <w:rFonts w:ascii="Times New Roman" w:hAnsi="Times New Roman" w:cs="Times New Roman"/>
          <w:lang w:val="en-US"/>
        </w:rPr>
      </w:pPr>
      <w:r w:rsidRPr="00CA20A2">
        <w:rPr>
          <w:rStyle w:val="FootnoteReference"/>
          <w:rFonts w:ascii="Times New Roman" w:hAnsi="Times New Roman" w:cs="Times New Roman"/>
        </w:rPr>
        <w:footnoteRef/>
      </w:r>
      <w:r w:rsidRPr="00CA20A2">
        <w:rPr>
          <w:rFonts w:ascii="Times New Roman" w:hAnsi="Times New Roman" w:cs="Times New Roman"/>
        </w:rPr>
        <w:t xml:space="preserve"> Rajendra Madhukar Sarode, “Future of E-Commerce in India Challenges &amp; Opportunities” 1(12) IJAR 646 (2015).</w:t>
      </w:r>
    </w:p>
  </w:footnote>
  <w:footnote w:id="5">
    <w:p w14:paraId="13C06929" w14:textId="77777777" w:rsidR="00B95739" w:rsidRPr="00CA20A2" w:rsidRDefault="00B95739" w:rsidP="00B95739">
      <w:pPr>
        <w:pStyle w:val="FootnoteText"/>
        <w:jc w:val="both"/>
        <w:rPr>
          <w:rFonts w:ascii="Times New Roman" w:hAnsi="Times New Roman" w:cs="Times New Roman"/>
          <w:lang w:val="en-US"/>
        </w:rPr>
      </w:pPr>
      <w:r w:rsidRPr="00CA20A2">
        <w:rPr>
          <w:rStyle w:val="FootnoteReference"/>
          <w:rFonts w:ascii="Times New Roman" w:hAnsi="Times New Roman" w:cs="Times New Roman"/>
        </w:rPr>
        <w:footnoteRef/>
      </w:r>
      <w:r w:rsidRPr="00CA20A2">
        <w:rPr>
          <w:rFonts w:ascii="Times New Roman" w:hAnsi="Times New Roman" w:cs="Times New Roman"/>
        </w:rPr>
        <w:t xml:space="preserve"> Sumanjeet, “E-Commerce Laws In The Indian Perspective” available at: http://www.smsvaranasi.com/insight/e-commerce_laws_in_the_indian_perspective.pdf (Visited on January 27, 2024).</w:t>
      </w:r>
    </w:p>
  </w:footnote>
  <w:footnote w:id="6">
    <w:p w14:paraId="578F18B8" w14:textId="77777777" w:rsidR="00B95739" w:rsidRPr="00812D35" w:rsidRDefault="00B95739" w:rsidP="00B95739">
      <w:pPr>
        <w:pStyle w:val="FootnoteText"/>
        <w:rPr>
          <w:lang w:val="en-US"/>
        </w:rPr>
      </w:pPr>
      <w:r>
        <w:rPr>
          <w:rStyle w:val="FootnoteReference"/>
        </w:rPr>
        <w:footnoteRef/>
      </w:r>
      <w:r>
        <w:t xml:space="preserve"> </w:t>
      </w:r>
      <w:r w:rsidRPr="00812D35">
        <w:rPr>
          <w:rFonts w:ascii="Times New Roman" w:hAnsi="Times New Roman" w:cs="Times New Roman"/>
          <w:lang w:val="en-US"/>
        </w:rPr>
        <w:t>Dr. Viswanath Paranjape, Cyber Crimes &amp; Law 13</w:t>
      </w:r>
      <w:r>
        <w:rPr>
          <w:rFonts w:ascii="Times New Roman" w:hAnsi="Times New Roman" w:cs="Times New Roman"/>
          <w:lang w:val="en-US"/>
        </w:rPr>
        <w:t>5</w:t>
      </w:r>
      <w:r w:rsidRPr="00812D35">
        <w:rPr>
          <w:rFonts w:ascii="Times New Roman" w:hAnsi="Times New Roman" w:cs="Times New Roman"/>
          <w:lang w:val="en-US"/>
        </w:rPr>
        <w:t xml:space="preserve"> (Central Law Agency, Allahabad</w:t>
      </w:r>
      <w:r>
        <w:rPr>
          <w:rFonts w:ascii="Times New Roman" w:hAnsi="Times New Roman" w:cs="Times New Roman"/>
          <w:lang w:val="en-US"/>
        </w:rPr>
        <w:t xml:space="preserve"> 2</w:t>
      </w:r>
      <w:r w:rsidRPr="00812D35">
        <w:rPr>
          <w:rFonts w:ascii="Times New Roman" w:hAnsi="Times New Roman" w:cs="Times New Roman"/>
          <w:vertAlign w:val="superscript"/>
          <w:lang w:val="en-US"/>
        </w:rPr>
        <w:t>nd</w:t>
      </w:r>
      <w:r>
        <w:rPr>
          <w:rFonts w:ascii="Times New Roman" w:hAnsi="Times New Roman" w:cs="Times New Roman"/>
          <w:lang w:val="en-US"/>
        </w:rPr>
        <w:t xml:space="preserve"> edn. 2019)</w:t>
      </w:r>
    </w:p>
  </w:footnote>
  <w:footnote w:id="7">
    <w:p w14:paraId="27B427FB" w14:textId="77777777" w:rsidR="00B95739" w:rsidRPr="002F6426" w:rsidRDefault="00B95739" w:rsidP="00B95739">
      <w:pPr>
        <w:pStyle w:val="FootnoteText"/>
        <w:rPr>
          <w:lang w:val="en-US"/>
        </w:rPr>
      </w:pPr>
      <w:r>
        <w:rPr>
          <w:rStyle w:val="FootnoteReference"/>
        </w:rPr>
        <w:footnoteRef/>
      </w:r>
      <w:r>
        <w:t xml:space="preserve"> </w:t>
      </w:r>
      <w:r w:rsidRPr="00812D35">
        <w:rPr>
          <w:rFonts w:ascii="Times New Roman" w:hAnsi="Times New Roman" w:cs="Times New Roman"/>
          <w:lang w:val="en-US"/>
        </w:rPr>
        <w:t>Dr. Viswanath Paranjape, Cyber Crimes &amp; Law 139 (Central Law Agency, Allahabad 2</w:t>
      </w:r>
      <w:r w:rsidRPr="00812D35">
        <w:rPr>
          <w:rFonts w:ascii="Times New Roman" w:hAnsi="Times New Roman" w:cs="Times New Roman"/>
          <w:vertAlign w:val="superscript"/>
          <w:lang w:val="en-US"/>
        </w:rPr>
        <w:t>nd</w:t>
      </w:r>
      <w:r w:rsidRPr="00812D35">
        <w:rPr>
          <w:rFonts w:ascii="Times New Roman" w:hAnsi="Times New Roman" w:cs="Times New Roman"/>
          <w:lang w:val="en-US"/>
        </w:rPr>
        <w:t xml:space="preserve"> edn. 2019)</w:t>
      </w:r>
    </w:p>
  </w:footnote>
  <w:footnote w:id="8">
    <w:p w14:paraId="456E998E" w14:textId="77777777" w:rsidR="00B95739" w:rsidRPr="0097577A" w:rsidRDefault="00B95739" w:rsidP="00B95739">
      <w:pPr>
        <w:pStyle w:val="FootnoteText"/>
        <w:rPr>
          <w:rFonts w:ascii="Times New Roman" w:hAnsi="Times New Roman" w:cs="Times New Roman"/>
          <w:lang w:val="en-US"/>
        </w:rPr>
      </w:pPr>
      <w:r w:rsidRPr="0097577A">
        <w:rPr>
          <w:rStyle w:val="FootnoteReference"/>
          <w:rFonts w:ascii="Times New Roman" w:hAnsi="Times New Roman" w:cs="Times New Roman"/>
        </w:rPr>
        <w:footnoteRef/>
      </w:r>
      <w:r w:rsidRPr="0097577A">
        <w:rPr>
          <w:rFonts w:ascii="Times New Roman" w:hAnsi="Times New Roman" w:cs="Times New Roman"/>
        </w:rPr>
        <w:t xml:space="preserve"> </w:t>
      </w:r>
      <w:r w:rsidRPr="0097577A">
        <w:rPr>
          <w:rFonts w:ascii="Times New Roman" w:hAnsi="Times New Roman" w:cs="Times New Roman"/>
          <w:lang w:val="en-US"/>
        </w:rPr>
        <w:t>Information Technologies Act, 2000 (21 of 2000)</w:t>
      </w:r>
    </w:p>
  </w:footnote>
  <w:footnote w:id="9">
    <w:p w14:paraId="3F05C077" w14:textId="77777777" w:rsidR="00B95739" w:rsidRPr="00A609C1" w:rsidRDefault="00B95739" w:rsidP="00B95739">
      <w:pPr>
        <w:pStyle w:val="FootnoteText"/>
        <w:rPr>
          <w:lang w:val="en-US"/>
        </w:rPr>
      </w:pPr>
      <w:r>
        <w:rPr>
          <w:rStyle w:val="FootnoteReference"/>
        </w:rPr>
        <w:footnoteRef/>
      </w:r>
      <w:r>
        <w:t xml:space="preserve"> </w:t>
      </w:r>
      <w:r w:rsidRPr="00812D35">
        <w:rPr>
          <w:rFonts w:ascii="Times New Roman" w:hAnsi="Times New Roman" w:cs="Times New Roman"/>
          <w:lang w:val="en-US"/>
        </w:rPr>
        <w:t>Dr. Viswanath Paranjape, Cyber Crimes &amp; Law 1</w:t>
      </w:r>
      <w:r>
        <w:rPr>
          <w:rFonts w:ascii="Times New Roman" w:hAnsi="Times New Roman" w:cs="Times New Roman"/>
          <w:lang w:val="en-US"/>
        </w:rPr>
        <w:t>87</w:t>
      </w:r>
      <w:r w:rsidRPr="00812D35">
        <w:rPr>
          <w:rFonts w:ascii="Times New Roman" w:hAnsi="Times New Roman" w:cs="Times New Roman"/>
          <w:lang w:val="en-US"/>
        </w:rPr>
        <w:t xml:space="preserve"> (Central Law Agency, Allahabad 2</w:t>
      </w:r>
      <w:r w:rsidRPr="00812D35">
        <w:rPr>
          <w:rFonts w:ascii="Times New Roman" w:hAnsi="Times New Roman" w:cs="Times New Roman"/>
          <w:vertAlign w:val="superscript"/>
          <w:lang w:val="en-US"/>
        </w:rPr>
        <w:t>nd</w:t>
      </w:r>
      <w:r w:rsidRPr="00812D35">
        <w:rPr>
          <w:rFonts w:ascii="Times New Roman" w:hAnsi="Times New Roman" w:cs="Times New Roman"/>
          <w:lang w:val="en-US"/>
        </w:rPr>
        <w:t xml:space="preserve"> edn.</w:t>
      </w:r>
      <w:r>
        <w:rPr>
          <w:rFonts w:ascii="Times New Roman" w:hAnsi="Times New Roman" w:cs="Times New Roman"/>
          <w:lang w:val="en-US"/>
        </w:rPr>
        <w:t xml:space="preserve"> 2019)</w:t>
      </w:r>
    </w:p>
  </w:footnote>
  <w:footnote w:id="10">
    <w:p w14:paraId="5AB573F0" w14:textId="77777777" w:rsidR="00B95739" w:rsidRPr="00A609C1" w:rsidRDefault="00B95739" w:rsidP="00B95739">
      <w:pPr>
        <w:pStyle w:val="FootnoteText"/>
        <w:rPr>
          <w:lang w:val="en-US"/>
        </w:rPr>
      </w:pPr>
      <w:r>
        <w:rPr>
          <w:rStyle w:val="FootnoteReference"/>
        </w:rPr>
        <w:footnoteRef/>
      </w:r>
      <w:r>
        <w:t xml:space="preserve"> </w:t>
      </w:r>
      <w:r w:rsidRPr="00812D35">
        <w:rPr>
          <w:rFonts w:ascii="Times New Roman" w:hAnsi="Times New Roman" w:cs="Times New Roman"/>
          <w:lang w:val="en-US"/>
        </w:rPr>
        <w:t>Dr. Viswanath Paranjape, Cyber Crimes &amp; Law 1</w:t>
      </w:r>
      <w:r>
        <w:rPr>
          <w:rFonts w:ascii="Times New Roman" w:hAnsi="Times New Roman" w:cs="Times New Roman"/>
          <w:lang w:val="en-US"/>
        </w:rPr>
        <w:t>88</w:t>
      </w:r>
      <w:r w:rsidRPr="00812D35">
        <w:rPr>
          <w:rFonts w:ascii="Times New Roman" w:hAnsi="Times New Roman" w:cs="Times New Roman"/>
          <w:lang w:val="en-US"/>
        </w:rPr>
        <w:t xml:space="preserve"> (Central Law Agency, Allahabad 2</w:t>
      </w:r>
      <w:r w:rsidRPr="00812D35">
        <w:rPr>
          <w:rFonts w:ascii="Times New Roman" w:hAnsi="Times New Roman" w:cs="Times New Roman"/>
          <w:vertAlign w:val="superscript"/>
          <w:lang w:val="en-US"/>
        </w:rPr>
        <w:t>nd</w:t>
      </w:r>
      <w:r w:rsidRPr="00812D35">
        <w:rPr>
          <w:rFonts w:ascii="Times New Roman" w:hAnsi="Times New Roman" w:cs="Times New Roman"/>
          <w:lang w:val="en-US"/>
        </w:rPr>
        <w:t xml:space="preserve"> edn.</w:t>
      </w:r>
      <w:r>
        <w:rPr>
          <w:rFonts w:ascii="Times New Roman" w:hAnsi="Times New Roman" w:cs="Times New Roman"/>
          <w:lang w:val="en-US"/>
        </w:rPr>
        <w:t xml:space="preserve"> 2019)</w:t>
      </w:r>
    </w:p>
  </w:footnote>
  <w:footnote w:id="11">
    <w:p w14:paraId="7E2DAECD" w14:textId="77777777" w:rsidR="00B95739" w:rsidRPr="0033351E" w:rsidRDefault="00B95739" w:rsidP="00B95739">
      <w:pPr>
        <w:pStyle w:val="FootnoteText"/>
        <w:jc w:val="both"/>
        <w:rPr>
          <w:rFonts w:ascii="Times New Roman" w:hAnsi="Times New Roman" w:cs="Times New Roman"/>
          <w:lang w:val="en-US"/>
        </w:rPr>
      </w:pPr>
      <w:r w:rsidRPr="0033351E">
        <w:rPr>
          <w:rStyle w:val="FootnoteReference"/>
          <w:rFonts w:ascii="Times New Roman" w:hAnsi="Times New Roman" w:cs="Times New Roman"/>
        </w:rPr>
        <w:footnoteRef/>
      </w:r>
      <w:r w:rsidRPr="0033351E">
        <w:rPr>
          <w:rFonts w:ascii="Times New Roman" w:hAnsi="Times New Roman" w:cs="Times New Roman"/>
        </w:rPr>
        <w:t xml:space="preserve"> section 62, Expln. 2: “ ….. [N]umber of documents made … in case of printing….</w:t>
      </w:r>
      <w:r w:rsidRPr="0033351E">
        <w:rPr>
          <w:rFonts w:ascii="Times New Roman" w:hAnsi="Times New Roman" w:cs="Times New Roman"/>
          <w:i/>
          <w:iCs/>
        </w:rPr>
        <w:t xml:space="preserve">” </w:t>
      </w:r>
      <w:r w:rsidRPr="0033351E">
        <w:rPr>
          <w:rFonts w:ascii="Times New Roman" w:hAnsi="Times New Roman" w:cs="Times New Roman"/>
        </w:rPr>
        <w:t xml:space="preserve"> (emphasis supplied)</w:t>
      </w:r>
    </w:p>
  </w:footnote>
  <w:footnote w:id="12">
    <w:p w14:paraId="3997EEE7" w14:textId="77777777" w:rsidR="00B95739" w:rsidRPr="0033351E" w:rsidRDefault="00B95739" w:rsidP="00B95739">
      <w:pPr>
        <w:pStyle w:val="FootnoteText"/>
        <w:jc w:val="both"/>
        <w:rPr>
          <w:rFonts w:ascii="Times New Roman" w:hAnsi="Times New Roman" w:cs="Times New Roman"/>
          <w:lang w:val="en-US"/>
        </w:rPr>
      </w:pPr>
      <w:r w:rsidRPr="0033351E">
        <w:rPr>
          <w:rStyle w:val="FootnoteReference"/>
          <w:rFonts w:ascii="Times New Roman" w:hAnsi="Times New Roman" w:cs="Times New Roman"/>
        </w:rPr>
        <w:footnoteRef/>
      </w:r>
      <w:r w:rsidRPr="0033351E">
        <w:rPr>
          <w:rFonts w:ascii="Times New Roman" w:hAnsi="Times New Roman" w:cs="Times New Roman"/>
        </w:rPr>
        <w:t xml:space="preserve"> </w:t>
      </w:r>
      <w:r w:rsidRPr="0033351E">
        <w:rPr>
          <w:rFonts w:ascii="Times New Roman" w:hAnsi="Times New Roman" w:cs="Times New Roman"/>
          <w:lang w:val="en-US"/>
        </w:rPr>
        <w:t xml:space="preserve">Peter Murphy </w:t>
      </w:r>
      <w:r w:rsidRPr="0033351E">
        <w:rPr>
          <w:rFonts w:ascii="Times New Roman" w:hAnsi="Times New Roman" w:cs="Times New Roman"/>
          <w:i/>
          <w:iCs/>
          <w:lang w:val="en-US"/>
        </w:rPr>
        <w:t>A Practical Approach to Evidence,</w:t>
      </w:r>
      <w:r w:rsidRPr="0033351E">
        <w:rPr>
          <w:rFonts w:ascii="Times New Roman" w:hAnsi="Times New Roman" w:cs="Times New Roman"/>
          <w:lang w:val="en-US"/>
        </w:rPr>
        <w:t xml:space="preserve"> 1988, Blackstone Press, London, p. 186</w:t>
      </w:r>
    </w:p>
  </w:footnote>
  <w:footnote w:id="13">
    <w:p w14:paraId="14B4D449" w14:textId="77777777" w:rsidR="00B95739" w:rsidRPr="00701FBB" w:rsidRDefault="00B95739" w:rsidP="00B95739">
      <w:pPr>
        <w:pStyle w:val="FootnoteText"/>
        <w:jc w:val="both"/>
        <w:rPr>
          <w:rFonts w:ascii="Times New Roman" w:hAnsi="Times New Roman" w:cs="Times New Roman"/>
          <w:lang w:val="en-US"/>
        </w:rPr>
      </w:pPr>
      <w:r w:rsidRPr="00701FBB">
        <w:rPr>
          <w:rStyle w:val="FootnoteReference"/>
          <w:rFonts w:ascii="Times New Roman" w:hAnsi="Times New Roman" w:cs="Times New Roman"/>
        </w:rPr>
        <w:footnoteRef/>
      </w:r>
      <w:r w:rsidRPr="00701FBB">
        <w:rPr>
          <w:rFonts w:ascii="Times New Roman" w:hAnsi="Times New Roman" w:cs="Times New Roman"/>
        </w:rPr>
        <w:t xml:space="preserve"> &lt;http://www.uncitral.org/english/texts/electcom/ml-ec.htm&gt;</w:t>
      </w:r>
    </w:p>
  </w:footnote>
  <w:footnote w:id="14">
    <w:p w14:paraId="7840A91E" w14:textId="77777777" w:rsidR="00B95739" w:rsidRPr="00701FBB" w:rsidRDefault="00B95739" w:rsidP="00B95739">
      <w:pPr>
        <w:pStyle w:val="FootnoteText"/>
        <w:jc w:val="both"/>
        <w:rPr>
          <w:rFonts w:ascii="Times New Roman" w:hAnsi="Times New Roman" w:cs="Times New Roman"/>
          <w:lang w:val="en-US"/>
        </w:rPr>
      </w:pPr>
      <w:r w:rsidRPr="00701FBB">
        <w:rPr>
          <w:rStyle w:val="FootnoteReference"/>
          <w:rFonts w:ascii="Times New Roman" w:hAnsi="Times New Roman" w:cs="Times New Roman"/>
        </w:rPr>
        <w:footnoteRef/>
      </w:r>
      <w:r w:rsidRPr="00701FBB">
        <w:rPr>
          <w:rFonts w:ascii="Times New Roman" w:hAnsi="Times New Roman" w:cs="Times New Roman"/>
        </w:rPr>
        <w:t xml:space="preserve"> </w:t>
      </w:r>
      <w:r w:rsidRPr="00701FBB">
        <w:rPr>
          <w:rFonts w:ascii="Times New Roman" w:hAnsi="Times New Roman" w:cs="Times New Roman"/>
          <w:lang w:val="en-US"/>
        </w:rPr>
        <w:t>State of Maharashtra v. Dr. Praful B. Desai, (2003) 4 SCC 601.</w:t>
      </w:r>
    </w:p>
  </w:footnote>
  <w:footnote w:id="15">
    <w:p w14:paraId="63A4D15E" w14:textId="77777777" w:rsidR="00B95739" w:rsidRPr="00701FBB" w:rsidRDefault="00B95739" w:rsidP="00B95739">
      <w:pPr>
        <w:pStyle w:val="FootnoteText"/>
        <w:jc w:val="both"/>
        <w:rPr>
          <w:rFonts w:ascii="Times New Roman" w:hAnsi="Times New Roman" w:cs="Times New Roman"/>
          <w:lang w:val="en-US"/>
        </w:rPr>
      </w:pPr>
      <w:r w:rsidRPr="00701FBB">
        <w:rPr>
          <w:rStyle w:val="FootnoteReference"/>
          <w:rFonts w:ascii="Times New Roman" w:hAnsi="Times New Roman" w:cs="Times New Roman"/>
        </w:rPr>
        <w:footnoteRef/>
      </w:r>
      <w:r w:rsidRPr="00701FBB">
        <w:rPr>
          <w:rFonts w:ascii="Times New Roman" w:hAnsi="Times New Roman" w:cs="Times New Roman"/>
        </w:rPr>
        <w:t xml:space="preserve"> </w:t>
      </w:r>
      <w:r w:rsidRPr="00701FBB">
        <w:rPr>
          <w:rFonts w:ascii="Times New Roman" w:hAnsi="Times New Roman" w:cs="Times New Roman"/>
          <w:lang w:val="en-US"/>
        </w:rPr>
        <w:t>Anupam Chakraborty v. State of Assam, 1984 Cr LJ 733.</w:t>
      </w:r>
    </w:p>
  </w:footnote>
  <w:footnote w:id="16">
    <w:p w14:paraId="4500EB86" w14:textId="77777777" w:rsidR="00B95739" w:rsidRPr="00F13480" w:rsidRDefault="00B95739" w:rsidP="00B95739">
      <w:pPr>
        <w:pStyle w:val="FootnoteText"/>
        <w:jc w:val="both"/>
        <w:rPr>
          <w:rFonts w:ascii="Times New Roman" w:hAnsi="Times New Roman" w:cs="Times New Roman"/>
          <w:lang w:val="en-US"/>
        </w:rPr>
      </w:pPr>
      <w:r w:rsidRPr="00F13480">
        <w:rPr>
          <w:rStyle w:val="FootnoteReference"/>
          <w:rFonts w:ascii="Times New Roman" w:hAnsi="Times New Roman" w:cs="Times New Roman"/>
        </w:rPr>
        <w:footnoteRef/>
      </w:r>
      <w:r w:rsidRPr="00F13480">
        <w:rPr>
          <w:rFonts w:ascii="Times New Roman" w:hAnsi="Times New Roman" w:cs="Times New Roman"/>
        </w:rPr>
        <w:t xml:space="preserve"> </w:t>
      </w:r>
      <w:r w:rsidRPr="00F13480">
        <w:rPr>
          <w:rFonts w:ascii="Times New Roman" w:hAnsi="Times New Roman" w:cs="Times New Roman"/>
          <w:lang w:val="en-US"/>
        </w:rPr>
        <w:t>State of Bihar v. Radha Krishna Singh, AIR 1983 SC 684.</w:t>
      </w:r>
    </w:p>
  </w:footnote>
  <w:footnote w:id="17">
    <w:p w14:paraId="4F584E7E" w14:textId="77777777" w:rsidR="00B95739" w:rsidRPr="00F13480" w:rsidRDefault="00B95739" w:rsidP="00B95739">
      <w:pPr>
        <w:pStyle w:val="FootnoteText"/>
        <w:jc w:val="both"/>
        <w:rPr>
          <w:rFonts w:ascii="Times New Roman" w:hAnsi="Times New Roman" w:cs="Times New Roman"/>
          <w:lang w:val="en-US"/>
        </w:rPr>
      </w:pPr>
      <w:r w:rsidRPr="00F13480">
        <w:rPr>
          <w:rStyle w:val="FootnoteReference"/>
          <w:rFonts w:ascii="Times New Roman" w:hAnsi="Times New Roman" w:cs="Times New Roman"/>
        </w:rPr>
        <w:footnoteRef/>
      </w:r>
      <w:r w:rsidRPr="00F13480">
        <w:rPr>
          <w:rFonts w:ascii="Times New Roman" w:hAnsi="Times New Roman" w:cs="Times New Roman"/>
        </w:rPr>
        <w:t xml:space="preserve"> </w:t>
      </w:r>
      <w:r w:rsidRPr="00F13480">
        <w:rPr>
          <w:rFonts w:ascii="Times New Roman" w:hAnsi="Times New Roman" w:cs="Times New Roman"/>
          <w:lang w:val="en-US"/>
        </w:rPr>
        <w:t xml:space="preserve">C. McCormick </w:t>
      </w:r>
      <w:r w:rsidRPr="00F13480">
        <w:rPr>
          <w:rFonts w:ascii="Times New Roman" w:hAnsi="Times New Roman" w:cs="Times New Roman"/>
          <w:i/>
          <w:iCs/>
          <w:lang w:val="en-US"/>
        </w:rPr>
        <w:t>Handbook</w:t>
      </w:r>
      <w:r w:rsidRPr="00F13480">
        <w:rPr>
          <w:rFonts w:ascii="Times New Roman" w:hAnsi="Times New Roman" w:cs="Times New Roman"/>
          <w:lang w:val="en-US"/>
        </w:rPr>
        <w:t xml:space="preserve"> </w:t>
      </w:r>
      <w:r w:rsidRPr="00F13480">
        <w:rPr>
          <w:rFonts w:ascii="Times New Roman" w:hAnsi="Times New Roman" w:cs="Times New Roman"/>
          <w:i/>
          <w:iCs/>
          <w:lang w:val="en-US"/>
        </w:rPr>
        <w:t xml:space="preserve">of Law of Evidence </w:t>
      </w:r>
      <w:r w:rsidRPr="00F13480">
        <w:rPr>
          <w:rFonts w:ascii="Times New Roman" w:hAnsi="Times New Roman" w:cs="Times New Roman"/>
          <w:lang w:val="en-US"/>
        </w:rPr>
        <w:t>684-86 (3d Edn., E. Cleary 1984</w:t>
      </w:r>
    </w:p>
  </w:footnote>
  <w:footnote w:id="18">
    <w:p w14:paraId="09C81750" w14:textId="77777777" w:rsidR="00B95739" w:rsidRPr="00F13480" w:rsidRDefault="00B95739" w:rsidP="00B95739">
      <w:pPr>
        <w:pStyle w:val="FootnoteText"/>
        <w:jc w:val="both"/>
        <w:rPr>
          <w:rFonts w:ascii="Times New Roman" w:hAnsi="Times New Roman" w:cs="Times New Roman"/>
          <w:lang w:val="en-US"/>
        </w:rPr>
      </w:pPr>
      <w:r w:rsidRPr="00F13480">
        <w:rPr>
          <w:rStyle w:val="FootnoteReference"/>
          <w:rFonts w:ascii="Times New Roman" w:hAnsi="Times New Roman" w:cs="Times New Roman"/>
        </w:rPr>
        <w:footnoteRef/>
      </w:r>
      <w:r w:rsidRPr="00F13480">
        <w:rPr>
          <w:rFonts w:ascii="Times New Roman" w:hAnsi="Times New Roman" w:cs="Times New Roman"/>
        </w:rPr>
        <w:t xml:space="preserve"> </w:t>
      </w:r>
      <w:r w:rsidRPr="00F13480">
        <w:rPr>
          <w:rFonts w:ascii="Times New Roman" w:hAnsi="Times New Roman" w:cs="Times New Roman"/>
          <w:i/>
          <w:iCs/>
          <w:lang w:val="en-US"/>
        </w:rPr>
        <w:t xml:space="preserve">Ford Motor Credit Co. v. Swarens, </w:t>
      </w:r>
      <w:r w:rsidRPr="00F13480">
        <w:rPr>
          <w:rFonts w:ascii="Times New Roman" w:hAnsi="Times New Roman" w:cs="Times New Roman"/>
          <w:lang w:val="en-US"/>
        </w:rPr>
        <w:t>447 S.W.2d 53 (Ky. 1969)</w:t>
      </w:r>
    </w:p>
  </w:footnote>
  <w:footnote w:id="19">
    <w:p w14:paraId="5C32FBE0" w14:textId="77777777" w:rsidR="00B95739" w:rsidRPr="00F13480" w:rsidRDefault="00B95739" w:rsidP="00B95739">
      <w:pPr>
        <w:pStyle w:val="FootnoteText"/>
        <w:jc w:val="both"/>
        <w:rPr>
          <w:rFonts w:ascii="Times New Roman" w:hAnsi="Times New Roman" w:cs="Times New Roman"/>
          <w:lang w:val="en-US"/>
        </w:rPr>
      </w:pPr>
      <w:r w:rsidRPr="00F13480">
        <w:rPr>
          <w:rStyle w:val="FootnoteReference"/>
          <w:rFonts w:ascii="Times New Roman" w:hAnsi="Times New Roman" w:cs="Times New Roman"/>
        </w:rPr>
        <w:footnoteRef/>
      </w:r>
      <w:r w:rsidRPr="00F13480">
        <w:rPr>
          <w:rFonts w:ascii="Times New Roman" w:hAnsi="Times New Roman" w:cs="Times New Roman"/>
        </w:rPr>
        <w:t xml:space="preserve"> </w:t>
      </w:r>
      <w:r w:rsidRPr="00F13480">
        <w:rPr>
          <w:rFonts w:ascii="Times New Roman" w:hAnsi="Times New Roman" w:cs="Times New Roman"/>
          <w:lang w:val="en-US"/>
        </w:rPr>
        <w:t>America Federal Rule of Evidence 803(6).</w:t>
      </w:r>
    </w:p>
  </w:footnote>
  <w:footnote w:id="20">
    <w:p w14:paraId="2AF5B9D6" w14:textId="77777777" w:rsidR="00B95739" w:rsidRPr="00F13480" w:rsidRDefault="00B95739" w:rsidP="00B95739">
      <w:pPr>
        <w:pStyle w:val="FootnoteText"/>
        <w:jc w:val="both"/>
        <w:rPr>
          <w:lang w:val="en-US"/>
        </w:rPr>
      </w:pPr>
      <w:r w:rsidRPr="00F13480">
        <w:rPr>
          <w:rStyle w:val="FootnoteReference"/>
          <w:rFonts w:ascii="Times New Roman" w:hAnsi="Times New Roman" w:cs="Times New Roman"/>
        </w:rPr>
        <w:footnoteRef/>
      </w:r>
      <w:r w:rsidRPr="00F13480">
        <w:rPr>
          <w:rFonts w:ascii="Times New Roman" w:hAnsi="Times New Roman" w:cs="Times New Roman"/>
        </w:rPr>
        <w:t xml:space="preserve"> </w:t>
      </w:r>
      <w:r w:rsidRPr="00F13480">
        <w:rPr>
          <w:rFonts w:ascii="Times New Roman" w:hAnsi="Times New Roman" w:cs="Times New Roman"/>
          <w:lang w:val="en-US"/>
        </w:rPr>
        <w:t>&lt;</w:t>
      </w:r>
      <w:r w:rsidRPr="00F13480">
        <w:rPr>
          <w:rFonts w:ascii="Times New Roman" w:hAnsi="Times New Roman" w:cs="Times New Roman"/>
          <w:i/>
          <w:iCs/>
          <w:lang w:val="en-US"/>
        </w:rPr>
        <w:t>http://www.mit.gov.in/cyber.htm&gt;</w:t>
      </w:r>
    </w:p>
  </w:footnote>
  <w:footnote w:id="21">
    <w:p w14:paraId="2FE70B14" w14:textId="77777777" w:rsidR="00B95739" w:rsidRPr="00711D7A" w:rsidRDefault="00B95739" w:rsidP="00B95739">
      <w:pPr>
        <w:pStyle w:val="FootnoteText"/>
        <w:jc w:val="both"/>
        <w:rPr>
          <w:rFonts w:ascii="Times New Roman" w:hAnsi="Times New Roman" w:cs="Times New Roman"/>
          <w:lang w:val="en-US"/>
        </w:rPr>
      </w:pPr>
      <w:r w:rsidRPr="00711D7A">
        <w:rPr>
          <w:rStyle w:val="FootnoteReference"/>
          <w:rFonts w:ascii="Times New Roman" w:hAnsi="Times New Roman" w:cs="Times New Roman"/>
        </w:rPr>
        <w:footnoteRef/>
      </w:r>
      <w:r w:rsidRPr="00711D7A">
        <w:rPr>
          <w:rFonts w:ascii="Times New Roman" w:hAnsi="Times New Roman" w:cs="Times New Roman"/>
        </w:rPr>
        <w:t xml:space="preserve"> </w:t>
      </w:r>
      <w:r w:rsidRPr="00711D7A">
        <w:rPr>
          <w:rFonts w:ascii="Times New Roman" w:hAnsi="Times New Roman" w:cs="Times New Roman"/>
          <w:lang w:val="en-US"/>
        </w:rPr>
        <w:t>Section 62, Indian Evidence Act, 1872.</w:t>
      </w:r>
    </w:p>
  </w:footnote>
  <w:footnote w:id="22">
    <w:p w14:paraId="4DA0CAEB" w14:textId="77777777" w:rsidR="00B95739" w:rsidRPr="00711D7A" w:rsidRDefault="00B95739" w:rsidP="00B95739">
      <w:pPr>
        <w:pStyle w:val="FootnoteText"/>
        <w:jc w:val="both"/>
        <w:rPr>
          <w:lang w:val="en-US"/>
        </w:rPr>
      </w:pPr>
      <w:r w:rsidRPr="00711D7A">
        <w:rPr>
          <w:rStyle w:val="FootnoteReference"/>
          <w:rFonts w:ascii="Times New Roman" w:hAnsi="Times New Roman" w:cs="Times New Roman"/>
        </w:rPr>
        <w:footnoteRef/>
      </w:r>
      <w:r w:rsidRPr="00711D7A">
        <w:rPr>
          <w:rFonts w:ascii="Times New Roman" w:hAnsi="Times New Roman" w:cs="Times New Roman"/>
        </w:rPr>
        <w:t xml:space="preserve"> </w:t>
      </w:r>
      <w:r w:rsidRPr="00711D7A">
        <w:rPr>
          <w:rFonts w:ascii="Times New Roman" w:hAnsi="Times New Roman" w:cs="Times New Roman"/>
          <w:lang w:val="en-US"/>
        </w:rPr>
        <w:t>Section 63, Indian Evidence Act, 1872.</w:t>
      </w:r>
    </w:p>
  </w:footnote>
  <w:footnote w:id="23">
    <w:p w14:paraId="2C956C3E" w14:textId="77777777" w:rsidR="00B95739" w:rsidRPr="002F2A8A" w:rsidRDefault="00B95739" w:rsidP="00B95739">
      <w:pPr>
        <w:pStyle w:val="FootnoteText"/>
        <w:rPr>
          <w:rFonts w:ascii="Times New Roman" w:hAnsi="Times New Roman" w:cs="Times New Roman"/>
          <w:lang w:val="en-US"/>
        </w:rPr>
      </w:pPr>
      <w:r w:rsidRPr="002F2A8A">
        <w:rPr>
          <w:rStyle w:val="FootnoteReference"/>
          <w:rFonts w:ascii="Times New Roman" w:hAnsi="Times New Roman" w:cs="Times New Roman"/>
        </w:rPr>
        <w:footnoteRef/>
      </w:r>
      <w:r w:rsidRPr="002F2A8A">
        <w:rPr>
          <w:rFonts w:ascii="Times New Roman" w:hAnsi="Times New Roman" w:cs="Times New Roman"/>
        </w:rPr>
        <w:t xml:space="preserve"> </w:t>
      </w:r>
      <w:r w:rsidRPr="002F2A8A">
        <w:rPr>
          <w:rFonts w:ascii="Times New Roman" w:hAnsi="Times New Roman" w:cs="Times New Roman"/>
          <w:lang w:val="en-US"/>
        </w:rPr>
        <w:t>Internet And Mobile Association of India V. Reserve Bank of India (2020) SCC 275</w:t>
      </w:r>
    </w:p>
  </w:footnote>
  <w:footnote w:id="24">
    <w:p w14:paraId="7B665C50" w14:textId="77777777" w:rsidR="00B95739" w:rsidRPr="00612C1E" w:rsidRDefault="00B95739" w:rsidP="00B95739">
      <w:pPr>
        <w:pStyle w:val="FootnoteText"/>
        <w:rPr>
          <w:lang w:val="en-US"/>
        </w:rPr>
      </w:pPr>
      <w:r>
        <w:rPr>
          <w:rStyle w:val="FootnoteReference"/>
        </w:rPr>
        <w:footnoteRef/>
      </w:r>
      <w:r>
        <w:t xml:space="preserve"> </w:t>
      </w:r>
      <w:r w:rsidRPr="00612C1E">
        <w:rPr>
          <w:rFonts w:ascii="Times New Roman" w:hAnsi="Times New Roman" w:cs="Times New Roman"/>
          <w:i/>
          <w:iCs/>
          <w:lang w:val="en-US"/>
        </w:rPr>
        <w:t>Hitesh Bhatia V. Kumar Vivekanand</w:t>
      </w:r>
      <w:r w:rsidRPr="00612C1E">
        <w:rPr>
          <w:rFonts w:ascii="Times New Roman" w:hAnsi="Times New Roman" w:cs="Times New Roman"/>
          <w:lang w:val="en-US"/>
        </w:rPr>
        <w:t xml:space="preserve"> (2021) 3207 of 2021</w:t>
      </w:r>
    </w:p>
  </w:footnote>
  <w:footnote w:id="25">
    <w:p w14:paraId="20F06871" w14:textId="77777777" w:rsidR="00B95739" w:rsidRPr="008253AA" w:rsidRDefault="00B95739" w:rsidP="00B95739">
      <w:pPr>
        <w:pStyle w:val="FootnoteText"/>
        <w:rPr>
          <w:rFonts w:ascii="Times New Roman" w:hAnsi="Times New Roman" w:cs="Times New Roman"/>
          <w:lang w:val="en-US"/>
        </w:rPr>
      </w:pPr>
      <w:r w:rsidRPr="008253AA">
        <w:rPr>
          <w:rStyle w:val="FootnoteReference"/>
          <w:rFonts w:ascii="Times New Roman" w:hAnsi="Times New Roman" w:cs="Times New Roman"/>
        </w:rPr>
        <w:footnoteRef/>
      </w:r>
      <w:r w:rsidRPr="008253AA">
        <w:rPr>
          <w:rFonts w:ascii="Times New Roman" w:hAnsi="Times New Roman" w:cs="Times New Roman"/>
        </w:rPr>
        <w:t xml:space="preserve"> </w:t>
      </w:r>
      <w:r w:rsidRPr="008253AA">
        <w:rPr>
          <w:rFonts w:ascii="Times New Roman" w:hAnsi="Times New Roman" w:cs="Times New Roman"/>
          <w:lang w:val="en-US"/>
        </w:rPr>
        <w:t xml:space="preserve">All India Council for Technology, India, </w:t>
      </w:r>
      <w:r w:rsidRPr="008253AA">
        <w:rPr>
          <w:rFonts w:ascii="Times New Roman" w:hAnsi="Times New Roman" w:cs="Times New Roman"/>
          <w:i/>
          <w:iCs/>
          <w:lang w:val="en-US"/>
        </w:rPr>
        <w:t>available at</w:t>
      </w:r>
      <w:r w:rsidRPr="008253AA">
        <w:rPr>
          <w:rFonts w:ascii="Times New Roman" w:hAnsi="Times New Roman" w:cs="Times New Roman"/>
          <w:lang w:val="en-US"/>
        </w:rPr>
        <w:t xml:space="preserve">: </w:t>
      </w:r>
      <w:hyperlink r:id="rId1" w:history="1">
        <w:r w:rsidRPr="008253AA">
          <w:rPr>
            <w:rStyle w:val="Hyperlink"/>
            <w:rFonts w:ascii="Times New Roman" w:hAnsi="Times New Roman" w:cs="Times New Roman"/>
          </w:rPr>
          <w:t>Cyber Security | Government of India, All India Council for Technical Education (aicte-india.org)</w:t>
        </w:r>
      </w:hyperlink>
      <w:r w:rsidRPr="008253AA">
        <w:rPr>
          <w:rFonts w:ascii="Times New Roman" w:hAnsi="Times New Roman" w:cs="Times New Roman"/>
        </w:rPr>
        <w:t xml:space="preserve"> (Visited on February 22, 2024)</w:t>
      </w:r>
    </w:p>
  </w:footnote>
  <w:footnote w:id="26">
    <w:p w14:paraId="5711F36F" w14:textId="77777777" w:rsidR="00B95739" w:rsidRPr="00C00199" w:rsidRDefault="00B95739" w:rsidP="00B95739">
      <w:pPr>
        <w:pStyle w:val="FootnoteText"/>
        <w:rPr>
          <w:rFonts w:ascii="Times New Roman" w:hAnsi="Times New Roman" w:cs="Times New Roman"/>
          <w:i/>
          <w:iCs/>
          <w:lang w:val="en-US"/>
        </w:rPr>
      </w:pPr>
      <w:r w:rsidRPr="00C00199">
        <w:rPr>
          <w:rStyle w:val="FootnoteReference"/>
          <w:rFonts w:ascii="Times New Roman" w:hAnsi="Times New Roman" w:cs="Times New Roman"/>
        </w:rPr>
        <w:footnoteRef/>
      </w:r>
      <w:r w:rsidRPr="00C00199">
        <w:rPr>
          <w:rFonts w:ascii="Times New Roman" w:hAnsi="Times New Roman" w:cs="Times New Roman"/>
        </w:rPr>
        <w:t xml:space="preserve"> </w:t>
      </w:r>
      <w:r w:rsidRPr="00C00199">
        <w:rPr>
          <w:rFonts w:ascii="Times New Roman" w:hAnsi="Times New Roman" w:cs="Times New Roman"/>
          <w:lang w:val="en-US"/>
        </w:rPr>
        <w:t xml:space="preserve">Dr. Viswanath Paranjape, </w:t>
      </w:r>
      <w:r w:rsidRPr="00C00199">
        <w:rPr>
          <w:rFonts w:ascii="Times New Roman" w:hAnsi="Times New Roman" w:cs="Times New Roman"/>
          <w:i/>
          <w:iCs/>
          <w:lang w:val="en-US"/>
        </w:rPr>
        <w:t xml:space="preserve">Cyber Crimes &amp; Law, 68 </w:t>
      </w:r>
      <w:r w:rsidRPr="00C00199">
        <w:rPr>
          <w:rFonts w:ascii="Times New Roman" w:hAnsi="Times New Roman" w:cs="Times New Roman"/>
          <w:lang w:val="en-US"/>
        </w:rPr>
        <w:t>(Central law Agency, Allahabad, 2</w:t>
      </w:r>
      <w:r w:rsidRPr="00C00199">
        <w:rPr>
          <w:rFonts w:ascii="Times New Roman" w:hAnsi="Times New Roman" w:cs="Times New Roman"/>
          <w:vertAlign w:val="superscript"/>
          <w:lang w:val="en-US"/>
        </w:rPr>
        <w:t>nd</w:t>
      </w:r>
      <w:r w:rsidRPr="00C00199">
        <w:rPr>
          <w:rFonts w:ascii="Times New Roman" w:hAnsi="Times New Roman" w:cs="Times New Roman"/>
          <w:lang w:val="en-US"/>
        </w:rPr>
        <w:t xml:space="preserve"> edn., 2019)</w:t>
      </w:r>
    </w:p>
  </w:footnote>
  <w:footnote w:id="27">
    <w:p w14:paraId="66B4C5C9" w14:textId="77777777" w:rsidR="00B95739" w:rsidRPr="00E078CA" w:rsidRDefault="00B95739" w:rsidP="00B95739">
      <w:pPr>
        <w:pStyle w:val="FootnoteText"/>
        <w:rPr>
          <w:rFonts w:ascii="Times New Roman" w:hAnsi="Times New Roman" w:cs="Times New Roman"/>
          <w:lang w:val="en-US"/>
        </w:rPr>
      </w:pPr>
      <w:r w:rsidRPr="00E078CA">
        <w:rPr>
          <w:rStyle w:val="FootnoteReference"/>
          <w:rFonts w:ascii="Times New Roman" w:hAnsi="Times New Roman" w:cs="Times New Roman"/>
        </w:rPr>
        <w:footnoteRef/>
      </w:r>
      <w:r w:rsidRPr="00E078CA">
        <w:rPr>
          <w:rFonts w:ascii="Times New Roman" w:hAnsi="Times New Roman" w:cs="Times New Roman"/>
        </w:rPr>
        <w:t xml:space="preserve"> </w:t>
      </w:r>
      <w:r w:rsidRPr="00E078CA">
        <w:rPr>
          <w:rFonts w:ascii="Times New Roman" w:hAnsi="Times New Roman" w:cs="Times New Roman"/>
          <w:lang w:val="en-US"/>
        </w:rPr>
        <w:t>Reserve Bank of India, Chapter 9 Report of the Working Group on Electronic Ranking (January</w:t>
      </w:r>
      <w:r>
        <w:rPr>
          <w:rFonts w:ascii="Times New Roman" w:hAnsi="Times New Roman" w:cs="Times New Roman"/>
          <w:lang w:val="en-US"/>
        </w:rPr>
        <w:t>,</w:t>
      </w:r>
      <w:r w:rsidRPr="00E078CA">
        <w:rPr>
          <w:rFonts w:ascii="Times New Roman" w:hAnsi="Times New Roman" w:cs="Times New Roman"/>
          <w:lang w:val="en-US"/>
        </w:rPr>
        <w:t xml:space="preserve"> 2011) </w:t>
      </w:r>
    </w:p>
  </w:footnote>
  <w:footnote w:id="28">
    <w:p w14:paraId="40148F67" w14:textId="77777777" w:rsidR="00B95739" w:rsidRPr="001C0A94" w:rsidRDefault="00B95739" w:rsidP="00B95739">
      <w:pPr>
        <w:pStyle w:val="FootnoteText"/>
        <w:rPr>
          <w:rFonts w:ascii="Times New Roman" w:hAnsi="Times New Roman" w:cs="Times New Roman"/>
          <w:lang w:val="en-US"/>
        </w:rPr>
      </w:pPr>
      <w:r w:rsidRPr="001C0A94">
        <w:rPr>
          <w:rStyle w:val="FootnoteReference"/>
          <w:rFonts w:ascii="Times New Roman" w:hAnsi="Times New Roman" w:cs="Times New Roman"/>
        </w:rPr>
        <w:footnoteRef/>
      </w:r>
      <w:r w:rsidRPr="001C0A94">
        <w:rPr>
          <w:rFonts w:ascii="Times New Roman" w:hAnsi="Times New Roman" w:cs="Times New Roman"/>
        </w:rPr>
        <w:t xml:space="preserve"> </w:t>
      </w:r>
      <w:r w:rsidRPr="001C0A94">
        <w:rPr>
          <w:rFonts w:ascii="Times New Roman" w:hAnsi="Times New Roman" w:cs="Times New Roman"/>
          <w:lang w:val="en-US"/>
        </w:rPr>
        <w:t>Hollis Duncan “A Brief Primer on International Law and Cyberspace” CEIP 1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A1036" w14:textId="77777777" w:rsidR="005B4442" w:rsidRDefault="008A0474" w:rsidP="008A0474">
    <w:pPr>
      <w:pBdr>
        <w:bottom w:val="single" w:sz="4" w:space="1" w:color="auto"/>
      </w:pBdr>
      <w:tabs>
        <w:tab w:val="left" w:pos="90"/>
      </w:tabs>
      <w:spacing w:line="240" w:lineRule="auto"/>
      <w:jc w:val="center"/>
      <w:rPr>
        <w:rFonts w:ascii="Times New Roman"/>
        <w:i/>
        <w:szCs w:val="20"/>
      </w:rPr>
    </w:pPr>
    <w:r>
      <w:rPr>
        <w:rFonts w:ascii="Times New Roman"/>
        <w:i/>
        <w:szCs w:val="20"/>
      </w:rPr>
      <w:t>Title of paper</w:t>
    </w:r>
    <w:r w:rsidR="005B4442">
      <w:rPr>
        <w:rFonts w:ascii="Times New Roman"/>
        <w:i/>
        <w:szCs w:val="20"/>
      </w:rPr>
      <w:t xml:space="preserve"> </w:t>
    </w:r>
    <w:r w:rsidR="005B4442" w:rsidRPr="008E770E">
      <w:rPr>
        <w:rFonts w:ascii="Times New Roman"/>
        <w:i/>
        <w:color w:val="FF0000"/>
      </w:rPr>
      <w:t>(11 Italic)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9DBB1" w14:textId="77777777" w:rsidR="005B4442" w:rsidRPr="00951BD8" w:rsidRDefault="005B4442" w:rsidP="00951BD8">
    <w:pPr>
      <w:pStyle w:val="Header"/>
    </w:pPr>
    <w:r w:rsidRPr="00951BD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5"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9" w15:restartNumberingAfterBreak="0">
    <w:nsid w:val="78C627B7"/>
    <w:multiLevelType w:val="multilevel"/>
    <w:tmpl w:val="901627F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0" w15:restartNumberingAfterBreak="0">
    <w:nsid w:val="7C301366"/>
    <w:multiLevelType w:val="hybridMultilevel"/>
    <w:tmpl w:val="B714EA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0003967">
    <w:abstractNumId w:val="8"/>
  </w:num>
  <w:num w:numId="2" w16cid:durableId="1070083357">
    <w:abstractNumId w:val="4"/>
  </w:num>
  <w:num w:numId="3" w16cid:durableId="1874729979">
    <w:abstractNumId w:val="0"/>
  </w:num>
  <w:num w:numId="4" w16cid:durableId="720327563">
    <w:abstractNumId w:val="6"/>
  </w:num>
  <w:num w:numId="5" w16cid:durableId="1326933587">
    <w:abstractNumId w:val="5"/>
  </w:num>
  <w:num w:numId="6" w16cid:durableId="2002849109">
    <w:abstractNumId w:val="7"/>
  </w:num>
  <w:num w:numId="7" w16cid:durableId="1049761107">
    <w:abstractNumId w:val="3"/>
  </w:num>
  <w:num w:numId="8" w16cid:durableId="921064205">
    <w:abstractNumId w:val="1"/>
  </w:num>
  <w:num w:numId="9" w16cid:durableId="332803563">
    <w:abstractNumId w:val="2"/>
  </w:num>
  <w:num w:numId="10" w16cid:durableId="1389451286">
    <w:abstractNumId w:val="10"/>
  </w:num>
  <w:num w:numId="11" w16cid:durableId="20693821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3E22"/>
    <w:rsid w:val="00016496"/>
    <w:rsid w:val="000423E1"/>
    <w:rsid w:val="00061B45"/>
    <w:rsid w:val="00076BC1"/>
    <w:rsid w:val="000A4F4A"/>
    <w:rsid w:val="000D3808"/>
    <w:rsid w:val="0014448D"/>
    <w:rsid w:val="001652F1"/>
    <w:rsid w:val="001813DF"/>
    <w:rsid w:val="00191607"/>
    <w:rsid w:val="001A2F65"/>
    <w:rsid w:val="001B049F"/>
    <w:rsid w:val="001B7C21"/>
    <w:rsid w:val="001B7D90"/>
    <w:rsid w:val="001D25A9"/>
    <w:rsid w:val="00214DED"/>
    <w:rsid w:val="00223511"/>
    <w:rsid w:val="002379FC"/>
    <w:rsid w:val="00245EBF"/>
    <w:rsid w:val="002572BB"/>
    <w:rsid w:val="00277D0C"/>
    <w:rsid w:val="00290EDC"/>
    <w:rsid w:val="00295279"/>
    <w:rsid w:val="002A6C7F"/>
    <w:rsid w:val="002E01AB"/>
    <w:rsid w:val="002E1ECF"/>
    <w:rsid w:val="002F7C3C"/>
    <w:rsid w:val="003075ED"/>
    <w:rsid w:val="00323F55"/>
    <w:rsid w:val="00345023"/>
    <w:rsid w:val="003475A4"/>
    <w:rsid w:val="00376239"/>
    <w:rsid w:val="00383785"/>
    <w:rsid w:val="003A1300"/>
    <w:rsid w:val="003F6BF5"/>
    <w:rsid w:val="00427D67"/>
    <w:rsid w:val="00432BC1"/>
    <w:rsid w:val="004413E4"/>
    <w:rsid w:val="00452C5D"/>
    <w:rsid w:val="0046625C"/>
    <w:rsid w:val="00472CB1"/>
    <w:rsid w:val="004824B7"/>
    <w:rsid w:val="005370EE"/>
    <w:rsid w:val="0054449B"/>
    <w:rsid w:val="00550689"/>
    <w:rsid w:val="0055239A"/>
    <w:rsid w:val="00553DDD"/>
    <w:rsid w:val="00580FE7"/>
    <w:rsid w:val="005879C7"/>
    <w:rsid w:val="00595641"/>
    <w:rsid w:val="005B4442"/>
    <w:rsid w:val="005B4E25"/>
    <w:rsid w:val="005F4261"/>
    <w:rsid w:val="006053C2"/>
    <w:rsid w:val="00611C34"/>
    <w:rsid w:val="00612794"/>
    <w:rsid w:val="00616876"/>
    <w:rsid w:val="00634FCE"/>
    <w:rsid w:val="006362BB"/>
    <w:rsid w:val="006C6A09"/>
    <w:rsid w:val="006F61CC"/>
    <w:rsid w:val="007075A9"/>
    <w:rsid w:val="007465B9"/>
    <w:rsid w:val="00746CE4"/>
    <w:rsid w:val="00756AB9"/>
    <w:rsid w:val="0076579E"/>
    <w:rsid w:val="00777498"/>
    <w:rsid w:val="007F7C27"/>
    <w:rsid w:val="00821E20"/>
    <w:rsid w:val="0086384D"/>
    <w:rsid w:val="00865539"/>
    <w:rsid w:val="008A0474"/>
    <w:rsid w:val="008A7684"/>
    <w:rsid w:val="008B114C"/>
    <w:rsid w:val="008B4351"/>
    <w:rsid w:val="008C1232"/>
    <w:rsid w:val="009440A4"/>
    <w:rsid w:val="00945C41"/>
    <w:rsid w:val="00946D1A"/>
    <w:rsid w:val="00951BD8"/>
    <w:rsid w:val="009834DD"/>
    <w:rsid w:val="009B3E22"/>
    <w:rsid w:val="009D70D1"/>
    <w:rsid w:val="009E6068"/>
    <w:rsid w:val="009E7631"/>
    <w:rsid w:val="00A516D0"/>
    <w:rsid w:val="00A67C1E"/>
    <w:rsid w:val="00AA58F4"/>
    <w:rsid w:val="00AA75AE"/>
    <w:rsid w:val="00AB41C6"/>
    <w:rsid w:val="00AB54F9"/>
    <w:rsid w:val="00AC3CD3"/>
    <w:rsid w:val="00AC7D99"/>
    <w:rsid w:val="00AD778C"/>
    <w:rsid w:val="00B03B38"/>
    <w:rsid w:val="00B209DB"/>
    <w:rsid w:val="00B31089"/>
    <w:rsid w:val="00B32076"/>
    <w:rsid w:val="00B3695B"/>
    <w:rsid w:val="00B402A1"/>
    <w:rsid w:val="00B57617"/>
    <w:rsid w:val="00B95739"/>
    <w:rsid w:val="00C026AC"/>
    <w:rsid w:val="00C3162E"/>
    <w:rsid w:val="00C47225"/>
    <w:rsid w:val="00C6167D"/>
    <w:rsid w:val="00C62E12"/>
    <w:rsid w:val="00C87D0F"/>
    <w:rsid w:val="00CC2CFB"/>
    <w:rsid w:val="00CC44E3"/>
    <w:rsid w:val="00CE144B"/>
    <w:rsid w:val="00CF47C4"/>
    <w:rsid w:val="00D16966"/>
    <w:rsid w:val="00D17811"/>
    <w:rsid w:val="00D31D88"/>
    <w:rsid w:val="00D64397"/>
    <w:rsid w:val="00DA52A0"/>
    <w:rsid w:val="00DD21D5"/>
    <w:rsid w:val="00DD57FD"/>
    <w:rsid w:val="00DD66BC"/>
    <w:rsid w:val="00E14DC7"/>
    <w:rsid w:val="00E82A82"/>
    <w:rsid w:val="00EB7E4A"/>
    <w:rsid w:val="00EC72E7"/>
    <w:rsid w:val="00ED3B30"/>
    <w:rsid w:val="00EE3FAD"/>
    <w:rsid w:val="00F437F3"/>
    <w:rsid w:val="00F527BA"/>
    <w:rsid w:val="00F61B05"/>
    <w:rsid w:val="00F80670"/>
    <w:rsid w:val="00F81792"/>
    <w:rsid w:val="00F81B28"/>
    <w:rsid w:val="00FC0372"/>
    <w:rsid w:val="00FE0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70707C"/>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styleId="FootnoteText">
    <w:name w:val="footnote text"/>
    <w:basedOn w:val="Normal"/>
    <w:link w:val="FootnoteTextChar"/>
    <w:uiPriority w:val="99"/>
    <w:semiHidden/>
    <w:unhideWhenUsed/>
    <w:rsid w:val="00B95739"/>
    <w:pPr>
      <w:spacing w:after="0" w:line="240" w:lineRule="auto"/>
    </w:pPr>
    <w:rPr>
      <w:rFonts w:asciiTheme="minorHAnsi" w:eastAsiaTheme="minorHAnsi" w:hAnsiTheme="minorHAnsi" w:cstheme="minorBidi"/>
      <w:sz w:val="20"/>
      <w:szCs w:val="20"/>
      <w:lang w:val="en-IN"/>
    </w:rPr>
  </w:style>
  <w:style w:type="character" w:customStyle="1" w:styleId="FootnoteTextChar">
    <w:name w:val="Footnote Text Char"/>
    <w:basedOn w:val="DefaultParagraphFont"/>
    <w:link w:val="FootnoteText"/>
    <w:uiPriority w:val="99"/>
    <w:semiHidden/>
    <w:rsid w:val="00B95739"/>
    <w:rPr>
      <w:rFonts w:asciiTheme="minorHAnsi" w:eastAsiaTheme="minorHAnsi" w:hAnsiTheme="minorHAnsi" w:cstheme="minorBidi"/>
      <w:sz w:val="20"/>
      <w:szCs w:val="20"/>
      <w:lang w:val="en-IN"/>
    </w:rPr>
  </w:style>
  <w:style w:type="character" w:styleId="FootnoteReference">
    <w:name w:val="footnote reference"/>
    <w:basedOn w:val="DefaultParagraphFont"/>
    <w:uiPriority w:val="99"/>
    <w:semiHidden/>
    <w:unhideWhenUsed/>
    <w:rsid w:val="00B957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icte-india.org/CyberSecur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icte-india.org/Cyb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9</Pages>
  <Words>3851</Words>
  <Characters>21952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SUDESNA SARKAR</cp:lastModifiedBy>
  <cp:revision>24</cp:revision>
  <cp:lastPrinted>2017-02-20T06:53:00Z</cp:lastPrinted>
  <dcterms:created xsi:type="dcterms:W3CDTF">2020-08-10T12:23:00Z</dcterms:created>
  <dcterms:modified xsi:type="dcterms:W3CDTF">2024-05-09T13:19:00Z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3783101c0aaf99b060f446ccbd011c45942e2bd5d0696e86ea021c66c229d66a</vt:lpwstr>
  </property>
</Properties>
</file>